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lang w:eastAsia="zh-CN"/>
        </w:rPr>
      </w:pPr>
      <w:r>
        <w:rPr>
          <w:rFonts w:hint="eastAsia" w:ascii="黑体" w:hAnsi="黑体" w:eastAsia="黑体"/>
        </w:rPr>
        <w:t>附件</w:t>
      </w:r>
      <w:r>
        <w:rPr>
          <w:rFonts w:hint="eastAsia" w:ascii="黑体" w:hAnsi="黑体" w:eastAsia="黑体"/>
          <w:lang w:val="en-US" w:eastAsia="zh-CN"/>
        </w:rPr>
        <w:t>7</w:t>
      </w:r>
    </w:p>
    <w:p>
      <w:pPr>
        <w:pStyle w:val="6"/>
        <w:spacing w:line="60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官料河堤防</w:t>
      </w:r>
      <w:r>
        <w:rPr>
          <w:rFonts w:hint="eastAsia" w:ascii="方正小标宋简体" w:hAnsi="宋体" w:eastAsia="方正小标宋简体"/>
          <w:sz w:val="44"/>
          <w:szCs w:val="44"/>
        </w:rPr>
        <w:t>项目支出绩效</w:t>
      </w:r>
    </w:p>
    <w:p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自评报告</w:t>
      </w:r>
    </w:p>
    <w:p>
      <w:pPr>
        <w:pStyle w:val="6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spacing w:line="560" w:lineRule="exact"/>
        <w:ind w:firstLine="560" w:firstLineChars="200"/>
        <w:rPr>
          <w:rFonts w:hint="eastAsia" w:ascii="仿宋_GB2312" w:hAnsi="宋体"/>
          <w:lang w:val="zh-CN"/>
        </w:rPr>
      </w:pPr>
      <w:r>
        <w:rPr>
          <w:rFonts w:hint="eastAsia" w:ascii="仿宋_GB2312" w:eastAsia="仿宋_GB2312"/>
          <w:sz w:val="28"/>
          <w:szCs w:val="28"/>
        </w:rPr>
        <w:t>根据《四川省水利厅关于峨边彝族自治县黑竹沟、大堡、杨村官料河防洪治理工程初步设计的批复》(川水函〔2012〕2487号)，批复总投资</w:t>
      </w:r>
      <w:r>
        <w:rPr>
          <w:rFonts w:hint="eastAsia" w:ascii="仿宋_GB2312" w:eastAsia="仿宋_GB2312"/>
          <w:bCs/>
          <w:sz w:val="28"/>
          <w:szCs w:val="28"/>
        </w:rPr>
        <w:t>2952.41万元</w:t>
      </w:r>
      <w:r>
        <w:rPr>
          <w:rFonts w:hint="eastAsia" w:ascii="仿宋_GB2312" w:eastAsia="仿宋_GB2312"/>
          <w:sz w:val="28"/>
          <w:szCs w:val="28"/>
        </w:rPr>
        <w:t>，其中：中央资金1890万元，省级资金324万，地方配套738.41万元（</w:t>
      </w:r>
      <w:r>
        <w:rPr>
          <w:rFonts w:hint="eastAsia" w:ascii="仿宋_GB2312" w:eastAsia="仿宋_GB2312"/>
          <w:bCs/>
          <w:sz w:val="28"/>
          <w:szCs w:val="28"/>
        </w:rPr>
        <w:t>不足部分根据自治县政府承诺自筹资金解决）。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该工程建设规模为</w:t>
      </w:r>
      <w:r>
        <w:rPr>
          <w:rFonts w:hint="eastAsia" w:ascii="仿宋_GB2312" w:hAnsi="仿宋" w:eastAsia="仿宋_GB2312" w:cs="仿宋"/>
          <w:sz w:val="28"/>
          <w:szCs w:val="28"/>
        </w:rPr>
        <w:t>综合治理河长4段共4.311km，新建堤防2.953km，河道清淤疏浚2.841km。施工过程中由</w:t>
      </w:r>
      <w:r>
        <w:rPr>
          <w:rFonts w:hint="eastAsia" w:ascii="仿宋_GB2312" w:eastAsia="仿宋_GB2312"/>
          <w:sz w:val="28"/>
          <w:szCs w:val="28"/>
        </w:rPr>
        <w:t>四川大学工程设计研究院编制了《四川省峨边彝族自治县黑竹沟、大堡、杨村官料河防洪治理工程变更设计报告》上报省水利厅，省水利厅以川水函[2014]986号文批复我县。该设计变更批复主要内容为：由于黑竹沟景区大门段堤防，交通部门在修建景区公路时已实施，取消该段0.136km的堤防建设。调增建设黑竹沟小学段0.033km，黑竹沟渔沟儿段0.127km、大堡镇茶丰村七组大河坝段0.355km、桥楼支沟左岸0.028km堤防。调整后河道综合治理长度不变为4.311km，综合治理河段内共新建堤防3.269km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eastAsia="仿宋_GB2312"/>
          <w:sz w:val="28"/>
          <w:szCs w:val="28"/>
        </w:rPr>
        <w:t>四川省水利厅以《四川省水利厅关于峨边彝族自治县黑竹沟、大堡、杨村官料河防洪治理工程初步设计的批复》(川水函〔2012〕2487号)文给予了批复，批复总投资</w:t>
      </w:r>
      <w:r>
        <w:rPr>
          <w:rFonts w:hint="eastAsia" w:ascii="仿宋_GB2312" w:eastAsia="仿宋_GB2312"/>
          <w:bCs/>
          <w:sz w:val="28"/>
          <w:szCs w:val="28"/>
        </w:rPr>
        <w:t>2952.41万元</w:t>
      </w:r>
      <w:r>
        <w:rPr>
          <w:rFonts w:hint="eastAsia" w:ascii="仿宋_GB2312" w:eastAsia="仿宋_GB2312"/>
          <w:sz w:val="28"/>
          <w:szCs w:val="28"/>
        </w:rPr>
        <w:t>。</w:t>
      </w:r>
      <w:r>
        <w:rPr>
          <w:rFonts w:hint="eastAsia" w:ascii="仿宋_GB2312" w:hAnsi="宋体"/>
          <w:lang w:val="zh-CN"/>
        </w:rPr>
        <w:t>项目申报内容与具体实施内容相符。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color w:val="auto"/>
          <w:lang w:val="zh-CN"/>
        </w:rPr>
      </w:pPr>
      <w:r>
        <w:rPr>
          <w:rFonts w:hint="eastAsia" w:ascii="仿宋_GB2312" w:hAnsi="宋体"/>
          <w:color w:val="auto"/>
          <w:lang w:val="zh-CN"/>
        </w:rPr>
        <w:tab/>
      </w:r>
      <w:r>
        <w:rPr>
          <w:rFonts w:hint="eastAsia" w:ascii="楷体_GB2312" w:hAnsi="宋体" w:eastAsia="楷体_GB2312"/>
          <w:b/>
          <w:color w:val="auto"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1．资金计划及到位。</w:t>
      </w:r>
      <w:r>
        <w:rPr>
          <w:rFonts w:hint="eastAsia" w:ascii="楷体_GB2312" w:hAnsi="宋体" w:eastAsia="楷体_GB2312"/>
          <w:color w:val="auto"/>
          <w:lang w:val="en-US" w:eastAsia="zh-CN"/>
        </w:rPr>
        <w:t>2022年度</w:t>
      </w:r>
      <w:r>
        <w:rPr>
          <w:rFonts w:hint="eastAsia" w:ascii="楷体_GB2312" w:hAnsi="宋体" w:eastAsia="楷体_GB2312"/>
          <w:color w:val="auto"/>
          <w:lang w:val="zh-CN"/>
        </w:rPr>
        <w:t>，该项目资金到位</w:t>
      </w:r>
      <w:r>
        <w:rPr>
          <w:rFonts w:hint="eastAsia" w:ascii="楷体_GB2312" w:hAnsi="宋体" w:eastAsia="楷体_GB2312"/>
          <w:color w:val="auto"/>
          <w:lang w:val="en-US" w:eastAsia="zh-CN"/>
        </w:rPr>
        <w:t>633.74</w:t>
      </w:r>
      <w:r>
        <w:rPr>
          <w:rFonts w:hint="eastAsia" w:ascii="楷体_GB2312" w:hAnsi="宋体" w:eastAsia="楷体_GB2312"/>
          <w:color w:val="auto"/>
          <w:lang w:val="zh-CN"/>
        </w:rPr>
        <w:t>万元，</w:t>
      </w:r>
      <w:r>
        <w:rPr>
          <w:rFonts w:hint="eastAsia" w:ascii="仿宋_GB2312" w:hAnsi="宋体"/>
          <w:color w:val="auto"/>
          <w:lang w:val="zh-CN"/>
        </w:rPr>
        <w:t>资金到位情况与资金计划进行比对，资金到位率100%、到位及时。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2．资金使用。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color w:val="FF0000"/>
          <w:lang w:val="zh-CN"/>
        </w:rPr>
      </w:pPr>
      <w:r>
        <w:rPr>
          <w:rFonts w:hint="eastAsia" w:ascii="仿宋_GB2312" w:hAnsi="宋体"/>
          <w:color w:val="auto"/>
          <w:lang w:val="en-US" w:eastAsia="zh-CN"/>
        </w:rPr>
        <w:t>2022年</w:t>
      </w:r>
      <w:r>
        <w:rPr>
          <w:rFonts w:hint="eastAsia" w:ascii="仿宋_GB2312" w:hAnsi="宋体"/>
          <w:color w:val="auto"/>
          <w:lang w:val="zh-CN"/>
        </w:rPr>
        <w:t>支付</w:t>
      </w:r>
      <w:r>
        <w:rPr>
          <w:rFonts w:hint="eastAsia" w:ascii="仿宋_GB2312" w:hAnsi="宋体"/>
          <w:color w:val="auto"/>
          <w:lang w:val="en-US" w:eastAsia="zh-CN"/>
        </w:rPr>
        <w:t>项目工程款</w:t>
      </w:r>
      <w:r>
        <w:rPr>
          <w:rFonts w:hint="eastAsia" w:ascii="仿宋_GB2312" w:hAnsi="仿宋" w:cs="仿宋_GB2312"/>
          <w:color w:val="auto"/>
          <w:lang w:val="en-US" w:eastAsia="zh-CN"/>
        </w:rPr>
        <w:t>633.74</w:t>
      </w:r>
      <w:r>
        <w:rPr>
          <w:rFonts w:hint="eastAsia" w:ascii="仿宋_GB2312" w:hAnsi="仿宋" w:cs="仿宋_GB2312"/>
          <w:color w:val="auto"/>
        </w:rPr>
        <w:t>万元</w:t>
      </w:r>
      <w:r>
        <w:rPr>
          <w:rFonts w:hint="eastAsia" w:ascii="仿宋_GB2312" w:hAnsi="仿宋" w:cs="仿宋_GB2312"/>
          <w:color w:val="auto"/>
          <w:lang w:eastAsia="zh-CN"/>
        </w:rPr>
        <w:t>，</w:t>
      </w:r>
      <w:r>
        <w:rPr>
          <w:rFonts w:hint="eastAsia" w:ascii="仿宋_GB2312" w:hAnsi="仿宋" w:cs="仿宋_GB2312"/>
          <w:color w:val="auto"/>
          <w:lang w:val="en-US" w:eastAsia="zh-CN"/>
        </w:rPr>
        <w:t>资金支付100%</w:t>
      </w:r>
      <w:r>
        <w:rPr>
          <w:rFonts w:hint="eastAsia" w:ascii="仿宋_GB2312" w:hAnsi="宋体"/>
          <w:color w:val="auto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color w:val="000000"/>
          <w:lang w:val="zh-CN"/>
        </w:rPr>
      </w:pP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程项目资金严格按照《财政部关于印发&lt;基本建设财务管理规定&gt;的通知》(财建[2002]394号)和财政部 水利部关于印发《《全国中小河流治理项目和资金管理办法》的通知》（财建[2011]156号）规定，实行专户专帐管理。专户为峨边彝族自治县水务投资有限公司专户，建立了专帐，专人管理。同时，建立了一套工程结算、材料设备采购、行政办公费用、现金支付等的审查、审核程序和相关制度，并严格执行。工程进度款结算由施工单位根据合同约定按工程进度申报，由监理工程师进行审核、总监理工程师签字盖章后，交项目业主审定报市、县财政审批后支付。工程未出现资金使用不当、拖欠工程款、管理不善等问题，无任何违规记录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spacing w:line="56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1、落实项目法人。峨边彝族自治县人民政府以《峨边彝族自治县人民政府关于项目法人确定及资金筹措的承诺》确定此三个项目项目法人均为峨边彝族自治县水务投资有限公司，具体负责工程的建设管理工作。</w:t>
      </w:r>
    </w:p>
    <w:p>
      <w:pPr>
        <w:spacing w:line="56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建立领导机构。每个项目均独立成立了工程建设领导小组成员。组长由水务局局长担任，水务局分管领导及涉及乡镇的乡镇长为副组长、有关人员为成员。领导小组具体负责堤防工程建设中的指挥、协调、监督、服务工作。</w:t>
      </w:r>
    </w:p>
    <w:p>
      <w:pPr>
        <w:spacing w:line="560" w:lineRule="exact"/>
        <w:ind w:firstLine="560" w:firstLineChars="200"/>
        <w:rPr>
          <w:rFonts w:hint="eastAsia" w:ascii="仿宋_GB2312" w:hAnsi="仿宋" w:cs="仿宋_GB2312"/>
          <w:color w:val="000000"/>
        </w:rPr>
      </w:pPr>
      <w:r>
        <w:rPr>
          <w:rFonts w:hint="eastAsia" w:ascii="仿宋_GB2312" w:eastAsia="仿宋_GB2312"/>
          <w:sz w:val="28"/>
          <w:szCs w:val="28"/>
        </w:rPr>
        <w:t>3、严格项目管理。项目法人成立了工程建设领导小组，负责具体项目管理工作。同时，要求设计、监理及施工等单位要按照规定，建立健全工程质量管理监督体系和安全管理监督体系，严格把关，确保工程质量。施工期间，合同执行情况良好，未出现任何合同纠纷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hAnsi="宋体"/>
          <w:lang w:val="zh-CN"/>
        </w:rPr>
        <w:t>已按照合同约定时间按时完成</w:t>
      </w:r>
      <w:r>
        <w:rPr>
          <w:rFonts w:hint="eastAsia" w:ascii="仿宋_GB2312" w:eastAsia="仿宋_GB2312"/>
          <w:sz w:val="28"/>
          <w:szCs w:val="28"/>
        </w:rPr>
        <w:t>工程的</w:t>
      </w:r>
      <w:r>
        <w:rPr>
          <w:rFonts w:hint="eastAsia" w:ascii="仿宋_GB2312"/>
          <w:sz w:val="28"/>
          <w:szCs w:val="28"/>
          <w:lang w:val="en-US" w:eastAsia="zh-CN"/>
        </w:rPr>
        <w:t>建设</w:t>
      </w:r>
      <w:r>
        <w:rPr>
          <w:rFonts w:hint="eastAsia" w:ascii="仿宋_GB2312" w:eastAsia="仿宋_GB2312"/>
          <w:sz w:val="28"/>
          <w:szCs w:val="28"/>
        </w:rPr>
        <w:t>，使其防洪标准提高，防洪标准达到10年一遇洪水(频率P=10%)，为当地发展提供防洪安全保障。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仿宋_GB2312" w:hAnsi="宋体"/>
          <w:lang w:val="zh-CN"/>
        </w:rPr>
        <w:t>本项目实施后，可</w:t>
      </w:r>
      <w:r>
        <w:rPr>
          <w:rFonts w:hint="eastAsia" w:ascii="仿宋_GB2312" w:eastAsia="仿宋_GB2312"/>
          <w:sz w:val="28"/>
          <w:szCs w:val="28"/>
        </w:rPr>
        <w:t>工程</w:t>
      </w:r>
      <w:r>
        <w:rPr>
          <w:rFonts w:hint="eastAsia" w:ascii="仿宋_GB2312" w:eastAsia="仿宋_GB2312"/>
          <w:sz w:val="32"/>
          <w:szCs w:val="32"/>
        </w:rPr>
        <w:t>的投入使用，有效保护了流域内杨村乡、大堡镇、金岩乡、黑竹沟镇、新林镇、沙坪镇、万坪乡沿岸居民集中点及场镇人口生命财产安全，可保护流域内0.87万人口、0.24万亩耕地。切实改善了农村环境，促进了地方增收，社会效益明显</w:t>
      </w:r>
      <w:r>
        <w:rPr>
          <w:rFonts w:hint="eastAsia" w:ascii="仿宋_GB2312" w:hAnsi="宋体"/>
          <w:color w:val="00000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四、问题及建议</w:t>
      </w:r>
    </w:p>
    <w:p>
      <w:pPr>
        <w:spacing w:line="56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spacing w:line="560" w:lineRule="exact"/>
        <w:ind w:firstLine="560" w:firstLineChars="20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eastAsia="仿宋_GB2312"/>
          <w:sz w:val="28"/>
          <w:szCs w:val="28"/>
        </w:rPr>
        <w:t>一是项目前期规划设计对可能出现的问题考虑不够充分，设计方案优化程度不够高，施工过程中当地群众反映强烈要求完善防洪体系新增了部分工程，新增工程比重约占总投资9%。二是信息宣传管理工作不够完善，在项目管理中理念更新不够。三是项目实施周期较长，与相关部门协调衔接不够，有些工作准备不充分。四是项目资金地方配套困难，尤其是对于我县这样经济欠发达，基本运转支出占支出比重较大的区县，对于项目配套能力十分有限，会加大区县财政运行风险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相关建议。</w:t>
      </w:r>
    </w:p>
    <w:p>
      <w:pPr>
        <w:numPr>
          <w:numId w:val="0"/>
        </w:numPr>
        <w:adjustRightInd w:val="0"/>
        <w:snapToGrid w:val="0"/>
        <w:spacing w:line="560" w:lineRule="exact"/>
        <w:rPr>
          <w:rFonts w:hint="default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</w:t>
      </w:r>
      <w:r>
        <w:rPr>
          <w:rFonts w:hint="eastAsia" w:ascii="仿宋_GB2312" w:eastAsia="仿宋_GB2312"/>
          <w:sz w:val="28"/>
          <w:szCs w:val="28"/>
        </w:rPr>
        <w:t>一是继续加强中小河流域治理力度，改善群众生产生活条件，保障人民生命财产安全。二是加大中央、省级投入比例，由于地方财政困难，资金配套难度较大，建议将土地、青苗补偿纳入上级投资计划。三是为更好规范项目资金管理和绩效评价工作，建议项目资金一次性下达，并及时到位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E5DC77"/>
    <w:multiLevelType w:val="singleLevel"/>
    <w:tmpl w:val="08E5DC7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M0ZTI3ODk2YzU4OGZlY2I5NTU3NTkyNGNlMWYyYTEifQ=="/>
  </w:docVars>
  <w:rsids>
    <w:rsidRoot w:val="291C455A"/>
    <w:rsid w:val="00057886"/>
    <w:rsid w:val="001614C2"/>
    <w:rsid w:val="001F29D6"/>
    <w:rsid w:val="00222B28"/>
    <w:rsid w:val="00336156"/>
    <w:rsid w:val="003608CE"/>
    <w:rsid w:val="003A5E2F"/>
    <w:rsid w:val="004B743A"/>
    <w:rsid w:val="0055642F"/>
    <w:rsid w:val="005E417D"/>
    <w:rsid w:val="006306D0"/>
    <w:rsid w:val="006C337C"/>
    <w:rsid w:val="007372C1"/>
    <w:rsid w:val="007641D4"/>
    <w:rsid w:val="007E3482"/>
    <w:rsid w:val="00832630"/>
    <w:rsid w:val="00900DC0"/>
    <w:rsid w:val="00904F19"/>
    <w:rsid w:val="00985FE3"/>
    <w:rsid w:val="00A415C2"/>
    <w:rsid w:val="00C16C6B"/>
    <w:rsid w:val="00E352DE"/>
    <w:rsid w:val="00FC11D0"/>
    <w:rsid w:val="042625D9"/>
    <w:rsid w:val="0EDB478C"/>
    <w:rsid w:val="291C455A"/>
    <w:rsid w:val="36926D0C"/>
    <w:rsid w:val="4BE600F9"/>
    <w:rsid w:val="4DAF2BCF"/>
    <w:rsid w:val="4DDB6F66"/>
    <w:rsid w:val="5C81503C"/>
    <w:rsid w:val="5D5B68EA"/>
    <w:rsid w:val="62FB4E56"/>
    <w:rsid w:val="686D6221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828</Words>
  <Characters>871</Characters>
  <Lines>6</Lines>
  <Paragraphs>1</Paragraphs>
  <TotalTime>0</TotalTime>
  <ScaleCrop>false</ScaleCrop>
  <LinksUpToDate>false</LinksUpToDate>
  <CharactersWithSpaces>873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天马/ws行空</cp:lastModifiedBy>
  <dcterms:modified xsi:type="dcterms:W3CDTF">2023-11-09T14:08:17Z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BDD9F5E848FC4A80AAF935D912774E0F</vt:lpwstr>
  </property>
</Properties>
</file>