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附件8</w:t>
      </w:r>
    </w:p>
    <w:p>
      <w:pPr>
        <w:tabs>
          <w:tab w:val="left" w:pos="1440"/>
        </w:tabs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解决河湖管理范围划定实施方案编制经费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按照实际占用永久性占地和临时性占地面积，和相关征占地补偿标准，应补偿征地费91.82万元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完成补偿修建官料河堤防实际占用20个点位永久占地和临时占地费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资金的申报根据实际占地花名册统计，</w:t>
      </w:r>
      <w:r>
        <w:rPr>
          <w:rFonts w:hint="eastAsia" w:ascii="仿宋_GB2312" w:hAnsi="宋体"/>
          <w:lang w:val="zh-CN"/>
        </w:rPr>
        <w:t>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91.82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zh-CN"/>
        </w:rPr>
        <w:t>根据财政批复预算，</w:t>
      </w:r>
      <w:r>
        <w:rPr>
          <w:rFonts w:hint="eastAsia" w:ascii="仿宋_GB2312" w:hAnsi="宋体"/>
          <w:color w:val="auto"/>
          <w:lang w:val="en-US" w:eastAsia="zh-CN"/>
        </w:rPr>
        <w:t>截止2022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12</w:t>
      </w:r>
      <w:r>
        <w:rPr>
          <w:rFonts w:hint="eastAsia" w:ascii="仿宋_GB2312" w:hAnsi="宋体"/>
          <w:color w:val="auto"/>
          <w:lang w:val="zh-CN"/>
        </w:rPr>
        <w:t>月支付</w:t>
      </w:r>
      <w:r>
        <w:rPr>
          <w:rFonts w:hint="eastAsia" w:ascii="仿宋_GB2312" w:hAnsi="宋体"/>
          <w:color w:val="auto"/>
          <w:lang w:val="en-US" w:eastAsia="zh-CN"/>
        </w:rPr>
        <w:t>征拆费91.82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实地</w:t>
      </w:r>
      <w:r>
        <w:rPr>
          <w:rFonts w:hint="eastAsia" w:ascii="仿宋_GB2312" w:hAnsi="仿宋" w:cs="仿宋_GB2312"/>
          <w:color w:val="000000"/>
        </w:rPr>
        <w:t>现场踏勘、资料收集</w:t>
      </w:r>
      <w:r>
        <w:rPr>
          <w:rFonts w:hint="eastAsia" w:ascii="仿宋_GB2312" w:hAnsi="仿宋" w:cs="仿宋_GB2312"/>
          <w:color w:val="000000"/>
          <w:lang w:val="en-US" w:eastAsia="zh-CN"/>
        </w:rPr>
        <w:t>农户签字后形成征拆费花名册</w:t>
      </w:r>
      <w:r>
        <w:rPr>
          <w:rFonts w:hint="eastAsia" w:ascii="仿宋_GB2312" w:hAnsi="仿宋" w:cs="仿宋_GB2312"/>
          <w:color w:val="000000"/>
        </w:rPr>
        <w:t>，</w:t>
      </w:r>
      <w:r>
        <w:rPr>
          <w:rFonts w:hint="eastAsia" w:ascii="仿宋_GB2312" w:hAnsi="仿宋" w:cs="仿宋_GB2312"/>
          <w:color w:val="000000"/>
          <w:lang w:val="en-US" w:eastAsia="zh-CN"/>
        </w:rPr>
        <w:t>经自然资源部门确认后报财务室支付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</w:t>
      </w:r>
      <w:r>
        <w:rPr>
          <w:rFonts w:hint="eastAsia" w:ascii="仿宋_GB2312" w:hAnsi="宋体"/>
          <w:lang w:val="en-US" w:eastAsia="zh-CN"/>
        </w:rPr>
        <w:t>兑付花名册兑现到正拆迁农户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化解征拆迁户与项目建设矛盾</w:t>
      </w:r>
      <w:r>
        <w:rPr>
          <w:rFonts w:hint="eastAsia" w:ascii="仿宋_GB2312" w:hAnsi="宋体"/>
          <w:lang w:val="zh-CN"/>
        </w:rPr>
        <w:t>，</w:t>
      </w:r>
    </w:p>
    <w:p>
      <w:pPr>
        <w:adjustRightInd w:val="0"/>
        <w:snapToGrid w:val="0"/>
        <w:spacing w:line="560" w:lineRule="exac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000000"/>
          <w:lang w:val="en-US" w:eastAsia="zh-CN"/>
        </w:rPr>
        <w:t>征拆迁户</w:t>
      </w:r>
      <w:r>
        <w:rPr>
          <w:rFonts w:hint="eastAsia" w:ascii="仿宋_GB2312" w:hAnsi="宋体"/>
          <w:color w:val="000000"/>
        </w:rPr>
        <w:t>满意度9</w:t>
      </w:r>
      <w:r>
        <w:rPr>
          <w:rFonts w:hint="eastAsia" w:ascii="仿宋_GB2312" w:hAnsi="宋体"/>
          <w:color w:val="000000"/>
          <w:lang w:val="en-US" w:eastAsia="zh-CN"/>
        </w:rPr>
        <w:t>8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C81503C"/>
    <w:rsid w:val="5D5B68EA"/>
    <w:rsid w:val="62FB4E56"/>
    <w:rsid w:val="63185FF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665</TotalTime>
  <ScaleCrop>false</ScaleCrop>
  <LinksUpToDate>false</LinksUpToDate>
  <CharactersWithSpaces>873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天马/ws行空</cp:lastModifiedBy>
  <dcterms:modified xsi:type="dcterms:W3CDTF">2023-11-10T01:09:07Z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BDD9F5E848FC4A80AAF935D912774E0F</vt:lpwstr>
  </property>
</Properties>
</file>