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2022年水行政执法管理经费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下达资金20万元,2022年决算调整预算18.05万元。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1.开展对全县河流巡河巡查 2.打击涉水非法行为 3.开展涉水法律法规宣传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2022年水行政执法管理经费项目申报内容与具体实施内容相符。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18.05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截止2022年12月27日，</w:t>
      </w:r>
      <w:r>
        <w:rPr>
          <w:rFonts w:hint="eastAsia" w:ascii="仿宋_GB2312" w:hAnsi="宋体"/>
          <w:color w:val="auto"/>
          <w:lang w:val="zh-CN"/>
        </w:rPr>
        <w:t>支付了</w:t>
      </w:r>
      <w:r>
        <w:rPr>
          <w:rFonts w:hint="eastAsia" w:ascii="仿宋_GB2312" w:hAnsi="宋体"/>
          <w:color w:val="auto"/>
          <w:lang w:val="en-US" w:eastAsia="zh-CN"/>
        </w:rPr>
        <w:t>采砂编制费、测绘费、世界水日、中国水周宣传费等18.05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比选</w:t>
      </w:r>
      <w:r>
        <w:rPr>
          <w:rFonts w:hint="eastAsia" w:ascii="仿宋_GB2312" w:hAnsi="仿宋" w:cs="仿宋_GB2312"/>
          <w:color w:val="000000"/>
        </w:rPr>
        <w:t>的方式确定报告编制单位，通过现场踏勘、资料收集等形式编制</w:t>
      </w:r>
      <w:r>
        <w:rPr>
          <w:rFonts w:hint="eastAsia" w:ascii="仿宋_GB2312" w:hAnsi="仿宋" w:cs="仿宋_GB2312"/>
          <w:color w:val="000000"/>
          <w:lang w:val="en-US" w:eastAsia="zh-CN"/>
        </w:rPr>
        <w:t>采砂实施方案，岩乡挖吉村1组河道清障地形复核</w:t>
      </w:r>
      <w:r>
        <w:rPr>
          <w:rFonts w:hint="eastAsia" w:ascii="仿宋_GB2312" w:hAnsi="仿宋" w:cs="仿宋_GB2312"/>
          <w:color w:val="000000"/>
        </w:rPr>
        <w:t>，茨竹河八月岭隧洞上游安全报告编制</w:t>
      </w:r>
      <w:r>
        <w:rPr>
          <w:rFonts w:hint="eastAsia" w:ascii="仿宋_GB2312" w:hAnsi="仿宋" w:cs="仿宋_GB2312"/>
          <w:color w:val="000000"/>
          <w:lang w:eastAsia="zh-CN"/>
        </w:rPr>
        <w:t>，宜坪泉水、红旗四坪河道执法勘界测绘，茨竹河临时排险测绘费，玉林桥及峨汉高速、五渡先锋江岩坝砂石堆场测绘费，五渡先锋五熊沟细砂堆场测绘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仿宋" w:cs="仿宋_GB2312"/>
          <w:color w:val="000000"/>
        </w:rPr>
        <w:t>编制</w:t>
      </w:r>
      <w:r>
        <w:rPr>
          <w:rFonts w:hint="eastAsia" w:ascii="仿宋_GB2312" w:hAnsi="仿宋" w:cs="仿宋_GB2312"/>
          <w:color w:val="000000"/>
          <w:lang w:val="en-US" w:eastAsia="zh-CN"/>
        </w:rPr>
        <w:t>采砂实施方案，岩乡挖吉村1组河道清障地形复核</w:t>
      </w:r>
      <w:r>
        <w:rPr>
          <w:rFonts w:hint="eastAsia" w:ascii="仿宋_GB2312" w:hAnsi="仿宋" w:cs="仿宋_GB2312"/>
          <w:color w:val="000000"/>
        </w:rPr>
        <w:t>，茨竹河八月岭隧洞上游安全报告编制</w:t>
      </w:r>
      <w:r>
        <w:rPr>
          <w:rFonts w:hint="eastAsia" w:ascii="仿宋_GB2312" w:hAnsi="仿宋" w:cs="仿宋_GB2312"/>
          <w:color w:val="000000"/>
          <w:lang w:eastAsia="zh-CN"/>
        </w:rPr>
        <w:t>，宜坪泉水、红旗四坪河道执法勘界测绘，茨竹河临时排险测绘费，玉林桥及峨汉高速、五渡先锋江岩坝砂石堆场测绘费，五渡先锋五熊沟细砂堆场测绘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本项目实施后，可进一步强化我县河湖管理范围保护,保障水生态安全，减少经济损失，</w:t>
      </w:r>
      <w:r>
        <w:rPr>
          <w:rFonts w:hint="eastAsia" w:ascii="仿宋_GB2312" w:hAnsi="宋体"/>
          <w:lang w:val="en-US" w:eastAsia="zh-CN"/>
        </w:rPr>
        <w:t>有效打击了非法采砂行为</w:t>
      </w:r>
      <w:bookmarkStart w:id="0" w:name="_GoBack"/>
      <w:bookmarkEnd w:id="0"/>
      <w:r>
        <w:rPr>
          <w:rFonts w:hint="eastAsia" w:ascii="仿宋_GB2312" w:hAnsi="宋体"/>
          <w:lang w:val="zh-CN"/>
        </w:rPr>
        <w:t>。杜绝规模以上河湖因管理范围边界不清晰而新增的侵占河湖、破坏河湖问题。划定范围后对河湖生态影响显著，可持续维护河湖生态健康平衡，</w:t>
      </w:r>
    </w:p>
    <w:p>
      <w:pPr>
        <w:adjustRightInd w:val="0"/>
        <w:snapToGrid w:val="0"/>
        <w:spacing w:line="56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</w:rPr>
        <w:t>社会公众满意度≥95%。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694344EA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2023-11-09T12:46:43Z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