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val="en-US"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pStyle w:val="6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2022年水利项目规划设计、审计、测绘费等经费</w:t>
      </w: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6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峨边彝族自治县财政局关于批复2022年部门预算的通知</w:t>
      </w:r>
      <w:r>
        <w:rPr>
          <w:rFonts w:hint="eastAsia" w:ascii="仿宋_GB2312" w:hAnsi="宋体"/>
          <w:lang w:val="zh-CN"/>
        </w:rPr>
        <w:t>（</w:t>
      </w:r>
      <w:r>
        <w:rPr>
          <w:rFonts w:hint="eastAsia" w:ascii="仿宋_GB2312" w:hAnsi="宋体"/>
          <w:lang w:val="en-US" w:eastAsia="zh-CN"/>
        </w:rPr>
        <w:t>峨财政</w:t>
      </w:r>
      <w:r>
        <w:rPr>
          <w:rFonts w:hint="eastAsia" w:ascii="仿宋_GB2312" w:hAnsi="宋体"/>
          <w:lang w:val="zh-CN"/>
        </w:rPr>
        <w:t>〔202</w:t>
      </w:r>
      <w:r>
        <w:rPr>
          <w:rFonts w:hint="eastAsia" w:ascii="仿宋_GB2312" w:hAnsi="宋体"/>
          <w:lang w:val="en-US" w:eastAsia="zh-CN"/>
        </w:rPr>
        <w:t>2</w:t>
      </w:r>
      <w:r>
        <w:rPr>
          <w:rFonts w:hint="eastAsia" w:ascii="仿宋_GB2312" w:hAnsi="宋体"/>
          <w:lang w:val="zh-CN"/>
        </w:rPr>
        <w:t>〕</w:t>
      </w:r>
      <w:r>
        <w:rPr>
          <w:rFonts w:hint="eastAsia" w:ascii="仿宋_GB2312" w:hAnsi="宋体"/>
          <w:lang w:val="en-US" w:eastAsia="zh-CN"/>
        </w:rPr>
        <w:t>49</w:t>
      </w:r>
      <w:r>
        <w:rPr>
          <w:rFonts w:hint="eastAsia" w:ascii="仿宋_GB2312" w:hAnsi="宋体"/>
          <w:lang w:val="zh-CN"/>
        </w:rPr>
        <w:t>号）</w:t>
      </w:r>
      <w:r>
        <w:rPr>
          <w:rFonts w:hint="eastAsia" w:ascii="仿宋_GB2312" w:hAnsi="宋体"/>
          <w:lang w:val="en-US" w:eastAsia="zh-CN"/>
        </w:rPr>
        <w:t>下达资金19.62万元。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1、完成大渡河干流河道采砂实施方案编制报批；2、官料河及县管清淤疏浚实施方案编制报批；3、河道砂石存量测绘；4、河道岸线保护与利用规划；5、堤防工程运行管护维修5处。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2022年水利项目规划设计、审计、测绘费。项目申报内容与具体实施内容相符。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</w:t>
      </w:r>
      <w:r>
        <w:rPr>
          <w:rFonts w:hint="eastAsia" w:ascii="楷体_GB2312" w:hAnsi="宋体" w:eastAsia="楷体_GB2312"/>
          <w:b w:val="0"/>
          <w:bCs w:val="0"/>
          <w:color w:val="auto"/>
          <w:lang w:val="zh-CN"/>
        </w:rPr>
        <w:t>截止</w:t>
      </w:r>
      <w:r>
        <w:rPr>
          <w:rFonts w:hint="eastAsia" w:ascii="楷体_GB2312" w:hAnsi="宋体" w:eastAsia="楷体_GB2312"/>
          <w:b w:val="0"/>
          <w:bCs w:val="0"/>
          <w:color w:val="auto"/>
          <w:lang w:val="en-US" w:eastAsia="zh-CN"/>
        </w:rPr>
        <w:t>2022</w:t>
      </w:r>
      <w:r>
        <w:rPr>
          <w:rFonts w:hint="eastAsia" w:ascii="楷体_GB2312" w:hAnsi="宋体" w:eastAsia="楷体_GB2312"/>
          <w:b w:val="0"/>
          <w:bCs w:val="0"/>
          <w:color w:val="auto"/>
          <w:lang w:val="zh-CN"/>
        </w:rPr>
        <w:t>年</w:t>
      </w:r>
      <w:r>
        <w:rPr>
          <w:rFonts w:hint="eastAsia" w:ascii="楷体_GB2312" w:hAnsi="宋体" w:eastAsia="楷体_GB2312"/>
          <w:b w:val="0"/>
          <w:bCs w:val="0"/>
          <w:color w:val="auto"/>
          <w:lang w:val="en-US" w:eastAsia="zh-CN"/>
        </w:rPr>
        <w:t>12</w:t>
      </w:r>
      <w:r>
        <w:rPr>
          <w:rFonts w:hint="eastAsia" w:ascii="楷体_GB2312" w:hAnsi="宋体" w:eastAsia="楷体_GB2312"/>
          <w:b w:val="0"/>
          <w:bCs w:val="0"/>
          <w:color w:val="auto"/>
          <w:lang w:val="zh-CN"/>
        </w:rPr>
        <w:t>月</w:t>
      </w:r>
      <w:r>
        <w:rPr>
          <w:rFonts w:hint="eastAsia" w:ascii="楷体_GB2312" w:hAnsi="宋体" w:eastAsia="楷体_GB2312"/>
          <w:b w:val="0"/>
          <w:bCs w:val="0"/>
          <w:color w:val="auto"/>
          <w:lang w:val="en-US" w:eastAsia="zh-CN"/>
        </w:rPr>
        <w:t>31</w:t>
      </w:r>
      <w:r>
        <w:rPr>
          <w:rFonts w:hint="eastAsia" w:ascii="楷体_GB2312" w:hAnsi="宋体" w:eastAsia="楷体_GB2312"/>
          <w:b w:val="0"/>
          <w:bCs w:val="0"/>
          <w:color w:val="auto"/>
          <w:lang w:val="zh-CN"/>
        </w:rPr>
        <w:t>日，该项目资金到位</w:t>
      </w:r>
      <w:r>
        <w:rPr>
          <w:rFonts w:hint="eastAsia" w:ascii="楷体_GB2312" w:hAnsi="宋体" w:eastAsia="楷体_GB2312"/>
          <w:b w:val="0"/>
          <w:bCs w:val="0"/>
          <w:color w:val="auto"/>
          <w:lang w:val="en-US" w:eastAsia="zh-CN"/>
        </w:rPr>
        <w:t>19.62</w:t>
      </w:r>
      <w:r>
        <w:rPr>
          <w:rFonts w:hint="eastAsia" w:ascii="楷体_GB2312" w:hAnsi="宋体" w:eastAsia="楷体_GB2312"/>
          <w:b w:val="0"/>
          <w:bCs w:val="0"/>
          <w:color w:val="auto"/>
          <w:lang w:val="zh-CN"/>
        </w:rPr>
        <w:t>万元，</w:t>
      </w:r>
      <w:r>
        <w:rPr>
          <w:rFonts w:hint="eastAsia" w:ascii="仿宋_GB2312" w:hAnsi="宋体"/>
          <w:b w:val="0"/>
          <w:bCs w:val="0"/>
          <w:color w:val="auto"/>
          <w:lang w:val="zh-CN"/>
        </w:rPr>
        <w:t>资金</w:t>
      </w:r>
      <w:r>
        <w:rPr>
          <w:rFonts w:hint="eastAsia" w:ascii="仿宋_GB2312" w:hAnsi="宋体"/>
          <w:color w:val="auto"/>
          <w:lang w:val="zh-CN"/>
        </w:rPr>
        <w:t>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仿宋" w:cs="仿宋_GB2312"/>
          <w:color w:val="auto"/>
          <w:lang w:val="zh-CN" w:eastAsia="zh-CN"/>
        </w:rPr>
        <w:t>截止</w:t>
      </w:r>
      <w:r>
        <w:rPr>
          <w:rFonts w:hint="eastAsia" w:ascii="仿宋_GB2312" w:hAnsi="仿宋" w:cs="仿宋_GB2312"/>
          <w:color w:val="auto"/>
          <w:lang w:val="en-US" w:eastAsia="zh-CN"/>
        </w:rPr>
        <w:t>2022</w:t>
      </w:r>
      <w:r>
        <w:rPr>
          <w:rFonts w:hint="eastAsia" w:ascii="仿宋_GB2312" w:hAnsi="仿宋" w:cs="仿宋_GB2312"/>
          <w:color w:val="auto"/>
          <w:lang w:val="zh-CN" w:eastAsia="zh-CN"/>
        </w:rPr>
        <w:t>年</w:t>
      </w:r>
      <w:r>
        <w:rPr>
          <w:rFonts w:hint="eastAsia" w:ascii="仿宋_GB2312" w:hAnsi="仿宋" w:cs="仿宋_GB2312"/>
          <w:color w:val="auto"/>
          <w:lang w:val="en-US" w:eastAsia="zh-CN"/>
        </w:rPr>
        <w:t>12</w:t>
      </w:r>
      <w:r>
        <w:rPr>
          <w:rFonts w:hint="eastAsia" w:ascii="仿宋_GB2312" w:hAnsi="仿宋" w:cs="仿宋_GB2312"/>
          <w:color w:val="auto"/>
          <w:lang w:val="zh-CN" w:eastAsia="zh-CN"/>
        </w:rPr>
        <w:t>月</w:t>
      </w:r>
      <w:r>
        <w:rPr>
          <w:rFonts w:hint="eastAsia" w:ascii="仿宋_GB2312" w:hAnsi="仿宋" w:cs="仿宋_GB2312"/>
          <w:color w:val="auto"/>
          <w:lang w:val="en-US" w:eastAsia="zh-CN"/>
        </w:rPr>
        <w:t>31</w:t>
      </w:r>
      <w:r>
        <w:rPr>
          <w:rFonts w:hint="eastAsia" w:ascii="仿宋_GB2312" w:hAnsi="仿宋" w:cs="仿宋_GB2312"/>
          <w:color w:val="auto"/>
          <w:lang w:val="zh-CN" w:eastAsia="zh-CN"/>
        </w:rPr>
        <w:t>日，该项目资金</w:t>
      </w:r>
      <w:r>
        <w:rPr>
          <w:rFonts w:hint="eastAsia" w:ascii="仿宋_GB2312" w:hAnsi="仿宋" w:cs="仿宋_GB2312"/>
          <w:color w:val="auto"/>
          <w:lang w:val="en-US" w:eastAsia="zh-CN"/>
        </w:rPr>
        <w:t>支付19.62</w:t>
      </w:r>
      <w:r>
        <w:rPr>
          <w:rFonts w:hint="eastAsia" w:ascii="仿宋_GB2312" w:hAnsi="仿宋" w:cs="仿宋_GB2312"/>
          <w:color w:val="auto"/>
          <w:lang w:val="zh-CN" w:eastAsia="zh-CN"/>
        </w:rPr>
        <w:t>万元</w:t>
      </w:r>
      <w:r>
        <w:rPr>
          <w:rFonts w:hint="eastAsia" w:ascii="仿宋_GB2312" w:hAnsi="仿宋" w:cs="仿宋_GB2312"/>
          <w:color w:val="auto"/>
          <w:lang w:eastAsia="zh-CN"/>
        </w:rPr>
        <w:t>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_GB2312" w:hAnsi="宋体"/>
          <w:color w:val="000000"/>
          <w:lang w:val="zh-CN"/>
        </w:rPr>
        <w:t>该项目资金严格按照财经管理制度规定使用，财务处理及时、规范，资料齐全、归档及时，无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截留、挤占、挪用、套取、转移和浪费的现象，无任何违规记录。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仿宋" w:cs="仿宋_GB2312"/>
          <w:color w:val="000000"/>
        </w:rPr>
        <w:t>项目采取</w:t>
      </w:r>
      <w:r>
        <w:rPr>
          <w:rFonts w:hint="eastAsia" w:ascii="仿宋_GB2312" w:hAnsi="仿宋" w:cs="仿宋_GB2312"/>
          <w:color w:val="000000"/>
          <w:lang w:val="en-US" w:eastAsia="zh-CN"/>
        </w:rPr>
        <w:t>比选</w:t>
      </w:r>
      <w:r>
        <w:rPr>
          <w:rFonts w:hint="eastAsia" w:ascii="仿宋_GB2312" w:hAnsi="仿宋" w:cs="仿宋_GB2312"/>
          <w:color w:val="000000"/>
        </w:rPr>
        <w:t>的方式确定报告编制单位，通过现场踏勘、资料收集等形式</w:t>
      </w:r>
      <w:r>
        <w:rPr>
          <w:rFonts w:hint="eastAsia" w:ascii="仿宋_GB2312" w:hAnsi="仿宋" w:cs="仿宋_GB2312"/>
          <w:color w:val="000000"/>
          <w:lang w:val="en-US" w:eastAsia="zh-CN"/>
        </w:rPr>
        <w:t>编制了采砂实施方案</w:t>
      </w:r>
      <w:r>
        <w:rPr>
          <w:rFonts w:hint="eastAsia" w:ascii="仿宋_GB2312" w:hAnsi="仿宋" w:cs="仿宋_GB2312"/>
          <w:color w:val="000000"/>
        </w:rPr>
        <w:t>，</w:t>
      </w:r>
      <w:r>
        <w:rPr>
          <w:rFonts w:hint="eastAsia" w:ascii="仿宋_GB2312" w:hAnsi="仿宋" w:cs="仿宋_GB2312"/>
          <w:color w:val="000000"/>
          <w:lang w:val="en-US" w:eastAsia="zh-CN"/>
        </w:rPr>
        <w:t>提供了砂石存量测绘报告</w:t>
      </w:r>
      <w:r>
        <w:rPr>
          <w:rFonts w:hint="eastAsia" w:ascii="仿宋_GB2312" w:hAnsi="仿宋" w:cs="仿宋_GB2312"/>
          <w:color w:val="000000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已按照合同约定时间按时完成</w:t>
      </w:r>
      <w:r>
        <w:rPr>
          <w:rFonts w:hint="eastAsia" w:ascii="仿宋_GB2312" w:hAnsi="仿宋" w:cs="仿宋_GB2312"/>
          <w:color w:val="000000"/>
          <w:lang w:val="en-US" w:eastAsia="zh-CN"/>
        </w:rPr>
        <w:t>采砂实施方案</w:t>
      </w:r>
      <w:r>
        <w:rPr>
          <w:rFonts w:hint="eastAsia" w:ascii="仿宋_GB2312" w:hAnsi="仿宋" w:cs="仿宋_GB2312"/>
          <w:color w:val="000000"/>
        </w:rPr>
        <w:t>，</w:t>
      </w:r>
      <w:r>
        <w:rPr>
          <w:rFonts w:hint="eastAsia" w:ascii="仿宋_GB2312" w:hAnsi="仿宋" w:cs="仿宋_GB2312"/>
          <w:color w:val="000000"/>
          <w:lang w:val="en-US" w:eastAsia="zh-CN"/>
        </w:rPr>
        <w:t>提供了砂石存量测绘报告</w:t>
      </w:r>
      <w:r>
        <w:rPr>
          <w:rFonts w:hint="eastAsia" w:ascii="仿宋_GB2312" w:hAnsi="宋体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本项目实施后，可进一步强化我县河湖管理范围保护,保障水生态安全，减少经济损失。杜绝规模以上河湖因管理范围边界不清晰而新增的侵占河湖、破坏河湖问题。</w:t>
      </w:r>
      <w:r>
        <w:rPr>
          <w:rFonts w:hint="eastAsia" w:ascii="仿宋_GB2312" w:hAnsi="宋体"/>
          <w:lang w:val="en-US" w:eastAsia="zh-CN"/>
        </w:rPr>
        <w:t>对采砂企业采砂量进行了亮化</w:t>
      </w:r>
      <w:r>
        <w:rPr>
          <w:rFonts w:hint="eastAsia" w:ascii="仿宋_GB2312" w:hAnsi="宋体"/>
          <w:lang w:val="zh-CN"/>
        </w:rPr>
        <w:t>，</w:t>
      </w:r>
      <w:r>
        <w:rPr>
          <w:rFonts w:hint="eastAsia" w:ascii="仿宋_GB2312" w:hAnsi="宋体"/>
          <w:lang w:val="en-US" w:eastAsia="zh-CN"/>
        </w:rPr>
        <w:t>避免多采造成国家损失。</w:t>
      </w:r>
      <w:bookmarkStart w:id="0" w:name="_GoBack"/>
      <w:bookmarkEnd w:id="0"/>
      <w:r>
        <w:rPr>
          <w:rFonts w:hint="eastAsia" w:ascii="仿宋_GB2312" w:hAnsi="宋体"/>
          <w:color w:val="000000"/>
        </w:rPr>
        <w:t>社会公众满意度≥95%。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仿宋_GB2312" w:hAnsi="宋体" w:eastAsia="仿宋_GB2312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资金到位滞后。</w:t>
      </w:r>
    </w:p>
    <w:p>
      <w:pPr>
        <w:adjustRightInd w:val="0"/>
        <w:snapToGrid w:val="0"/>
        <w:spacing w:line="560" w:lineRule="exact"/>
        <w:ind w:firstLine="72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（二）相关建议。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M0ZWVmN2M1YTgyMTBkNDljZGNjZWU4ZGY5N2Q0Mzc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2C1B5D59"/>
    <w:rsid w:val="36926D0C"/>
    <w:rsid w:val="4BE600F9"/>
    <w:rsid w:val="4DAF2BCF"/>
    <w:rsid w:val="4DDB6F66"/>
    <w:rsid w:val="5C81503C"/>
    <w:rsid w:val="5D5B68EA"/>
    <w:rsid w:val="62FB4E56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2</TotalTime>
  <ScaleCrop>false</ScaleCrop>
  <LinksUpToDate>false</LinksUpToDate>
  <CharactersWithSpaces>873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2023-11-09T13:16:36Z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BDD9F5E848FC4A80AAF935D912774E0F</vt:lpwstr>
  </property>
</Properties>
</file>