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9"/>
        <w:rPr>
          <w:rFonts w:hint="eastAsia" w:ascii="仿宋_GB2312" w:hAnsi="仿宋_GB2312" w:eastAsia="仿宋_GB2312" w:cs="仿宋_GB2312"/>
          <w:color w:val="auto"/>
          <w:sz w:val="32"/>
          <w:szCs w:val="32"/>
          <w:highlight w:val="none"/>
          <w:lang w:val="en-US" w:eastAsia="zh-CN"/>
        </w:rPr>
      </w:pPr>
      <w:bookmarkStart w:id="0" w:name="_Toc15377425"/>
      <w:bookmarkStart w:id="1" w:name="_Toc15396597"/>
      <w:bookmarkStart w:id="2" w:name="_Toc15377193"/>
      <w:bookmarkStart w:id="3" w:name="_Toc15378441"/>
      <w:bookmarkStart w:id="4" w:name="_Toc15396475"/>
      <w:bookmarkStart w:id="5" w:name="_Toc15306267"/>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9"/>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bookmarkStart w:id="6" w:name="_Toc15377426"/>
      <w:bookmarkStart w:id="7" w:name="_Toc15378442"/>
      <w:bookmarkStart w:id="8" w:name="_Toc15396598"/>
      <w:bookmarkStart w:id="9" w:name="_Toc15396476"/>
      <w:bookmarkStart w:id="10" w:name="_Toc15377194"/>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峨边彝族自治县</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t>水务局</w:t>
      </w:r>
    </w:p>
    <w:p>
      <w:pPr>
        <w:adjustRightInd w:val="0"/>
        <w:snapToGrid w:val="0"/>
        <w:spacing w:line="360" w:lineRule="auto"/>
        <w:jc w:val="center"/>
        <w:outlineLvl w:val="9"/>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pPr>
        <w:rPr>
          <w:rFonts w:hint="eastAsia"/>
          <w:color w:val="auto"/>
          <w:highlight w:val="none"/>
        </w:rPr>
      </w:pPr>
    </w:p>
    <w:sdt>
      <w:sdtPr>
        <w:rPr>
          <w:rFonts w:ascii="宋体" w:hAnsi="宋体" w:eastAsia="宋体" w:cs="Times New Roman"/>
          <w:kern w:val="2"/>
          <w:sz w:val="21"/>
          <w:szCs w:val="24"/>
          <w:lang w:val="en-US" w:eastAsia="zh-CN" w:bidi="ar-SA"/>
        </w:rPr>
        <w:id w:val="147483554"/>
        <w15:color w:val="DBDBDB"/>
        <w:docPartObj>
          <w:docPartGallery w:val="Table of Contents"/>
          <w:docPartUnique/>
        </w:docPartObj>
      </w:sdtPr>
      <w:sdtEndPr>
        <w:rPr>
          <w:rFonts w:hint="eastAsia" w:ascii="Arial" w:hAnsi="Arial" w:eastAsia="宋体" w:cs="Arial"/>
          <w:b/>
          <w:bCs/>
          <w:color w:val="auto"/>
          <w:kern w:val="2"/>
          <w:sz w:val="32"/>
          <w:szCs w:val="32"/>
          <w:highlight w:val="none"/>
          <w:lang w:val="en-US" w:eastAsia="zh-CN" w:bidi="ar-SA"/>
        </w:rPr>
      </w:sdtEndPr>
      <w:sdtContent>
        <w:p>
          <w:pPr>
            <w:tabs>
              <w:tab w:val="right" w:leader="dot" w:pos="8296"/>
            </w:tabs>
            <w:autoSpaceDE w:val="0"/>
            <w:autoSpaceDN w:val="0"/>
            <w:adjustRightInd w:val="0"/>
            <w:spacing w:beforeLines="0" w:afterLines="0" w:line="440" w:lineRule="exact"/>
            <w:jc w:val="left"/>
            <w:rPr>
              <w:rFonts w:hint="eastAsia" w:ascii="仿宋" w:hAnsi="仿宋" w:eastAsia="仿宋" w:cs="Times New Roman"/>
              <w:color w:val="auto"/>
              <w:kern w:val="2"/>
              <w:sz w:val="24"/>
              <w:szCs w:val="22"/>
              <w:lang w:val="zh-CN"/>
            </w:rPr>
          </w:pPr>
          <w:r>
            <w:rPr>
              <w:rFonts w:hint="eastAsia" w:ascii="仿宋" w:hAnsi="仿宋" w:eastAsia="仿宋" w:cs="Times New Roman"/>
              <w:color w:val="auto"/>
              <w:kern w:val="2"/>
              <w:sz w:val="24"/>
              <w:szCs w:val="22"/>
              <w:lang w:val="zh-CN"/>
            </w:rPr>
            <w:t>目录</w:t>
          </w:r>
        </w:p>
        <w:p>
          <w:pPr>
            <w:tabs>
              <w:tab w:val="right" w:leader="dot" w:pos="8296"/>
            </w:tabs>
            <w:autoSpaceDE w:val="0"/>
            <w:autoSpaceDN w:val="0"/>
            <w:adjustRightInd w:val="0"/>
            <w:spacing w:beforeLines="0" w:afterLines="0" w:line="440" w:lineRule="exact"/>
            <w:jc w:val="left"/>
            <w:rPr>
              <w:rFonts w:hint="eastAsia" w:ascii="仿宋" w:hAnsi="仿宋" w:eastAsia="仿宋" w:cs="Times New Roman"/>
              <w:color w:val="auto"/>
              <w:kern w:val="2"/>
              <w:sz w:val="24"/>
              <w:szCs w:val="22"/>
              <w:lang w:val="zh-CN"/>
            </w:rPr>
          </w:pP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TOC \o "1-2" \h \u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HYPERLINK \l _Toc19736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第一部分 部门概况</w:t>
          </w:r>
          <w:r>
            <w:rPr>
              <w:rFonts w:hint="eastAsia" w:ascii="仿宋" w:hAnsi="仿宋" w:eastAsia="仿宋" w:cs="Times New Roman"/>
              <w:color w:val="auto"/>
              <w:kern w:val="2"/>
              <w:sz w:val="24"/>
              <w:szCs w:val="22"/>
              <w:lang w:val="zh-CN"/>
            </w:rPr>
            <w:tab/>
          </w: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PAGEREF _Toc19736 \h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4</w:t>
          </w:r>
          <w:r>
            <w:rPr>
              <w:rFonts w:hint="eastAsia" w:ascii="仿宋" w:hAnsi="仿宋" w:eastAsia="仿宋" w:cs="Times New Roman"/>
              <w:color w:val="auto"/>
              <w:kern w:val="2"/>
              <w:sz w:val="24"/>
              <w:szCs w:val="22"/>
              <w:lang w:val="zh-CN"/>
            </w:rPr>
            <w:fldChar w:fldCharType="end"/>
          </w:r>
          <w:r>
            <w:rPr>
              <w:rFonts w:hint="eastAsia" w:ascii="仿宋" w:hAnsi="仿宋" w:eastAsia="仿宋"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firstLine="480" w:firstLineChars="20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_Toc32453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一、</w:t>
          </w:r>
          <w:r>
            <w:rPr>
              <w:rFonts w:hint="eastAsia" w:ascii="宋体" w:hAnsi="宋体" w:eastAsia="宋体" w:cs="Times New Roman"/>
              <w:color w:val="auto"/>
              <w:kern w:val="2"/>
              <w:sz w:val="24"/>
              <w:szCs w:val="22"/>
              <w:lang w:val="zh-CN" w:eastAsia="zh-CN"/>
            </w:rPr>
            <w:t>部门职责</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_Toc32453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4</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firstLine="480" w:firstLineChars="200"/>
            <w:jc w:val="left"/>
            <w:rPr>
              <w:rFonts w:hint="eastAsia" w:ascii="仿宋" w:hAnsi="仿宋" w:eastAsia="仿宋"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_Toc18962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二、机构设置</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_Toc18962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jc w:val="left"/>
            <w:rPr>
              <w:rFonts w:hint="eastAsia" w:ascii="仿宋" w:hAnsi="仿宋" w:eastAsia="仿宋" w:cs="Times New Roman"/>
              <w:color w:val="auto"/>
              <w:kern w:val="2"/>
              <w:sz w:val="24"/>
              <w:szCs w:val="22"/>
              <w:lang w:val="zh-CN"/>
            </w:rPr>
          </w:pP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HYPERLINK \l _Toc19295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 xml:space="preserve">第二部分 </w:t>
          </w:r>
          <w:r>
            <w:rPr>
              <w:rFonts w:hint="eastAsia" w:ascii="仿宋" w:hAnsi="仿宋" w:eastAsia="仿宋" w:cs="Times New Roman"/>
              <w:color w:val="auto"/>
              <w:kern w:val="2"/>
              <w:sz w:val="24"/>
              <w:szCs w:val="22"/>
              <w:lang w:val="en-US" w:eastAsia="zh-CN"/>
            </w:rPr>
            <w:t>2022年度</w:t>
          </w:r>
          <w:r>
            <w:rPr>
              <w:rFonts w:hint="eastAsia" w:ascii="仿宋" w:hAnsi="仿宋" w:eastAsia="仿宋" w:cs="Times New Roman"/>
              <w:color w:val="auto"/>
              <w:kern w:val="2"/>
              <w:sz w:val="24"/>
              <w:szCs w:val="22"/>
              <w:lang w:val="zh-CN"/>
            </w:rPr>
            <w:t>部门决算情况说明</w:t>
          </w:r>
          <w:r>
            <w:rPr>
              <w:rFonts w:hint="eastAsia" w:ascii="仿宋" w:hAnsi="仿宋" w:eastAsia="仿宋" w:cs="Times New Roman"/>
              <w:color w:val="auto"/>
              <w:kern w:val="2"/>
              <w:sz w:val="24"/>
              <w:szCs w:val="22"/>
              <w:lang w:val="zh-CN"/>
            </w:rPr>
            <w:tab/>
          </w: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PAGEREF _Toc19295 \h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9</w:t>
          </w:r>
          <w:r>
            <w:rPr>
              <w:rFonts w:hint="eastAsia" w:ascii="仿宋" w:hAnsi="仿宋" w:eastAsia="仿宋" w:cs="Times New Roman"/>
              <w:color w:val="auto"/>
              <w:kern w:val="2"/>
              <w:sz w:val="24"/>
              <w:szCs w:val="22"/>
              <w:lang w:val="zh-CN"/>
            </w:rPr>
            <w:fldChar w:fldCharType="end"/>
          </w:r>
          <w:r>
            <w:rPr>
              <w:rFonts w:hint="eastAsia" w:ascii="仿宋" w:hAnsi="仿宋" w:eastAsia="仿宋"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_Toc20806 </w:instrText>
          </w:r>
          <w:r>
            <w:rPr>
              <w:rFonts w:hint="eastAsia" w:ascii="宋体" w:hAnsi="宋体" w:eastAsia="宋体" w:cs="Times New Roman"/>
              <w:color w:val="auto"/>
              <w:kern w:val="2"/>
              <w:sz w:val="24"/>
              <w:szCs w:val="22"/>
              <w:lang w:val="zh-CN"/>
            </w:rPr>
            <w:fldChar w:fldCharType="separate"/>
          </w:r>
          <w:r>
            <w:rPr>
              <w:rFonts w:hint="default" w:ascii="宋体" w:hAnsi="宋体" w:eastAsia="宋体" w:cs="Times New Roman"/>
              <w:color w:val="auto"/>
              <w:kern w:val="2"/>
              <w:sz w:val="24"/>
              <w:szCs w:val="22"/>
              <w:lang w:val="zh-CN"/>
            </w:rPr>
            <w:t xml:space="preserve">一、 </w:t>
          </w:r>
          <w:r>
            <w:rPr>
              <w:rFonts w:hint="eastAsia" w:ascii="宋体" w:hAnsi="宋体" w:eastAsia="宋体" w:cs="Times New Roman"/>
              <w:color w:val="auto"/>
              <w:kern w:val="2"/>
              <w:sz w:val="24"/>
              <w:szCs w:val="22"/>
              <w:lang w:val="zh-CN"/>
            </w:rPr>
            <w:t>收入支出决算总体情况说明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_Toc20806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9</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_Toc18392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en-US" w:eastAsia="zh-CN"/>
            </w:rPr>
            <w:t>二、</w:t>
          </w:r>
          <w:r>
            <w:rPr>
              <w:rFonts w:hint="eastAsia" w:ascii="宋体" w:hAnsi="宋体" w:eastAsia="宋体" w:cs="Times New Roman"/>
              <w:color w:val="auto"/>
              <w:kern w:val="2"/>
              <w:sz w:val="24"/>
              <w:szCs w:val="22"/>
              <w:lang w:val="zh-CN"/>
            </w:rPr>
            <w:t>收入决算情况说明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_Toc18392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9</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仿宋" w:hAnsi="仿宋" w:eastAsia="仿宋"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_Toc6718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en-US" w:eastAsia="zh-CN"/>
            </w:rPr>
            <w:t>三、</w:t>
          </w:r>
          <w:r>
            <w:rPr>
              <w:rFonts w:hint="eastAsia" w:ascii="宋体" w:hAnsi="宋体" w:eastAsia="宋体" w:cs="Times New Roman"/>
              <w:color w:val="auto"/>
              <w:kern w:val="2"/>
              <w:sz w:val="24"/>
              <w:szCs w:val="22"/>
              <w:lang w:val="zh-CN"/>
            </w:rPr>
            <w:t>支出决算情况说明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_Toc6718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10</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_Toc21484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四、财政拨款收入支出决算总体情况说明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_Toc21484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10</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_Toc23221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五、一般公共预算财政拨款支出决算情况说明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_Toc23221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11</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_Toc6032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六、一般公共预算财政拨款基本支出决算情况说明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_Toc6032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15</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_Toc26446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七、财政拨款“三公”经费支出决算情况说明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_Toc26446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15</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_Toc14166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八、政府性基金预算支出决算情况说明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_Toc14166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17</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_Toc21218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九、 国有资本经营预算支出决算情况说明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_Toc21218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仿宋" w:hAnsi="仿宋" w:eastAsia="仿宋"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_Toc16639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十、 其他重要事项的情况说明</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_Toc16639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18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jc w:val="left"/>
            <w:rPr>
              <w:rFonts w:hint="eastAsia" w:ascii="仿宋" w:hAnsi="仿宋" w:eastAsia="仿宋" w:cs="Times New Roman"/>
              <w:color w:val="auto"/>
              <w:kern w:val="2"/>
              <w:sz w:val="24"/>
              <w:szCs w:val="22"/>
              <w:lang w:val="zh-CN"/>
            </w:rPr>
          </w:pP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HYPERLINK \l _Toc18775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第三部分 名词解释</w:t>
          </w:r>
          <w:r>
            <w:rPr>
              <w:rFonts w:hint="eastAsia" w:ascii="仿宋" w:hAnsi="仿宋" w:eastAsia="仿宋" w:cs="Times New Roman"/>
              <w:color w:val="auto"/>
              <w:kern w:val="2"/>
              <w:sz w:val="24"/>
              <w:szCs w:val="22"/>
              <w:lang w:val="zh-CN"/>
            </w:rPr>
            <w:tab/>
          </w: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PAGEREF _Toc18775 \h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21</w:t>
          </w:r>
          <w:r>
            <w:rPr>
              <w:rFonts w:hint="eastAsia" w:ascii="仿宋" w:hAnsi="仿宋" w:eastAsia="仿宋" w:cs="Times New Roman"/>
              <w:color w:val="auto"/>
              <w:kern w:val="2"/>
              <w:sz w:val="24"/>
              <w:szCs w:val="22"/>
              <w:lang w:val="zh-CN"/>
            </w:rPr>
            <w:fldChar w:fldCharType="end"/>
          </w:r>
          <w:r>
            <w:rPr>
              <w:rFonts w:hint="eastAsia" w:ascii="仿宋" w:hAnsi="仿宋" w:eastAsia="仿宋"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jc w:val="left"/>
            <w:rPr>
              <w:rFonts w:hint="eastAsia" w:ascii="仿宋" w:hAnsi="仿宋" w:eastAsia="仿宋" w:cs="Times New Roman"/>
              <w:color w:val="auto"/>
              <w:kern w:val="2"/>
              <w:sz w:val="24"/>
              <w:szCs w:val="22"/>
              <w:lang w:val="zh-CN"/>
            </w:rPr>
          </w:pP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HYPERLINK \l _Toc14708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第四部分 附件</w:t>
          </w:r>
          <w:r>
            <w:rPr>
              <w:rFonts w:hint="eastAsia" w:ascii="仿宋" w:hAnsi="仿宋" w:eastAsia="仿宋" w:cs="Times New Roman"/>
              <w:color w:val="auto"/>
              <w:kern w:val="2"/>
              <w:sz w:val="24"/>
              <w:szCs w:val="22"/>
              <w:lang w:val="zh-CN"/>
            </w:rPr>
            <w:tab/>
          </w: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PAGEREF _Toc14708 \h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24</w:t>
          </w:r>
          <w:r>
            <w:rPr>
              <w:rFonts w:hint="eastAsia" w:ascii="仿宋" w:hAnsi="仿宋" w:eastAsia="仿宋" w:cs="Times New Roman"/>
              <w:color w:val="auto"/>
              <w:kern w:val="2"/>
              <w:sz w:val="24"/>
              <w:szCs w:val="22"/>
              <w:lang w:val="zh-CN"/>
            </w:rPr>
            <w:fldChar w:fldCharType="end"/>
          </w:r>
          <w:r>
            <w:rPr>
              <w:rFonts w:hint="eastAsia" w:ascii="仿宋" w:hAnsi="仿宋" w:eastAsia="仿宋"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jc w:val="left"/>
            <w:rPr>
              <w:rFonts w:hint="eastAsia" w:ascii="仿宋" w:hAnsi="仿宋" w:eastAsia="仿宋" w:cs="Times New Roman"/>
              <w:color w:val="auto"/>
              <w:kern w:val="2"/>
              <w:sz w:val="24"/>
              <w:szCs w:val="22"/>
              <w:lang w:val="zh-CN"/>
            </w:rPr>
          </w:pP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HYPERLINK \l _Toc24983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第五部分 附表</w:t>
          </w:r>
          <w:r>
            <w:rPr>
              <w:rFonts w:hint="eastAsia" w:ascii="仿宋" w:hAnsi="仿宋" w:eastAsia="仿宋" w:cs="Times New Roman"/>
              <w:color w:val="auto"/>
              <w:kern w:val="2"/>
              <w:sz w:val="24"/>
              <w:szCs w:val="22"/>
              <w:lang w:val="zh-CN"/>
            </w:rPr>
            <w:tab/>
          </w:r>
          <w:r>
            <w:rPr>
              <w:rFonts w:hint="eastAsia" w:ascii="仿宋" w:hAnsi="仿宋" w:eastAsia="仿宋" w:cs="Times New Roman"/>
              <w:color w:val="auto"/>
              <w:kern w:val="2"/>
              <w:sz w:val="24"/>
              <w:szCs w:val="22"/>
              <w:lang w:val="zh-CN"/>
            </w:rPr>
            <w:fldChar w:fldCharType="begin"/>
          </w:r>
          <w:r>
            <w:rPr>
              <w:rFonts w:hint="eastAsia" w:ascii="仿宋" w:hAnsi="仿宋" w:eastAsia="仿宋" w:cs="Times New Roman"/>
              <w:color w:val="auto"/>
              <w:kern w:val="2"/>
              <w:sz w:val="24"/>
              <w:szCs w:val="22"/>
              <w:lang w:val="zh-CN"/>
            </w:rPr>
            <w:instrText xml:space="preserve"> PAGEREF _Toc24983 \h </w:instrText>
          </w:r>
          <w:r>
            <w:rPr>
              <w:rFonts w:hint="eastAsia" w:ascii="仿宋" w:hAnsi="仿宋" w:eastAsia="仿宋" w:cs="Times New Roman"/>
              <w:color w:val="auto"/>
              <w:kern w:val="2"/>
              <w:sz w:val="24"/>
              <w:szCs w:val="22"/>
              <w:lang w:val="zh-CN"/>
            </w:rPr>
            <w:fldChar w:fldCharType="separate"/>
          </w:r>
          <w:r>
            <w:rPr>
              <w:rFonts w:hint="eastAsia" w:ascii="仿宋" w:hAnsi="仿宋" w:eastAsia="仿宋" w:cs="Times New Roman"/>
              <w:color w:val="auto"/>
              <w:kern w:val="2"/>
              <w:sz w:val="24"/>
              <w:szCs w:val="22"/>
              <w:lang w:val="zh-CN"/>
            </w:rPr>
            <w:t>78</w:t>
          </w:r>
          <w:r>
            <w:rPr>
              <w:rFonts w:hint="eastAsia" w:ascii="仿宋" w:hAnsi="仿宋" w:eastAsia="仿宋" w:cs="Times New Roman"/>
              <w:color w:val="auto"/>
              <w:kern w:val="2"/>
              <w:sz w:val="24"/>
              <w:szCs w:val="22"/>
              <w:lang w:val="zh-CN"/>
            </w:rPr>
            <w:fldChar w:fldCharType="end"/>
          </w:r>
          <w:r>
            <w:rPr>
              <w:rFonts w:hint="eastAsia" w:ascii="仿宋" w:hAnsi="仿宋" w:eastAsia="仿宋"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_Toc1770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一、收入支出决算总表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_Toc1770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_Toc18123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二、收入决算表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_Toc18123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_Toc9099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三、支出决算表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_Toc9099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_Toc29781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四、财政拨款收入支出决算总表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_Toc29781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_Toc22595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五、财政拨款支出决算明细表</w:t>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_Toc22595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_Toc18246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六、一般公共预算财政拨款支出决算表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_Toc18246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_Toc4294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七、一般公共预算财政拨款支出决算明细表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_Toc4294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_Toc31708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八、一般公共预算财政拨款基本支出决算表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_Toc31708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_Toc588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九、一般公共预算财政拨款项目支出决算表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_Toc588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_Toc31894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十、政府性基金预算财政拨款收入支出决算表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_Toc31894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_Toc30423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十一、国有资本经营预算</w:t>
          </w:r>
          <w:r>
            <w:rPr>
              <w:rFonts w:hint="eastAsia" w:ascii="宋体" w:hAnsi="宋体" w:eastAsia="宋体" w:cs="Times New Roman"/>
              <w:color w:val="auto"/>
              <w:kern w:val="2"/>
              <w:sz w:val="24"/>
              <w:szCs w:val="22"/>
              <w:lang w:val="zh-CN" w:eastAsia="zh-CN"/>
            </w:rPr>
            <w:t>财政拨款收入</w:t>
          </w:r>
          <w:r>
            <w:rPr>
              <w:rFonts w:hint="eastAsia" w:ascii="宋体" w:hAnsi="宋体" w:eastAsia="宋体" w:cs="Times New Roman"/>
              <w:color w:val="auto"/>
              <w:kern w:val="2"/>
              <w:sz w:val="24"/>
              <w:szCs w:val="22"/>
              <w:lang w:val="zh-CN"/>
            </w:rPr>
            <w:t>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_Toc30423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宋体" w:hAnsi="宋体" w:eastAsia="宋体"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_Toc22252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十二、</w:t>
          </w:r>
          <w:r>
            <w:rPr>
              <w:rFonts w:hint="eastAsia" w:ascii="宋体" w:hAnsi="宋体" w:eastAsia="宋体" w:cs="Times New Roman"/>
              <w:color w:val="auto"/>
              <w:kern w:val="2"/>
              <w:sz w:val="24"/>
              <w:szCs w:val="22"/>
              <w:lang w:val="zh-CN" w:eastAsia="zh-CN"/>
            </w:rPr>
            <w:t>国有资本经营预算财政拨款支出决算表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_Toc22252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ind w:left="420"/>
            <w:jc w:val="left"/>
            <w:rPr>
              <w:rFonts w:hint="eastAsia" w:ascii="仿宋" w:hAnsi="仿宋" w:eastAsia="仿宋" w:cs="Times New Roman"/>
              <w:color w:val="auto"/>
              <w:kern w:val="2"/>
              <w:sz w:val="24"/>
              <w:szCs w:val="22"/>
              <w:lang w:val="zh-CN"/>
            </w:rPr>
          </w:pP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HYPERLINK \l _Toc27535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十三、</w:t>
          </w:r>
          <w:r>
            <w:rPr>
              <w:rFonts w:hint="eastAsia" w:ascii="宋体" w:hAnsi="宋体" w:eastAsia="宋体" w:cs="Times New Roman"/>
              <w:color w:val="auto"/>
              <w:kern w:val="2"/>
              <w:sz w:val="24"/>
              <w:szCs w:val="22"/>
              <w:lang w:val="zh-CN" w:eastAsia="zh-CN"/>
            </w:rPr>
            <w:t>财政拨款“三公”经费支出决算表</w:t>
          </w:r>
          <w:r>
            <w:rPr>
              <w:rFonts w:hint="eastAsia" w:ascii="宋体" w:hAnsi="宋体" w:eastAsia="宋体" w:cs="Times New Roman"/>
              <w:color w:val="auto"/>
              <w:kern w:val="2"/>
              <w:sz w:val="24"/>
              <w:szCs w:val="22"/>
              <w:lang w:val="zh-CN"/>
            </w:rPr>
            <w:tab/>
          </w:r>
          <w:r>
            <w:rPr>
              <w:rFonts w:hint="eastAsia" w:ascii="宋体" w:hAnsi="宋体" w:eastAsia="宋体" w:cs="Times New Roman"/>
              <w:color w:val="auto"/>
              <w:kern w:val="2"/>
              <w:sz w:val="24"/>
              <w:szCs w:val="22"/>
              <w:lang w:val="zh-CN"/>
            </w:rPr>
            <w:fldChar w:fldCharType="begin"/>
          </w:r>
          <w:r>
            <w:rPr>
              <w:rFonts w:hint="eastAsia" w:ascii="宋体" w:hAnsi="宋体" w:eastAsia="宋体" w:cs="Times New Roman"/>
              <w:color w:val="auto"/>
              <w:kern w:val="2"/>
              <w:sz w:val="24"/>
              <w:szCs w:val="22"/>
              <w:lang w:val="zh-CN"/>
            </w:rPr>
            <w:instrText xml:space="preserve"> PAGEREF _Toc27535 \h </w:instrText>
          </w:r>
          <w:r>
            <w:rPr>
              <w:rFonts w:hint="eastAsia" w:ascii="宋体" w:hAnsi="宋体" w:eastAsia="宋体" w:cs="Times New Roman"/>
              <w:color w:val="auto"/>
              <w:kern w:val="2"/>
              <w:sz w:val="24"/>
              <w:szCs w:val="22"/>
              <w:lang w:val="zh-CN"/>
            </w:rPr>
            <w:fldChar w:fldCharType="separate"/>
          </w:r>
          <w:r>
            <w:rPr>
              <w:rFonts w:hint="eastAsia" w:ascii="宋体" w:hAnsi="宋体" w:eastAsia="宋体" w:cs="Times New Roman"/>
              <w:color w:val="auto"/>
              <w:kern w:val="2"/>
              <w:sz w:val="24"/>
              <w:szCs w:val="22"/>
              <w:lang w:val="zh-CN"/>
            </w:rPr>
            <w:t>78</w:t>
          </w:r>
          <w:r>
            <w:rPr>
              <w:rFonts w:hint="eastAsia" w:ascii="宋体" w:hAnsi="宋体" w:eastAsia="宋体" w:cs="Times New Roman"/>
              <w:color w:val="auto"/>
              <w:kern w:val="2"/>
              <w:sz w:val="24"/>
              <w:szCs w:val="22"/>
              <w:lang w:val="zh-CN"/>
            </w:rPr>
            <w:fldChar w:fldCharType="end"/>
          </w:r>
          <w:r>
            <w:rPr>
              <w:rFonts w:hint="eastAsia" w:ascii="宋体" w:hAnsi="宋体" w:eastAsia="宋体" w:cs="Times New Roman"/>
              <w:color w:val="auto"/>
              <w:kern w:val="2"/>
              <w:sz w:val="24"/>
              <w:szCs w:val="22"/>
              <w:lang w:val="zh-CN"/>
            </w:rPr>
            <w:fldChar w:fldCharType="end"/>
          </w:r>
        </w:p>
        <w:p>
          <w:pPr>
            <w:tabs>
              <w:tab w:val="right" w:leader="dot" w:pos="8296"/>
            </w:tabs>
            <w:autoSpaceDE w:val="0"/>
            <w:autoSpaceDN w:val="0"/>
            <w:adjustRightInd w:val="0"/>
            <w:spacing w:beforeLines="0" w:afterLines="0" w:line="440" w:lineRule="exact"/>
            <w:jc w:val="left"/>
            <w:rPr>
              <w:rFonts w:hint="eastAsia"/>
              <w:color w:val="auto"/>
              <w:highlight w:val="none"/>
            </w:rPr>
          </w:pPr>
          <w:r>
            <w:rPr>
              <w:rFonts w:hint="eastAsia" w:ascii="仿宋" w:hAnsi="仿宋" w:eastAsia="仿宋" w:cs="Times New Roman"/>
              <w:color w:val="auto"/>
              <w:kern w:val="2"/>
              <w:sz w:val="24"/>
              <w:szCs w:val="22"/>
              <w:lang w:val="zh-CN"/>
            </w:rPr>
            <w:fldChar w:fldCharType="end"/>
          </w:r>
        </w:p>
      </w:sdtContent>
    </w:sdt>
    <w:p>
      <w:pPr>
        <w:rPr>
          <w:rFonts w:hint="eastAsia"/>
          <w:color w:val="auto"/>
          <w:highlight w:val="none"/>
        </w:rPr>
      </w:pPr>
    </w:p>
    <w:p>
      <w:pPr>
        <w:pStyle w:val="13"/>
        <w:outlineLvl w:val="9"/>
        <w:rPr>
          <w:rFonts w:hint="eastAsia"/>
          <w:color w:val="auto"/>
          <w:highlight w:val="none"/>
        </w:rPr>
      </w:pPr>
    </w:p>
    <w:p>
      <w:pPr>
        <w:rPr>
          <w:rFonts w:hint="eastAsia"/>
          <w:color w:val="auto"/>
          <w:highlight w:val="none"/>
        </w:rPr>
      </w:pPr>
    </w:p>
    <w:p>
      <w:pPr>
        <w:pStyle w:val="13"/>
        <w:outlineLvl w:val="9"/>
        <w:rPr>
          <w:rFonts w:hint="eastAsia"/>
          <w:color w:val="auto"/>
          <w:highlight w:val="none"/>
        </w:rPr>
      </w:pPr>
    </w:p>
    <w:p>
      <w:pPr>
        <w:rPr>
          <w:rFonts w:hint="eastAsia"/>
          <w:color w:val="auto"/>
          <w:highlight w:val="none"/>
        </w:rPr>
      </w:pPr>
    </w:p>
    <w:p>
      <w:pPr>
        <w:pStyle w:val="13"/>
        <w:outlineLvl w:val="9"/>
        <w:rPr>
          <w:rFonts w:hint="eastAsia"/>
          <w:color w:val="auto"/>
          <w:highlight w:val="none"/>
        </w:rPr>
      </w:pPr>
    </w:p>
    <w:p>
      <w:pPr>
        <w:rPr>
          <w:rFonts w:hint="eastAsia"/>
          <w:color w:val="auto"/>
          <w:highlight w:val="none"/>
        </w:rPr>
      </w:pPr>
    </w:p>
    <w:p>
      <w:pPr>
        <w:pStyle w:val="13"/>
        <w:outlineLvl w:val="9"/>
        <w:rPr>
          <w:rFonts w:hint="eastAsia"/>
          <w:color w:val="auto"/>
          <w:highlight w:val="none"/>
        </w:rPr>
      </w:pPr>
    </w:p>
    <w:p>
      <w:pPr>
        <w:rPr>
          <w:rFonts w:hint="eastAsia"/>
          <w:color w:val="auto"/>
          <w:highlight w:val="none"/>
        </w:rPr>
      </w:pPr>
    </w:p>
    <w:p>
      <w:pPr>
        <w:pStyle w:val="13"/>
        <w:outlineLvl w:val="9"/>
      </w:pPr>
    </w:p>
    <w:p>
      <w:pPr>
        <w:rPr>
          <w:color w:val="auto"/>
          <w:highlight w:val="none"/>
        </w:rPr>
      </w:pPr>
    </w:p>
    <w:p>
      <w:pPr>
        <w:pStyle w:val="3"/>
        <w:jc w:val="both"/>
        <w:outlineLvl w:val="9"/>
        <w:rPr>
          <w:rFonts w:hint="eastAsia" w:ascii="黑体" w:hAnsi="黑体" w:eastAsia="黑体"/>
          <w:b w:val="0"/>
          <w:color w:val="auto"/>
          <w:highlight w:val="none"/>
        </w:rPr>
      </w:pPr>
      <w:bookmarkStart w:id="12" w:name="_Toc15396599"/>
      <w:bookmarkStart w:id="13" w:name="_Toc15377196"/>
    </w:p>
    <w:p>
      <w:pPr>
        <w:rPr>
          <w:rFonts w:hint="eastAsia" w:ascii="黑体" w:hAnsi="黑体" w:eastAsia="黑体"/>
          <w:b w:val="0"/>
          <w:color w:val="auto"/>
          <w:highlight w:val="none"/>
        </w:rPr>
      </w:pPr>
    </w:p>
    <w:p>
      <w:pPr>
        <w:pStyle w:val="13"/>
        <w:rPr>
          <w:rFonts w:hint="eastAsia" w:ascii="黑体" w:hAnsi="黑体" w:eastAsia="黑体"/>
          <w:b w:val="0"/>
          <w:color w:val="auto"/>
          <w:highlight w:val="none"/>
        </w:rPr>
      </w:pPr>
    </w:p>
    <w:p>
      <w:pPr>
        <w:rPr>
          <w:rFonts w:hint="eastAsia"/>
        </w:rPr>
      </w:pPr>
    </w:p>
    <w:p>
      <w:pPr>
        <w:pStyle w:val="3"/>
        <w:jc w:val="center"/>
        <w:outlineLvl w:val="0"/>
        <w:rPr>
          <w:rStyle w:val="20"/>
          <w:rFonts w:ascii="黑体" w:hAnsi="黑体" w:eastAsia="黑体"/>
          <w:b/>
          <w:bCs w:val="0"/>
          <w:color w:val="auto"/>
          <w:highlight w:val="none"/>
        </w:rPr>
      </w:pPr>
      <w:bookmarkStart w:id="14" w:name="_Toc19736"/>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2"/>
      <w:bookmarkEnd w:id="13"/>
      <w:bookmarkEnd w:id="14"/>
    </w:p>
    <w:p>
      <w:pPr>
        <w:widowControl/>
        <w:jc w:val="left"/>
        <w:rPr>
          <w:rFonts w:ascii="黑体" w:eastAsia="黑体"/>
          <w:color w:val="auto"/>
          <w:sz w:val="32"/>
          <w:szCs w:val="32"/>
          <w:highlight w:val="none"/>
        </w:rPr>
      </w:pPr>
    </w:p>
    <w:p>
      <w:pPr>
        <w:pStyle w:val="4"/>
        <w:numPr>
          <w:ilvl w:val="0"/>
          <w:numId w:val="1"/>
        </w:numPr>
        <w:outlineLvl w:val="1"/>
        <w:rPr>
          <w:rFonts w:ascii="仿宋" w:hAnsi="仿宋" w:eastAsia="仿宋"/>
          <w:sz w:val="32"/>
          <w:szCs w:val="32"/>
        </w:rPr>
      </w:pPr>
      <w:bookmarkStart w:id="15" w:name="_Toc32453"/>
      <w:r>
        <w:rPr>
          <w:rFonts w:hint="eastAsia" w:ascii="黑体" w:hAnsi="黑体" w:eastAsia="黑体"/>
          <w:b w:val="0"/>
          <w:color w:val="auto"/>
          <w:highlight w:val="none"/>
          <w:lang w:eastAsia="zh-CN"/>
        </w:rPr>
        <w:t>部门职责</w:t>
      </w:r>
      <w:bookmarkEnd w:id="15"/>
    </w:p>
    <w:p>
      <w:pPr>
        <w:ind w:firstLine="640" w:firstLineChars="200"/>
        <w:rPr>
          <w:rFonts w:ascii="仿宋" w:hAnsi="仿宋" w:eastAsia="仿宋"/>
          <w:sz w:val="32"/>
          <w:szCs w:val="32"/>
        </w:rPr>
      </w:pPr>
      <w:r>
        <w:rPr>
          <w:rFonts w:hint="eastAsia" w:ascii="仿宋" w:hAnsi="仿宋" w:eastAsia="仿宋"/>
          <w:sz w:val="32"/>
          <w:szCs w:val="32"/>
        </w:rPr>
        <w:t>1.宣传贯彻执行有关水务工作的法律、法规和方针政策；负责拟定全县水务管理规范性文件并组织实施。</w:t>
      </w:r>
    </w:p>
    <w:p>
      <w:pPr>
        <w:ind w:firstLine="640" w:firstLineChars="200"/>
        <w:rPr>
          <w:rFonts w:ascii="仿宋" w:hAnsi="仿宋" w:eastAsia="仿宋"/>
          <w:sz w:val="32"/>
          <w:szCs w:val="32"/>
        </w:rPr>
      </w:pPr>
      <w:r>
        <w:rPr>
          <w:rFonts w:hint="eastAsia" w:ascii="仿宋" w:hAnsi="仿宋" w:eastAsia="仿宋"/>
          <w:sz w:val="32"/>
          <w:szCs w:val="32"/>
        </w:rPr>
        <w:t>2.负责编制全县城乡水务发展规划；拟定全县中长期供水计划和年度供水计划、水量分配方案和旱情紧急情况下水量调度预案，并组织实施。</w:t>
      </w:r>
    </w:p>
    <w:p>
      <w:pPr>
        <w:ind w:firstLine="640" w:firstLineChars="200"/>
        <w:rPr>
          <w:rFonts w:ascii="仿宋" w:hAnsi="仿宋" w:eastAsia="仿宋"/>
          <w:sz w:val="32"/>
          <w:szCs w:val="32"/>
        </w:rPr>
      </w:pPr>
      <w:r>
        <w:rPr>
          <w:rFonts w:hint="eastAsia" w:ascii="仿宋" w:hAnsi="仿宋" w:eastAsia="仿宋"/>
          <w:sz w:val="32"/>
          <w:szCs w:val="32"/>
        </w:rPr>
        <w:t>3.组织有关全县国民经济发展总体规划、城市规划及重大建设项目的水资源利用和防洪论证工作。</w:t>
      </w:r>
    </w:p>
    <w:p>
      <w:pPr>
        <w:ind w:firstLine="640" w:firstLineChars="200"/>
        <w:rPr>
          <w:rFonts w:ascii="仿宋" w:hAnsi="仿宋" w:eastAsia="仿宋"/>
          <w:sz w:val="32"/>
          <w:szCs w:val="32"/>
        </w:rPr>
      </w:pPr>
      <w:r>
        <w:rPr>
          <w:rFonts w:hint="eastAsia" w:ascii="仿宋" w:hAnsi="仿宋" w:eastAsia="仿宋"/>
          <w:sz w:val="32"/>
          <w:szCs w:val="32"/>
        </w:rPr>
        <w:t>4.负责全县水资源（含空中水、地表水、地下水）的统一管理和监督工作；负责对水资源的动态监测；审核水域纳污能力、向生态环境峨边分局提出限制排污总量的意见；监测江河湖库及饮水区等水域的水质、水量，组织编制全县节约用水、计划用水规划和有关标准，并组织实施。</w:t>
      </w:r>
    </w:p>
    <w:p>
      <w:pPr>
        <w:ind w:firstLine="640" w:firstLineChars="200"/>
        <w:rPr>
          <w:rFonts w:ascii="仿宋" w:hAnsi="仿宋" w:eastAsia="仿宋"/>
          <w:sz w:val="32"/>
          <w:szCs w:val="32"/>
        </w:rPr>
      </w:pPr>
      <w:r>
        <w:rPr>
          <w:rFonts w:hint="eastAsia" w:ascii="仿宋" w:hAnsi="仿宋" w:eastAsia="仿宋"/>
          <w:sz w:val="32"/>
          <w:szCs w:val="32"/>
        </w:rPr>
        <w:t>5.负责组织指导全县水务行政执法工作；负责水务行政复议的受理和行政诉讼的应诉工作；调解处理重大水事纠纷；依法查处水事违法案件。</w:t>
      </w:r>
    </w:p>
    <w:p>
      <w:pPr>
        <w:ind w:firstLine="640" w:firstLineChars="200"/>
        <w:rPr>
          <w:rFonts w:ascii="仿宋" w:hAnsi="仿宋" w:eastAsia="仿宋"/>
          <w:sz w:val="32"/>
          <w:szCs w:val="32"/>
        </w:rPr>
      </w:pPr>
      <w:r>
        <w:rPr>
          <w:rFonts w:hint="eastAsia" w:ascii="仿宋" w:hAnsi="仿宋" w:eastAsia="仿宋"/>
          <w:sz w:val="32"/>
          <w:szCs w:val="32"/>
        </w:rPr>
        <w:t>6.负责组织编制全县供水规划和供水行业管理工作；负责全县供水企业的资质管理；制定全县供水行业的服务标准并实施监督检查；负责全县供水价格测算的组织工作；负责指导、监督全县供水等基础设施建设；负责自备井的管理和指导。</w:t>
      </w:r>
    </w:p>
    <w:p>
      <w:pPr>
        <w:ind w:firstLine="640" w:firstLineChars="200"/>
        <w:rPr>
          <w:rFonts w:ascii="仿宋" w:hAnsi="仿宋" w:eastAsia="仿宋"/>
          <w:sz w:val="32"/>
          <w:szCs w:val="32"/>
        </w:rPr>
      </w:pPr>
      <w:r>
        <w:rPr>
          <w:rFonts w:hint="eastAsia" w:ascii="仿宋" w:hAnsi="仿宋" w:eastAsia="仿宋"/>
          <w:sz w:val="32"/>
          <w:szCs w:val="32"/>
        </w:rPr>
        <w:t>7.负责拟定水务行业经济调节措施，研究提出水务行业有关价格、税收、信贷、财务等经济调节意见；负责编制全县水务行业建设项目资金计划，对水务资金的使用进行宏观管理、监督和审查。</w:t>
      </w:r>
    </w:p>
    <w:p>
      <w:pPr>
        <w:ind w:firstLine="640" w:firstLineChars="200"/>
        <w:rPr>
          <w:rFonts w:ascii="仿宋" w:hAnsi="仿宋" w:eastAsia="仿宋"/>
          <w:sz w:val="32"/>
          <w:szCs w:val="32"/>
        </w:rPr>
      </w:pPr>
      <w:r>
        <w:rPr>
          <w:rFonts w:hint="eastAsia" w:ascii="仿宋" w:hAnsi="仿宋" w:eastAsia="仿宋"/>
          <w:sz w:val="32"/>
          <w:szCs w:val="32"/>
        </w:rPr>
        <w:t>8.组织指导全县水务基本建设，并实施行业监督管理；负责全县水务行业基本建设的质量监督和安全管理工作；负责小型水利工程建设，初审、转报大中型水利基建项目初步设计；组织建设和管理具有控制性或跨乡镇的重要水利工程；组织指导水库、水电站大坝的安全监督。</w:t>
      </w:r>
    </w:p>
    <w:p>
      <w:pPr>
        <w:ind w:firstLine="640" w:firstLineChars="200"/>
        <w:rPr>
          <w:rFonts w:ascii="仿宋" w:hAnsi="仿宋" w:eastAsia="仿宋"/>
          <w:sz w:val="32"/>
          <w:szCs w:val="32"/>
        </w:rPr>
      </w:pPr>
      <w:r>
        <w:rPr>
          <w:rFonts w:hint="eastAsia" w:ascii="仿宋" w:hAnsi="仿宋" w:eastAsia="仿宋"/>
          <w:sz w:val="32"/>
          <w:szCs w:val="32"/>
        </w:rPr>
        <w:t>9.编制全县水土保持规划并组织实施；负责水土保持预防监督、水土流失监测和综合防治工作；组织实施工程建设项目水土保持方案和设施自主验收的备案，征收水土保持补偿费；指导水利绿化工作。</w:t>
      </w:r>
    </w:p>
    <w:p>
      <w:pPr>
        <w:ind w:firstLine="640" w:firstLineChars="200"/>
        <w:rPr>
          <w:rFonts w:ascii="仿宋" w:hAnsi="仿宋" w:eastAsia="仿宋"/>
          <w:sz w:val="32"/>
          <w:szCs w:val="32"/>
        </w:rPr>
      </w:pPr>
      <w:r>
        <w:rPr>
          <w:rFonts w:hint="eastAsia" w:ascii="仿宋" w:hAnsi="仿宋" w:eastAsia="仿宋"/>
          <w:sz w:val="32"/>
          <w:szCs w:val="32"/>
        </w:rPr>
        <w:t>10.对县境内主要江河和重要水利工程实施山洪灾害监测；掌握全县境内的雨情、水情信息，及时传达各有关单位。</w:t>
      </w:r>
    </w:p>
    <w:p>
      <w:pPr>
        <w:ind w:firstLine="640" w:firstLineChars="200"/>
        <w:rPr>
          <w:rFonts w:ascii="仿宋" w:hAnsi="仿宋" w:eastAsia="仿宋"/>
          <w:sz w:val="32"/>
          <w:szCs w:val="32"/>
        </w:rPr>
      </w:pPr>
      <w:r>
        <w:rPr>
          <w:rFonts w:hint="eastAsia" w:ascii="仿宋" w:hAnsi="仿宋" w:eastAsia="仿宋"/>
          <w:sz w:val="32"/>
          <w:szCs w:val="32"/>
        </w:rPr>
        <w:t>11.指导全县江河、湖库、滩涂的综合治理与开发；组织实施河道采砂许可制度和征收河道砂石资源费制度。</w:t>
      </w:r>
    </w:p>
    <w:p>
      <w:pPr>
        <w:ind w:firstLine="640" w:firstLineChars="200"/>
        <w:rPr>
          <w:rFonts w:ascii="仿宋" w:hAnsi="仿宋" w:eastAsia="仿宋"/>
          <w:sz w:val="32"/>
          <w:szCs w:val="32"/>
        </w:rPr>
      </w:pPr>
      <w:r>
        <w:rPr>
          <w:rFonts w:hint="eastAsia" w:ascii="仿宋" w:hAnsi="仿宋" w:eastAsia="仿宋"/>
          <w:sz w:val="32"/>
          <w:szCs w:val="32"/>
        </w:rPr>
        <w:t>12.指导全县有关水务等项目的科学研究和技术推广，组织指导全县重大水务项目对外合作和交流。</w:t>
      </w:r>
    </w:p>
    <w:p>
      <w:pPr>
        <w:ind w:firstLine="640" w:firstLineChars="200"/>
        <w:rPr>
          <w:rFonts w:ascii="仿宋" w:hAnsi="仿宋" w:eastAsia="仿宋"/>
          <w:sz w:val="32"/>
          <w:szCs w:val="32"/>
        </w:rPr>
      </w:pPr>
      <w:r>
        <w:rPr>
          <w:rFonts w:hint="eastAsia" w:ascii="仿宋" w:hAnsi="仿宋" w:eastAsia="仿宋"/>
          <w:sz w:val="32"/>
          <w:szCs w:val="32"/>
        </w:rPr>
        <w:t>13.指导全县水务行业干部职工队伍建设和服务体系建设；指导水务行业劳动保护和安全生产工作。</w:t>
      </w:r>
    </w:p>
    <w:p>
      <w:pPr>
        <w:ind w:firstLine="640" w:firstLineChars="200"/>
        <w:rPr>
          <w:rFonts w:ascii="仿宋" w:hAnsi="仿宋" w:eastAsia="仿宋"/>
          <w:sz w:val="32"/>
          <w:szCs w:val="32"/>
        </w:rPr>
      </w:pPr>
      <w:r>
        <w:rPr>
          <w:rFonts w:hint="eastAsia" w:ascii="仿宋" w:hAnsi="仿宋" w:eastAsia="仿宋"/>
          <w:sz w:val="32"/>
          <w:szCs w:val="32"/>
        </w:rPr>
        <w:t>14.负责职责范围内的安全生产和职业健康、生态环境保护、服务便民化工作。</w:t>
      </w:r>
    </w:p>
    <w:p>
      <w:pPr>
        <w:ind w:firstLine="640" w:firstLineChars="200"/>
        <w:rPr>
          <w:rFonts w:ascii="仿宋" w:hAnsi="仿宋" w:eastAsia="仿宋"/>
          <w:sz w:val="32"/>
          <w:szCs w:val="32"/>
        </w:rPr>
      </w:pPr>
      <w:r>
        <w:rPr>
          <w:rFonts w:hint="eastAsia" w:ascii="仿宋" w:hAnsi="仿宋" w:eastAsia="仿宋"/>
          <w:sz w:val="32"/>
          <w:szCs w:val="32"/>
        </w:rPr>
        <w:t>15.负责县总河长办公室的日常工作，贯彻执行上级和县委、政府河长制工作决策部署，充分发挥参谋助手、综合协调、督办等职能作用，认真履行办文、办会、办事等工作职责，统筹协调督促推进全县河长制工作</w:t>
      </w:r>
    </w:p>
    <w:p>
      <w:pPr>
        <w:ind w:firstLine="640" w:firstLineChars="200"/>
        <w:rPr>
          <w:rFonts w:ascii="仿宋" w:hAnsi="仿宋" w:eastAsia="仿宋"/>
          <w:sz w:val="32"/>
          <w:szCs w:val="32"/>
        </w:rPr>
      </w:pPr>
      <w:r>
        <w:rPr>
          <w:rFonts w:hint="eastAsia" w:ascii="仿宋" w:hAnsi="仿宋" w:eastAsia="仿宋"/>
          <w:sz w:val="32"/>
          <w:szCs w:val="32"/>
        </w:rPr>
        <w:t>16.在自然灾害防救方面的职责分工。县应急局与县自然资源局、县水务局、县林业局等部门要做到各司其职，无缝对接。县应急局负责统一组织、统一指挥、统一协调自然灾害类突发事件应急救援工作，县自然资源局、县水务局、县林业局依法依规承担相关行业领域的灾害监测、预警、防治工作及抢险救援的技术保障工作。</w:t>
      </w:r>
    </w:p>
    <w:p>
      <w:pPr>
        <w:ind w:firstLine="640" w:firstLineChars="200"/>
        <w:rPr>
          <w:rFonts w:ascii="仿宋" w:hAnsi="仿宋" w:eastAsia="仿宋"/>
          <w:sz w:val="32"/>
          <w:szCs w:val="32"/>
        </w:rPr>
      </w:pPr>
      <w:r>
        <w:rPr>
          <w:rFonts w:hint="eastAsia" w:ascii="仿宋" w:hAnsi="仿宋" w:eastAsia="仿宋"/>
          <w:sz w:val="32"/>
          <w:szCs w:val="32"/>
        </w:rPr>
        <w:t>（1）县应急局负责牵头组织编制全县综合应急防灾减灾预案和安全生产类、自然灾害类专项预案，承担应急预案衔接工作，组织开展预案演练。按照分级负责的原则，组织、指导自然灾害类应急救援；组织、协调灾害应急救援工作，并按权限作出决定；承担全县应对较大及以上灾害指挥部工作；负责组织较大及以上灾害处理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w:t>
      </w:r>
    </w:p>
    <w:p>
      <w:pPr>
        <w:ind w:firstLine="320" w:firstLineChars="100"/>
        <w:rPr>
          <w:rFonts w:ascii="仿宋" w:hAnsi="仿宋" w:eastAsia="仿宋"/>
          <w:sz w:val="32"/>
          <w:szCs w:val="32"/>
        </w:rPr>
      </w:pPr>
      <w:r>
        <w:rPr>
          <w:rFonts w:hint="eastAsia" w:ascii="仿宋" w:hAnsi="仿宋" w:eastAsia="仿宋"/>
          <w:sz w:val="32"/>
          <w:szCs w:val="32"/>
        </w:rPr>
        <w:t>（2）县水务局负责落实综合防灾减灾规划相关要求，组织编制洪水干旱灾害防治规划和防护标准并指导实施，承担全县水情旱情监测预警工作。组织编制审查全县有防洪功能的水利工程汛期调度运用计划，组织编制、审查全县江河和重要水利工程的防洪抗旱调度方案及应急水量调度方案，按程序报批并组织、监督实施。承担防御洪水应急抢险的技术支撑工作。</w:t>
      </w:r>
    </w:p>
    <w:p>
      <w:pPr>
        <w:ind w:firstLine="320" w:firstLineChars="100"/>
        <w:rPr>
          <w:rFonts w:hint="eastAsia" w:ascii="仿宋" w:hAnsi="仿宋" w:eastAsia="仿宋"/>
          <w:sz w:val="32"/>
          <w:szCs w:val="32"/>
        </w:rPr>
      </w:pPr>
      <w:r>
        <w:rPr>
          <w:rFonts w:hint="eastAsia" w:ascii="仿宋" w:hAnsi="仿宋" w:eastAsia="仿宋"/>
          <w:sz w:val="32"/>
          <w:szCs w:val="32"/>
        </w:rPr>
        <w:t>（3）必要时，县水务局可以提请县应急管理局，以县应急指挥机构名义部署相关防治工作。</w:t>
      </w:r>
    </w:p>
    <w:p>
      <w:pPr>
        <w:pStyle w:val="25"/>
        <w:ind w:firstLine="640" w:firstLineChars="200"/>
        <w:rPr>
          <w:rFonts w:hint="eastAsia" w:ascii="仿宋" w:hAnsi="仿宋" w:eastAsia="仿宋" w:cs="仿宋"/>
          <w:b w:val="0"/>
          <w:bCs w:val="0"/>
          <w:i w:val="0"/>
          <w:iCs w:val="0"/>
          <w:sz w:val="32"/>
          <w:szCs w:val="32"/>
          <w:lang w:val="en-US" w:eastAsia="zh-CN"/>
        </w:rPr>
      </w:pPr>
      <w:r>
        <w:rPr>
          <w:rFonts w:hint="eastAsia" w:ascii="仿宋" w:hAnsi="仿宋" w:eastAsia="仿宋" w:cs="仿宋"/>
          <w:b w:val="0"/>
          <w:bCs w:val="0"/>
          <w:i w:val="0"/>
          <w:iCs w:val="0"/>
          <w:sz w:val="32"/>
          <w:szCs w:val="32"/>
          <w:lang w:val="en-US" w:eastAsia="zh-CN"/>
        </w:rPr>
        <w:t>17.完成原乡村振兴局承担的移民后期扶持工作</w:t>
      </w:r>
    </w:p>
    <w:p>
      <w:pPr>
        <w:ind w:firstLine="640" w:firstLineChars="200"/>
        <w:rPr>
          <w:rFonts w:hint="default"/>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8</w:t>
      </w:r>
      <w:r>
        <w:rPr>
          <w:rFonts w:hint="eastAsia" w:ascii="仿宋" w:hAnsi="仿宋" w:eastAsia="仿宋"/>
          <w:sz w:val="32"/>
          <w:szCs w:val="32"/>
        </w:rPr>
        <w:t>.完成县委、县政府交办的其它任务。</w:t>
      </w:r>
    </w:p>
    <w:p>
      <w:pPr>
        <w:pStyle w:val="4"/>
        <w:rPr>
          <w:rStyle w:val="21"/>
          <w:b w:val="0"/>
          <w:bCs w:val="0"/>
          <w:color w:val="auto"/>
          <w:highlight w:val="none"/>
        </w:rPr>
      </w:pPr>
      <w:bookmarkStart w:id="16" w:name="_Toc18962"/>
      <w:bookmarkStart w:id="17" w:name="_Toc15377200"/>
      <w:bookmarkStart w:id="18"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16"/>
      <w:bookmarkEnd w:id="17"/>
      <w:bookmarkEnd w:id="18"/>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峨边彝族自治县水务局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pStyle w:val="2"/>
        <w:adjustRightInd w:val="0"/>
        <w:snapToGrid w:val="0"/>
        <w:spacing w:before="93" w:line="600" w:lineRule="exact"/>
        <w:ind w:firstLine="672" w:firstLineChars="21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没有</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峨边彝族自治县水务局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0"/>
          <w:rFonts w:ascii="黑体" w:hAnsi="黑体" w:eastAsia="黑体"/>
          <w:b w:val="0"/>
          <w:bCs/>
          <w:color w:val="auto"/>
          <w:highlight w:val="none"/>
        </w:rPr>
      </w:pPr>
      <w:bookmarkStart w:id="19" w:name="_Toc15396602"/>
      <w:bookmarkStart w:id="20" w:name="_Toc15377204"/>
      <w:bookmarkStart w:id="21" w:name="_Toc1929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19"/>
      <w:bookmarkEnd w:id="20"/>
      <w:bookmarkEnd w:id="21"/>
    </w:p>
    <w:p>
      <w:pPr>
        <w:rPr>
          <w:color w:val="auto"/>
          <w:highlight w:val="none"/>
        </w:rPr>
      </w:pPr>
    </w:p>
    <w:p>
      <w:pPr>
        <w:pStyle w:val="22"/>
        <w:numPr>
          <w:ilvl w:val="0"/>
          <w:numId w:val="2"/>
        </w:numPr>
        <w:spacing w:line="600" w:lineRule="exact"/>
        <w:ind w:firstLineChars="0"/>
        <w:outlineLvl w:val="1"/>
        <w:rPr>
          <w:rStyle w:val="21"/>
          <w:rFonts w:ascii="黑体" w:hAnsi="黑体" w:eastAsia="黑体"/>
          <w:b w:val="0"/>
          <w:color w:val="auto"/>
          <w:highlight w:val="none"/>
        </w:rPr>
      </w:pPr>
      <w:bookmarkStart w:id="22" w:name="_Toc15377205"/>
      <w:bookmarkStart w:id="23" w:name="_Toc15396603"/>
      <w:bookmarkStart w:id="24" w:name="_Toc20806"/>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2"/>
      <w:bookmarkEnd w:id="23"/>
      <w:bookmarkEnd w:id="24"/>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年度收、支总计11,039.18万元。与20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年相比，收、支总计减少</w:t>
      </w:r>
      <w:r>
        <w:rPr>
          <w:rFonts w:hint="eastAsia" w:ascii="仿宋" w:hAnsi="仿宋" w:eastAsia="仿宋"/>
          <w:color w:val="auto"/>
          <w:sz w:val="32"/>
          <w:szCs w:val="32"/>
          <w:highlight w:val="none"/>
          <w:lang w:val="en-US" w:eastAsia="zh-CN"/>
        </w:rPr>
        <w:t>1983.74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15.24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2022年度无中小河流项目资金</w:t>
      </w:r>
      <w:r>
        <w:rPr>
          <w:rFonts w:hint="eastAsia" w:ascii="仿宋" w:hAnsi="仿宋" w:eastAsia="仿宋"/>
          <w:color w:val="auto"/>
          <w:sz w:val="32"/>
          <w:szCs w:val="32"/>
          <w:highlight w:val="none"/>
          <w:lang w:eastAsia="zh-CN"/>
        </w:rPr>
        <w:t>。</w:t>
      </w:r>
    </w:p>
    <w:p>
      <w:pPr>
        <w:spacing w:line="600" w:lineRule="exact"/>
        <w:jc w:val="both"/>
        <w:outlineLvl w:val="1"/>
        <w:rPr>
          <w:rStyle w:val="21"/>
          <w:rFonts w:ascii="黑体" w:hAnsi="黑体" w:eastAsia="黑体"/>
          <w:b w:val="0"/>
          <w:color w:val="auto"/>
          <w:highlight w:val="none"/>
        </w:rPr>
      </w:pPr>
      <w:bookmarkStart w:id="25" w:name="_Toc18392"/>
      <w:r>
        <w:rPr>
          <w:rFonts w:hint="eastAsia" w:ascii="仿宋_GB2312" w:eastAsia="仿宋_GB2312"/>
          <w:b/>
          <w:bCs/>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97790</wp:posOffset>
            </wp:positionH>
            <wp:positionV relativeFrom="paragraph">
              <wp:posOffset>365760</wp:posOffset>
            </wp:positionV>
            <wp:extent cx="5225415" cy="2693670"/>
            <wp:effectExtent l="4445" t="4445" r="8890" b="69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26" w:name="_Toc15377206"/>
      <w:bookmarkStart w:id="27" w:name="_Toc15396604"/>
      <w:r>
        <w:rPr>
          <w:rFonts w:hint="eastAsia" w:ascii="仿宋_GB2312" w:eastAsia="仿宋_GB2312"/>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lang w:val="en-US" w:eastAsia="zh-CN"/>
        </w:rPr>
        <w:t>二</w:t>
      </w:r>
      <w:r>
        <w:rPr>
          <w:rFonts w:hint="eastAsia" w:ascii="黑体" w:hAnsi="黑体" w:eastAsia="黑体" w:cs="黑体"/>
          <w:color w:val="auto"/>
          <w:sz w:val="32"/>
          <w:szCs w:val="32"/>
          <w:highlight w:val="none"/>
          <w:lang w:val="en-US" w:eastAsia="zh-CN"/>
        </w:rPr>
        <w:t>、</w:t>
      </w:r>
      <w:r>
        <w:rPr>
          <w:rFonts w:hint="eastAsia" w:ascii="黑体" w:hAnsi="黑体" w:eastAsia="黑体" w:cs="黑体"/>
          <w:color w:val="auto"/>
          <w:sz w:val="32"/>
          <w:szCs w:val="32"/>
          <w:highlight w:val="none"/>
        </w:rPr>
        <w:t>收</w:t>
      </w:r>
      <w:r>
        <w:rPr>
          <w:rStyle w:val="21"/>
          <w:rFonts w:hint="eastAsia" w:ascii="黑体" w:hAnsi="黑体" w:eastAsia="黑体" w:cs="黑体"/>
          <w:b w:val="0"/>
          <w:color w:val="auto"/>
          <w:highlight w:val="none"/>
        </w:rPr>
        <w:t>入决算情况说明</w:t>
      </w:r>
      <w:bookmarkEnd w:id="25"/>
      <w:bookmarkEnd w:id="26"/>
      <w:bookmarkEnd w:id="27"/>
    </w:p>
    <w:p>
      <w:pPr>
        <w:spacing w:line="600" w:lineRule="exact"/>
        <w:ind w:firstLine="640" w:firstLineChars="200"/>
        <w:outlineLvl w:val="9"/>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年本年收入合计6,742.11万元，其中：一般公共预算财政拨款收入5,941.30万元，占</w:t>
      </w:r>
      <w:r>
        <w:rPr>
          <w:rFonts w:hint="eastAsia" w:ascii="仿宋" w:hAnsi="仿宋" w:eastAsia="仿宋"/>
          <w:color w:val="auto"/>
          <w:sz w:val="32"/>
          <w:szCs w:val="32"/>
          <w:highlight w:val="none"/>
          <w:lang w:val="en-US" w:eastAsia="zh-CN"/>
        </w:rPr>
        <w:t>88.13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；政府性基金预算财政拨款收入800.81万元，占</w:t>
      </w:r>
      <w:r>
        <w:rPr>
          <w:rFonts w:hint="eastAsia" w:ascii="仿宋" w:hAnsi="仿宋" w:eastAsia="仿宋"/>
          <w:color w:val="auto"/>
          <w:sz w:val="32"/>
          <w:szCs w:val="32"/>
          <w:highlight w:val="none"/>
          <w:lang w:val="en-US" w:eastAsia="zh-CN"/>
        </w:rPr>
        <w:t>11.87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
        <w:outlineLvl w:val="1"/>
        <w:rPr>
          <w:rStyle w:val="21"/>
          <w:rFonts w:hint="eastAsia" w:ascii="黑体" w:hAnsi="黑体" w:eastAsia="黑体" w:cs="黑体"/>
          <w:b w:val="0"/>
          <w:color w:val="auto"/>
          <w:highlight w:val="none"/>
        </w:rPr>
      </w:pPr>
      <w:bookmarkStart w:id="28" w:name="_Toc6718"/>
      <w:r>
        <w:rPr>
          <w:rFonts w:hint="eastAsia" w:ascii="黑体" w:hAnsi="黑体" w:eastAsia="黑体" w:cs="黑体"/>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-130810</wp:posOffset>
            </wp:positionH>
            <wp:positionV relativeFrom="paragraph">
              <wp:posOffset>-104775</wp:posOffset>
            </wp:positionV>
            <wp:extent cx="5226685" cy="2741930"/>
            <wp:effectExtent l="4445" t="4445" r="7620" b="1587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9" w:name="_Toc15377207"/>
      <w:bookmarkStart w:id="30" w:name="_Toc15396605"/>
      <w:r>
        <w:rPr>
          <w:rFonts w:hint="eastAsia" w:ascii="黑体" w:hAnsi="黑体" w:eastAsia="黑体" w:cs="黑体"/>
          <w:color w:val="auto"/>
          <w:sz w:val="32"/>
          <w:szCs w:val="32"/>
          <w:highlight w:val="none"/>
          <w:lang w:val="en-US" w:eastAsia="zh-CN"/>
        </w:rPr>
        <w:t xml:space="preserve">   三、</w:t>
      </w:r>
      <w:r>
        <w:rPr>
          <w:rFonts w:hint="eastAsia" w:ascii="黑体" w:hAnsi="黑体" w:eastAsia="黑体" w:cs="黑体"/>
          <w:color w:val="auto"/>
          <w:sz w:val="32"/>
          <w:szCs w:val="32"/>
          <w:highlight w:val="none"/>
        </w:rPr>
        <w:t>支</w:t>
      </w:r>
      <w:r>
        <w:rPr>
          <w:rStyle w:val="21"/>
          <w:rFonts w:hint="eastAsia" w:ascii="黑体" w:hAnsi="黑体" w:eastAsia="黑体" w:cs="黑体"/>
          <w:b w:val="0"/>
          <w:color w:val="auto"/>
          <w:highlight w:val="none"/>
        </w:rPr>
        <w:t>出决算情况说明</w:t>
      </w:r>
      <w:bookmarkEnd w:id="28"/>
      <w:bookmarkEnd w:id="29"/>
      <w:bookmarkEnd w:id="30"/>
    </w:p>
    <w:p>
      <w:pPr>
        <w:spacing w:line="600" w:lineRule="exact"/>
        <w:ind w:firstLine="640" w:firstLineChars="200"/>
        <w:outlineLvl w:val="9"/>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年本年支出合计11,039.18万元，其中：基本支出1,061.55万元，占</w:t>
      </w:r>
      <w:r>
        <w:rPr>
          <w:rFonts w:hint="eastAsia" w:ascii="仿宋" w:hAnsi="仿宋" w:eastAsia="仿宋"/>
          <w:color w:val="auto"/>
          <w:sz w:val="32"/>
          <w:szCs w:val="32"/>
          <w:highlight w:val="none"/>
          <w:lang w:val="en-US" w:eastAsia="zh-CN"/>
        </w:rPr>
        <w:t>9.62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项目支出9,977.63万元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90.38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rPr>
          <w:rFonts w:ascii="仿宋_GB2312" w:eastAsia="仿宋_GB2312"/>
          <w:color w:val="auto"/>
          <w:sz w:val="32"/>
          <w:szCs w:val="32"/>
          <w:highlight w:val="none"/>
        </w:rPr>
      </w:pPr>
      <w:r>
        <w:rPr>
          <w:rFonts w:hint="eastAsia" w:ascii="黑体" w:hAnsi="黑体" w:eastAsia="黑体" w:cs="黑体"/>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47625</wp:posOffset>
            </wp:positionH>
            <wp:positionV relativeFrom="paragraph">
              <wp:posOffset>316865</wp:posOffset>
            </wp:positionV>
            <wp:extent cx="5226685" cy="2741930"/>
            <wp:effectExtent l="4445" t="4445" r="7620" b="1587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1"/>
          <w:rFonts w:ascii="黑体" w:hAnsi="黑体" w:eastAsia="黑体"/>
          <w:b w:val="0"/>
          <w:color w:val="auto"/>
          <w:highlight w:val="none"/>
        </w:rPr>
      </w:pPr>
      <w:bookmarkStart w:id="31" w:name="_Toc15396606"/>
      <w:bookmarkStart w:id="32" w:name="_Toc15377208"/>
      <w:bookmarkStart w:id="33" w:name="_Toc21484"/>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1"/>
      <w:bookmarkEnd w:id="32"/>
      <w:bookmarkEnd w:id="33"/>
    </w:p>
    <w:p>
      <w:pPr>
        <w:spacing w:line="600" w:lineRule="exact"/>
        <w:ind w:firstLine="640" w:firstLineChars="200"/>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年财政拨款收、支总计11,039.18万元。与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b/>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177800</wp:posOffset>
            </wp:positionH>
            <wp:positionV relativeFrom="paragraph">
              <wp:posOffset>1087120</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1983.74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减少15.24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2022年度无中小河流项目资金</w:t>
      </w:r>
      <w:r>
        <w:rPr>
          <w:rFonts w:hint="eastAsia" w:ascii="仿宋" w:hAnsi="仿宋" w:eastAsia="仿宋"/>
          <w:color w:val="auto"/>
          <w:sz w:val="32"/>
          <w:szCs w:val="32"/>
          <w:highlight w:val="none"/>
          <w:lang w:eastAsia="zh-CN"/>
        </w:rPr>
        <w:t>。</w:t>
      </w:r>
    </w:p>
    <w:p>
      <w:pPr>
        <w:spacing w:line="600" w:lineRule="exact"/>
        <w:ind w:firstLine="640" w:firstLineChars="200"/>
        <w:outlineLvl w:val="1"/>
        <w:rPr>
          <w:rStyle w:val="21"/>
          <w:rFonts w:ascii="黑体" w:hAnsi="黑体" w:eastAsia="黑体"/>
          <w:b w:val="0"/>
          <w:color w:val="auto"/>
          <w:highlight w:val="none"/>
        </w:rPr>
      </w:pPr>
      <w:bookmarkStart w:id="34" w:name="_Toc15377209"/>
      <w:bookmarkStart w:id="35" w:name="_Toc15396607"/>
      <w:bookmarkStart w:id="36" w:name="_Toc23221"/>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34"/>
      <w:bookmarkEnd w:id="35"/>
      <w:bookmarkEnd w:id="36"/>
    </w:p>
    <w:p>
      <w:pPr>
        <w:spacing w:line="600" w:lineRule="exact"/>
        <w:ind w:firstLine="643" w:firstLineChars="200"/>
        <w:outlineLvl w:val="2"/>
        <w:rPr>
          <w:rFonts w:ascii="仿宋" w:hAnsi="仿宋" w:eastAsia="仿宋"/>
          <w:b/>
          <w:color w:val="auto"/>
          <w:sz w:val="32"/>
          <w:szCs w:val="32"/>
          <w:highlight w:val="none"/>
        </w:rPr>
      </w:pPr>
      <w:bookmarkStart w:id="37" w:name="_Toc15377210"/>
      <w:r>
        <w:rPr>
          <w:rFonts w:hint="eastAsia" w:ascii="仿宋" w:hAnsi="仿宋" w:eastAsia="仿宋"/>
          <w:b/>
          <w:color w:val="auto"/>
          <w:sz w:val="32"/>
          <w:szCs w:val="32"/>
          <w:highlight w:val="none"/>
        </w:rPr>
        <w:t>（一）一般公共预算财政拨款支出决算总体情况</w:t>
      </w:r>
      <w:bookmarkEnd w:id="37"/>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年一般公共预算财政拨款支出10,110.12万元，占本年支出合计的</w:t>
      </w:r>
      <w:r>
        <w:rPr>
          <w:rFonts w:ascii="仿宋" w:hAnsi="仿宋" w:eastAsia="仿宋"/>
          <w:color w:val="auto"/>
          <w:sz w:val="32"/>
          <w:szCs w:val="32"/>
          <w:highlight w:val="none"/>
        </w:rPr>
        <w:t>91.59%</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default" w:ascii="仿宋" w:hAnsi="仿宋" w:eastAsia="仿宋"/>
          <w:sz w:val="32"/>
          <w:szCs w:val="32"/>
          <w:lang w:eastAsia="zh-CN"/>
        </w:rPr>
        <w:t>6515.64</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181.27%</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增加了官料河堤防、民族小学堤防、马嘶溪堤防、宜坪红岩沟至桐花水源保障工程、黑龙溪防洪治理工程支出。</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r>
        <w:rPr>
          <w:rFonts w:hint="eastAsia"/>
          <w:lang w:eastAsia="zh-CN"/>
        </w:rPr>
        <w:drawing>
          <wp:inline distT="0" distB="0" distL="114300" distR="114300">
            <wp:extent cx="5256530" cy="3007360"/>
            <wp:effectExtent l="4445" t="4445" r="15875"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8" w:name="_Toc15377211"/>
      <w:r>
        <w:rPr>
          <w:rFonts w:hint="eastAsia" w:ascii="仿宋" w:hAnsi="仿宋" w:eastAsia="仿宋"/>
          <w:b/>
          <w:color w:val="auto"/>
          <w:sz w:val="32"/>
          <w:szCs w:val="32"/>
          <w:highlight w:val="none"/>
        </w:rPr>
        <w:t>（二）一般公共预算财政拨款支出决算结构情况</w:t>
      </w:r>
      <w:bookmarkEnd w:id="3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年一般公共预算财政拨款支出10,110.12万元，主要用于以下方面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103</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28.04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农林水支出支出</w:t>
      </w:r>
      <w:r>
        <w:rPr>
          <w:rFonts w:hint="eastAsia" w:ascii="仿宋" w:hAnsi="仿宋" w:eastAsia="仿宋"/>
          <w:color w:val="auto"/>
          <w:sz w:val="32"/>
          <w:szCs w:val="32"/>
          <w:highlight w:val="none"/>
          <w:lang w:val="en-US" w:eastAsia="zh-CN"/>
        </w:rPr>
        <w:t>9909.03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98.01</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69.54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0.69</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lang w:eastAsia="zh-CN"/>
        </w:rPr>
      </w:pPr>
    </w:p>
    <w:p>
      <w:pPr>
        <w:pStyle w:val="2"/>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13985" cy="2939415"/>
            <wp:effectExtent l="4445" t="4445" r="20320" b="88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9" w:name="_Toc15377212"/>
      <w:r>
        <w:rPr>
          <w:rFonts w:hint="eastAsia" w:ascii="仿宋" w:hAnsi="仿宋" w:eastAsia="仿宋"/>
          <w:b/>
          <w:color w:val="auto"/>
          <w:sz w:val="32"/>
          <w:szCs w:val="32"/>
          <w:highlight w:val="none"/>
        </w:rPr>
        <w:t>（三）一般公共预算财政拨款支出决算具体情况</w:t>
      </w:r>
      <w:bookmarkEnd w:id="39"/>
    </w:p>
    <w:p>
      <w:pPr>
        <w:spacing w:line="600" w:lineRule="exact"/>
        <w:ind w:firstLine="643" w:firstLineChars="200"/>
        <w:outlineLvl w:val="2"/>
        <w:rPr>
          <w:rStyle w:val="17"/>
          <w:rFonts w:hint="eastAsia" w:ascii="仿宋" w:hAnsi="仿宋" w:eastAsia="仿宋"/>
          <w:bCs/>
          <w:color w:val="auto"/>
          <w:sz w:val="32"/>
          <w:szCs w:val="32"/>
          <w:highlight w:val="none"/>
        </w:rPr>
      </w:pPr>
      <w:bookmarkStart w:id="40" w:name="_Toc15378460"/>
      <w:bookmarkStart w:id="41" w:name="_Toc15377444"/>
      <w:bookmarkStart w:id="42"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般公共预算支出决算数为10,110.12</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0"/>
      <w:bookmarkEnd w:id="41"/>
      <w:bookmarkEnd w:id="42"/>
    </w:p>
    <w:p>
      <w:pPr>
        <w:numPr>
          <w:ilvl w:val="0"/>
          <w:numId w:val="3"/>
        </w:numPr>
        <w:spacing w:line="600" w:lineRule="exact"/>
        <w:ind w:left="-13" w:leftChars="0" w:firstLine="643" w:firstLineChars="0"/>
        <w:outlineLvl w:val="2"/>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  机关事业单位基本养老保险缴费支出（项）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61.17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rPr>
        <w:t>。</w:t>
      </w:r>
    </w:p>
    <w:p>
      <w:pPr>
        <w:numPr>
          <w:ilvl w:val="0"/>
          <w:numId w:val="3"/>
        </w:numPr>
        <w:spacing w:line="600" w:lineRule="exact"/>
        <w:ind w:left="-13" w:leftChars="0" w:firstLine="643" w:firstLineChars="0"/>
        <w:outlineLvl w:val="2"/>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    机关事业单位职业年金缴费支出（项）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30.59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rPr>
        <w:t>。</w:t>
      </w:r>
    </w:p>
    <w:p>
      <w:pPr>
        <w:numPr>
          <w:ilvl w:val="0"/>
          <w:numId w:val="3"/>
        </w:numPr>
        <w:spacing w:line="600" w:lineRule="exact"/>
        <w:ind w:left="-13" w:leftChars="0" w:firstLine="638" w:firstLineChars="0"/>
        <w:outlineLvl w:val="2"/>
        <w:rPr>
          <w:rStyle w:val="17"/>
          <w:rFonts w:hint="eastAsia" w:ascii="仿宋" w:hAnsi="仿宋" w:eastAsia="仿宋"/>
          <w:b w:val="0"/>
          <w:bCs/>
          <w:color w:val="auto"/>
          <w:sz w:val="32"/>
          <w:szCs w:val="32"/>
          <w:highlight w:val="none"/>
        </w:rPr>
      </w:pPr>
      <w:r>
        <w:rPr>
          <w:rFonts w:hint="eastAsia"/>
          <w:lang w:val="en-US" w:eastAsia="zh-CN"/>
        </w:rPr>
        <w:t xml:space="preserve"> </w:t>
      </w:r>
      <w:r>
        <w:rPr>
          <w:rStyle w:val="17"/>
          <w:rFonts w:hint="eastAsia" w:ascii="仿宋" w:hAnsi="仿宋" w:eastAsia="仿宋"/>
          <w:bCs/>
          <w:color w:val="auto"/>
          <w:sz w:val="32"/>
          <w:szCs w:val="32"/>
          <w:highlight w:val="none"/>
        </w:rPr>
        <w:t>社会保障和就业（类）其他社会保障和就业支出（款）      其他社会保障和就业支出（项）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11.75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rPr>
        <w:t>。</w:t>
      </w:r>
    </w:p>
    <w:p>
      <w:pPr>
        <w:numPr>
          <w:ilvl w:val="0"/>
          <w:numId w:val="3"/>
        </w:numPr>
        <w:spacing w:line="600" w:lineRule="exact"/>
        <w:ind w:left="-13" w:leftChars="0" w:firstLine="643" w:firstLineChars="0"/>
        <w:outlineLvl w:val="2"/>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（类）行政事业单位医疗（款）行政单位医疗（项）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23.48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rPr>
        <w:t>。</w:t>
      </w:r>
    </w:p>
    <w:p>
      <w:pPr>
        <w:pStyle w:val="2"/>
        <w:numPr>
          <w:ilvl w:val="0"/>
          <w:numId w:val="4"/>
        </w:numPr>
        <w:ind w:left="0" w:leftChars="0"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（类）行政事业单位医疗（款）公务员医疗补助（项）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（类）林业和草原（款）林业草原防灾减灾（项）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55.05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（类）水利（款）行政运行（项）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458.87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（类）水利（款）水利行业业务管理（项）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919.00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（类）水利（款）水利执法监督（项）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18.05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（类）水利（款）水土保持（项）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50.43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（类）水利（款）水质监测（项）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16.99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（类）水利（款）防汛（项）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（类）水利（款）抗旱（项）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300.88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（类）水利（款）大中型水库移民后期扶持专项支出（项）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326.77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（类）水利（款）水利安全监督（项）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9.90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（类）水利（款）其他水利支出（项）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5121.38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（类）巩固脱贫衔接乡村振兴（款）其他巩固脱贫衔接乡村振兴支出（项）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2586.73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pStyle w:val="2"/>
        <w:numPr>
          <w:ilvl w:val="0"/>
          <w:numId w:val="5"/>
        </w:numPr>
        <w:ind w:left="-13" w:leftChars="0" w:firstLine="643" w:firstLineChars="0"/>
        <w:rPr>
          <w:rFonts w:ascii="仿宋" w:hAnsi="仿宋" w:eastAsia="仿宋"/>
          <w:color w:val="auto"/>
          <w:sz w:val="32"/>
          <w:szCs w:val="32"/>
          <w:highlight w:val="none"/>
        </w:rPr>
      </w:pPr>
      <w:r>
        <w:rPr>
          <w:rFonts w:hint="eastAsia" w:ascii="仿宋" w:hAnsi="仿宋" w:eastAsia="仿宋"/>
          <w:b/>
          <w:bCs/>
          <w:color w:val="auto"/>
          <w:sz w:val="32"/>
          <w:szCs w:val="32"/>
          <w:highlight w:val="none"/>
        </w:rPr>
        <w:t>住房保障支出</w:t>
      </w:r>
      <w:r>
        <w:rPr>
          <w:rStyle w:val="17"/>
          <w:rFonts w:hint="eastAsia" w:ascii="仿宋" w:hAnsi="仿宋" w:eastAsia="仿宋"/>
          <w:bCs/>
          <w:color w:val="auto"/>
          <w:sz w:val="32"/>
          <w:szCs w:val="32"/>
          <w:highlight w:val="none"/>
        </w:rPr>
        <w:t>（类）住房改革支出（款）住房公积金（项）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69.54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Fonts w:hint="eastAsia" w:ascii="仿宋" w:hAnsi="仿宋" w:eastAsia="仿宋"/>
          <w:color w:val="auto"/>
          <w:kern w:val="2"/>
          <w:sz w:val="32"/>
          <w:lang w:val="en-US"/>
        </w:rPr>
        <w:t>决算数等于预算数</w:t>
      </w:r>
      <w:r>
        <w:rPr>
          <w:rStyle w:val="17"/>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1"/>
          <w:color w:val="auto"/>
          <w:highlight w:val="none"/>
        </w:rPr>
      </w:pPr>
      <w:bookmarkStart w:id="43" w:name="_Toc15396608"/>
      <w:bookmarkStart w:id="44" w:name="_Toc6032"/>
      <w:bookmarkStart w:id="4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43"/>
      <w:bookmarkEnd w:id="44"/>
      <w:bookmarkEnd w:id="45"/>
      <w:r>
        <w:rPr>
          <w:rStyle w:val="2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年一般公共预算财政拨款基本支出1,061.55万元，其中：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人员经费908.09万元，主要包括：基本工资、津贴补贴、奖金、伙食补助费、绩效工资、机关事业单位基本养老保险缴费、职业年金缴费、</w:t>
      </w:r>
      <w:r>
        <w:rPr>
          <w:rFonts w:hint="eastAsia" w:ascii="仿宋" w:hAnsi="仿宋" w:eastAsia="仿宋"/>
          <w:color w:val="auto"/>
          <w:sz w:val="32"/>
          <w:szCs w:val="32"/>
          <w:highlight w:val="none"/>
          <w:lang w:val="en-US" w:eastAsia="zh-CN"/>
        </w:rPr>
        <w:t>公务员医疗补助缴费、职工基本医疗保险缴费、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住房公积金、</w:t>
      </w:r>
      <w:r>
        <w:rPr>
          <w:rFonts w:hint="eastAsia" w:ascii="仿宋" w:hAnsi="仿宋" w:eastAsia="仿宋"/>
          <w:color w:val="auto"/>
          <w:sz w:val="32"/>
          <w:szCs w:val="32"/>
          <w:highlight w:val="none"/>
        </w:rPr>
        <w:t>其他工资福利支出、生活补助。</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153.47</w:t>
      </w:r>
      <w:r>
        <w:rPr>
          <w:rFonts w:hint="eastAsia" w:ascii="仿宋" w:hAnsi="仿宋" w:eastAsia="仿宋"/>
          <w:color w:val="auto"/>
          <w:sz w:val="32"/>
          <w:szCs w:val="32"/>
          <w:highlight w:val="none"/>
        </w:rPr>
        <w:t>万元，主要包括：办公费、印刷费、水费、电费、邮电费、差旅费、维修（护）费、培训费、公务接待费、劳务费、委托业务费、工会经费、福利费、其他交通费、其他商品和服务支出、办公设备购置。</w:t>
      </w:r>
    </w:p>
    <w:p>
      <w:pPr>
        <w:spacing w:line="600" w:lineRule="exact"/>
        <w:ind w:firstLine="640"/>
        <w:outlineLvl w:val="1"/>
        <w:rPr>
          <w:rStyle w:val="21"/>
          <w:rFonts w:ascii="黑体" w:hAnsi="黑体" w:eastAsia="黑体"/>
          <w:b w:val="0"/>
          <w:color w:val="auto"/>
          <w:highlight w:val="none"/>
        </w:rPr>
      </w:pPr>
      <w:bookmarkStart w:id="46" w:name="_Toc26446"/>
      <w:bookmarkStart w:id="47" w:name="_Toc15377215"/>
      <w:bookmarkStart w:id="48" w:name="_Toc15396609"/>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46"/>
      <w:bookmarkEnd w:id="47"/>
      <w:bookmarkEnd w:id="48"/>
    </w:p>
    <w:p>
      <w:pPr>
        <w:spacing w:line="600" w:lineRule="exact"/>
        <w:ind w:firstLine="640"/>
        <w:outlineLvl w:val="2"/>
        <w:rPr>
          <w:rFonts w:ascii="仿宋" w:hAnsi="仿宋" w:eastAsia="仿宋"/>
          <w:b/>
          <w:color w:val="auto"/>
          <w:sz w:val="32"/>
          <w:szCs w:val="32"/>
          <w:highlight w:val="none"/>
        </w:rPr>
      </w:pPr>
      <w:bookmarkStart w:id="49" w:name="_Toc15377216"/>
      <w:r>
        <w:rPr>
          <w:rFonts w:hint="eastAsia" w:ascii="仿宋" w:hAnsi="仿宋" w:eastAsia="仿宋"/>
          <w:b/>
          <w:color w:val="auto"/>
          <w:sz w:val="32"/>
          <w:szCs w:val="32"/>
          <w:highlight w:val="none"/>
        </w:rPr>
        <w:t>（一）“三公”经费财政拨款支出决算总体情况说明</w:t>
      </w:r>
      <w:bookmarkEnd w:id="4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4.34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27.75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0.68万元，增长18.6%。</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严格控制</w:t>
      </w:r>
      <w:r>
        <w:rPr>
          <w:rFonts w:hint="eastAsia" w:ascii="仿宋" w:hAnsi="仿宋" w:eastAsia="仿宋"/>
          <w:color w:val="auto"/>
          <w:sz w:val="32"/>
          <w:szCs w:val="32"/>
          <w:highlight w:val="none"/>
        </w:rPr>
        <w:t>“三公”</w:t>
      </w:r>
      <w:r>
        <w:rPr>
          <w:rFonts w:hint="eastAsia" w:ascii="仿宋" w:hAnsi="仿宋" w:eastAsia="仿宋"/>
          <w:color w:val="auto"/>
          <w:sz w:val="32"/>
          <w:szCs w:val="32"/>
          <w:highlight w:val="none"/>
          <w:lang w:val="en-US" w:eastAsia="zh-CN"/>
        </w:rPr>
        <w:t>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0" w:name="_Toc15377217"/>
      <w:r>
        <w:rPr>
          <w:rFonts w:hint="eastAsia" w:ascii="仿宋" w:hAnsi="仿宋" w:eastAsia="仿宋"/>
          <w:b/>
          <w:color w:val="auto"/>
          <w:sz w:val="32"/>
          <w:szCs w:val="32"/>
          <w:highlight w:val="none"/>
        </w:rPr>
        <w:t>（二）“三公”经费财政拨款支出决算具体情况说明</w:t>
      </w:r>
      <w:bookmarkEnd w:id="50"/>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峨边彝族自治县水务局未购置和拥有公务车辆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4.34</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27.75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18.6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上级检查移民项目、水利发展资金项目次数增加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4.34</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上级检查移民项目、水利发展资金项目、</w:t>
      </w:r>
      <w:r>
        <w:rPr>
          <w:rFonts w:hint="eastAsia" w:ascii="仿宋_GB2312" w:eastAsia="仿宋_GB2312"/>
          <w:color w:val="auto"/>
          <w:sz w:val="32"/>
          <w:szCs w:val="32"/>
          <w:highlight w:val="none"/>
        </w:rPr>
        <w:t>开展业务活动开支的用餐费。国内公务接待</w:t>
      </w:r>
      <w:r>
        <w:rPr>
          <w:rFonts w:hint="eastAsia" w:ascii="仿宋_GB2312" w:eastAsia="仿宋_GB2312"/>
          <w:color w:val="auto"/>
          <w:sz w:val="32"/>
          <w:szCs w:val="32"/>
          <w:highlight w:val="none"/>
          <w:lang w:val="en-US" w:eastAsia="zh-CN"/>
        </w:rPr>
        <w:t>53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498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4.34</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检查移民项目、水利发展资金项目</w:t>
      </w:r>
      <w:r>
        <w:rPr>
          <w:rFonts w:hint="eastAsia" w:ascii="仿宋_GB2312" w:eastAsia="仿宋_GB2312"/>
          <w:color w:val="auto"/>
          <w:sz w:val="32"/>
          <w:szCs w:val="32"/>
          <w:highlight w:val="none"/>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1" w:name="_Toc15377218"/>
      <w:bookmarkStart w:id="52" w:name="_Toc15396610"/>
    </w:p>
    <w:p>
      <w:pPr>
        <w:spacing w:line="600" w:lineRule="exact"/>
        <w:ind w:firstLine="640"/>
        <w:outlineLvl w:val="1"/>
        <w:rPr>
          <w:rStyle w:val="21"/>
          <w:rFonts w:ascii="黑体" w:hAnsi="黑体" w:eastAsia="黑体"/>
          <w:color w:val="auto"/>
          <w:highlight w:val="none"/>
        </w:rPr>
      </w:pPr>
      <w:bookmarkStart w:id="53" w:name="_Toc14166"/>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1"/>
      <w:bookmarkEnd w:id="52"/>
      <w:bookmarkEnd w:id="5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929.07</w:t>
      </w:r>
      <w:r>
        <w:rPr>
          <w:rFonts w:hint="eastAsia" w:ascii="仿宋_GB2312" w:eastAsia="仿宋_GB2312"/>
          <w:color w:val="auto"/>
          <w:sz w:val="32"/>
          <w:szCs w:val="32"/>
          <w:highlight w:val="none"/>
        </w:rPr>
        <w:t>万元。</w:t>
      </w:r>
    </w:p>
    <w:p>
      <w:pPr>
        <w:numPr>
          <w:ilvl w:val="0"/>
          <w:numId w:val="6"/>
        </w:numPr>
        <w:spacing w:line="600" w:lineRule="exact"/>
        <w:ind w:firstLine="640"/>
        <w:outlineLvl w:val="1"/>
        <w:rPr>
          <w:rStyle w:val="21"/>
          <w:rFonts w:ascii="黑体" w:hAnsi="黑体" w:eastAsia="黑体"/>
          <w:b w:val="0"/>
          <w:color w:val="auto"/>
          <w:highlight w:val="none"/>
        </w:rPr>
      </w:pPr>
      <w:bookmarkStart w:id="54" w:name="_Toc15396611"/>
      <w:bookmarkStart w:id="55" w:name="_Toc15377219"/>
      <w:bookmarkStart w:id="56" w:name="_Toc21218"/>
      <w:r>
        <w:rPr>
          <w:rStyle w:val="21"/>
          <w:rFonts w:hint="eastAsia" w:ascii="黑体" w:hAnsi="黑体" w:eastAsia="黑体"/>
          <w:b w:val="0"/>
          <w:color w:val="auto"/>
          <w:highlight w:val="none"/>
        </w:rPr>
        <w:t>国有资本经营预算支出决算情况说明</w:t>
      </w:r>
      <w:bookmarkEnd w:id="54"/>
      <w:bookmarkEnd w:id="55"/>
      <w:bookmarkEnd w:id="56"/>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6"/>
        </w:numPr>
        <w:spacing w:line="600" w:lineRule="exact"/>
        <w:ind w:firstLine="640"/>
        <w:outlineLvl w:val="1"/>
        <w:rPr>
          <w:rStyle w:val="21"/>
          <w:rFonts w:hint="eastAsia" w:ascii="黑体" w:hAnsi="黑体" w:eastAsia="黑体"/>
          <w:b w:val="0"/>
          <w:color w:val="auto"/>
          <w:highlight w:val="none"/>
        </w:rPr>
      </w:pPr>
      <w:bookmarkStart w:id="57" w:name="_Toc15377221"/>
      <w:bookmarkStart w:id="58" w:name="_Toc16639"/>
      <w:bookmarkStart w:id="59" w:name="_Toc15396612"/>
      <w:r>
        <w:rPr>
          <w:rStyle w:val="21"/>
          <w:rFonts w:hint="eastAsia" w:ascii="黑体" w:hAnsi="黑体" w:eastAsia="黑体"/>
          <w:b w:val="0"/>
          <w:color w:val="auto"/>
          <w:highlight w:val="none"/>
        </w:rPr>
        <w:t>其他重要事项的情况说明</w:t>
      </w:r>
      <w:bookmarkEnd w:id="57"/>
      <w:bookmarkEnd w:id="58"/>
      <w:bookmarkEnd w:id="59"/>
    </w:p>
    <w:p>
      <w:pPr>
        <w:spacing w:line="600" w:lineRule="exact"/>
        <w:ind w:firstLine="643" w:firstLineChars="200"/>
        <w:outlineLvl w:val="2"/>
        <w:rPr>
          <w:rFonts w:ascii="仿宋" w:hAnsi="仿宋" w:eastAsia="仿宋"/>
          <w:color w:val="auto"/>
          <w:sz w:val="32"/>
          <w:szCs w:val="32"/>
          <w:highlight w:val="none"/>
        </w:rPr>
      </w:pPr>
      <w:bookmarkStart w:id="60" w:name="_Toc15377222"/>
      <w:r>
        <w:rPr>
          <w:rFonts w:hint="eastAsia" w:ascii="仿宋" w:hAnsi="仿宋" w:eastAsia="仿宋"/>
          <w:b/>
          <w:color w:val="auto"/>
          <w:sz w:val="32"/>
          <w:szCs w:val="32"/>
          <w:highlight w:val="none"/>
        </w:rPr>
        <w:t>（一）机关运行经费支出情况</w:t>
      </w:r>
      <w:bookmarkEnd w:id="6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峨边彝族自治县水务局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153.47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3.55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（或与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年决算数持平）。主要原因是</w:t>
      </w:r>
      <w:r>
        <w:rPr>
          <w:rFonts w:hint="eastAsia" w:ascii="仿宋_GB2312" w:eastAsia="仿宋_GB2312"/>
          <w:color w:val="auto"/>
          <w:sz w:val="32"/>
          <w:szCs w:val="32"/>
          <w:highlight w:val="none"/>
          <w:lang w:val="en-US" w:eastAsia="zh-CN"/>
        </w:rPr>
        <w:t>压缩了机关运行费支出</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1" w:name="_Toc15377223"/>
      <w:r>
        <w:rPr>
          <w:rFonts w:hint="eastAsia" w:ascii="仿宋" w:hAnsi="仿宋" w:eastAsia="仿宋"/>
          <w:b/>
          <w:color w:val="auto"/>
          <w:sz w:val="32"/>
          <w:szCs w:val="32"/>
          <w:highlight w:val="none"/>
        </w:rPr>
        <w:t>（二）政府采购支出情况</w:t>
      </w:r>
      <w:bookmarkEnd w:id="61"/>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峨边彝族自治县水务局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40.91</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3.01</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37.9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购买空调、打印设备及采购峨边彝族自治县河湖健康评价项目</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37.9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92.65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2" w:name="_Toc15377224"/>
      <w:r>
        <w:rPr>
          <w:rFonts w:hint="eastAsia" w:ascii="仿宋" w:hAnsi="仿宋" w:eastAsia="仿宋"/>
          <w:b/>
          <w:color w:val="auto"/>
          <w:sz w:val="32"/>
          <w:szCs w:val="32"/>
          <w:highlight w:val="none"/>
        </w:rPr>
        <w:t>（三）国有资产占有使用情况</w:t>
      </w:r>
      <w:bookmarkEnd w:id="6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峨边彝族自治县水务局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年度预算编制阶段，组织对2022年河长制专项办公经费</w:t>
      </w:r>
      <w:r>
        <w:rPr>
          <w:rFonts w:hint="eastAsia" w:ascii="仿宋_GB2312" w:hAnsi="仿宋_GB2312" w:eastAsia="仿宋_GB2312" w:cs="仿宋_GB2312"/>
          <w:color w:val="auto"/>
          <w:sz w:val="32"/>
          <w:szCs w:val="32"/>
          <w:highlight w:val="none"/>
          <w:lang w:eastAsia="zh-CN"/>
        </w:rPr>
        <w:t>、2022年农村饮水安全水质检测中心运行费、2022年山洪灾害预警平台运行、防汛物资仓储、山洪沟治理、水库管理等费用、2022年水资源公报编制费、2022年农业水价综合改革和水土保持监测费用、2022年山洪灾害防御责任人通讯费补贴、2022年水利项目规划设计、审计、测绘费等经费、2022年水行政执法管理经费、2022年水利建设质量监督管理经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峨边彝族自治县水务局</w:t>
      </w:r>
      <w:r>
        <w:rPr>
          <w:rFonts w:hint="eastAsia" w:ascii="仿宋_GB2312" w:hAnsi="仿宋_GB2312" w:eastAsia="仿宋_GB2312" w:cs="仿宋_GB2312"/>
          <w:color w:val="auto"/>
          <w:sz w:val="32"/>
          <w:szCs w:val="32"/>
          <w:highlight w:val="none"/>
        </w:rPr>
        <w:t>部门整体（含部门预算项目）绩效自评报告、2022年河长制专项办公经费</w:t>
      </w:r>
      <w:r>
        <w:rPr>
          <w:rFonts w:hint="eastAsia" w:ascii="仿宋_GB2312" w:hAnsi="仿宋_GB2312" w:eastAsia="仿宋_GB2312" w:cs="仿宋_GB2312"/>
          <w:color w:val="auto"/>
          <w:sz w:val="32"/>
          <w:szCs w:val="32"/>
          <w:highlight w:val="none"/>
          <w:lang w:eastAsia="zh-CN"/>
        </w:rPr>
        <w:t>、2022年农村饮水安全水质检测中心运行费、2022年山洪灾害预警平台运行、防汛物资仓储、山洪沟治理、水库管理等费用、2022年水资源公报编制费、2022年农业水价综合改革和水土保持监测费用、2022年山洪灾害防御责任人通讯费补贴、2022年水利项目规划设计、审计、测绘费等经费、2022年水行政执法管理经费、2022年水利建设质量监督管理经</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val="en-US" w:eastAsia="zh-CN"/>
        </w:rPr>
        <w:t>峨边彝族自治县水务局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峨边彝族自治县</w:t>
      </w:r>
      <w:r>
        <w:rPr>
          <w:rFonts w:hint="eastAsia" w:ascii="仿宋_GB2312" w:hAnsi="仿宋_GB2312" w:eastAsia="仿宋_GB2312" w:cs="仿宋_GB2312"/>
          <w:color w:val="auto"/>
          <w:sz w:val="32"/>
          <w:szCs w:val="32"/>
          <w:highlight w:val="none"/>
        </w:rPr>
        <w:t>水务部门全面完成年初下达的各项目标任务，通过绩效自评公开，部门职责履行结果良好、重点项目绩效评价良好，服务对象满意度为95％以上，达到年初预算绩效目标。</w:t>
      </w:r>
      <w:r>
        <w:rPr>
          <w:rFonts w:ascii="仿宋_GB2312" w:eastAsia="仿宋_GB2312"/>
          <w:b/>
          <w:color w:val="auto"/>
          <w:sz w:val="32"/>
          <w:szCs w:val="32"/>
          <w:highlight w:val="none"/>
        </w:rPr>
        <w:br w:type="page"/>
      </w:r>
    </w:p>
    <w:p>
      <w:pPr>
        <w:numPr>
          <w:ilvl w:val="0"/>
          <w:numId w:val="7"/>
        </w:numPr>
        <w:spacing w:line="600" w:lineRule="exact"/>
        <w:ind w:firstLine="660" w:firstLineChars="150"/>
        <w:jc w:val="center"/>
        <w:outlineLvl w:val="0"/>
        <w:rPr>
          <w:rStyle w:val="20"/>
          <w:rFonts w:ascii="黑体" w:hAnsi="黑体" w:eastAsia="黑体"/>
          <w:b w:val="0"/>
          <w:color w:val="auto"/>
          <w:highlight w:val="none"/>
        </w:rPr>
      </w:pPr>
      <w:bookmarkStart w:id="63" w:name="_Toc15396613"/>
      <w:bookmarkStart w:id="64" w:name="_Toc18775"/>
      <w:bookmarkStart w:id="65" w:name="_Toc15377225"/>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63"/>
      <w:bookmarkEnd w:id="64"/>
      <w:bookmarkEnd w:id="65"/>
    </w:p>
    <w:p>
      <w:pPr>
        <w:spacing w:line="600" w:lineRule="exact"/>
        <w:jc w:val="left"/>
        <w:rPr>
          <w:rFonts w:ascii="宋体"/>
          <w:b/>
          <w:color w:val="auto"/>
          <w:sz w:val="44"/>
          <w:szCs w:val="44"/>
          <w:highlight w:val="none"/>
        </w:rPr>
      </w:pPr>
    </w:p>
    <w:p>
      <w:pPr>
        <w:numPr>
          <w:ilvl w:val="0"/>
          <w:numId w:val="8"/>
        </w:numPr>
        <w:spacing w:line="600" w:lineRule="exact"/>
        <w:ind w:firstLine="643" w:firstLineChars="200"/>
        <w:outlineLvl w:val="2"/>
        <w:rPr>
          <w:rFonts w:ascii="仿宋_GB2312" w:eastAsia="仿宋_GB2312"/>
          <w:color w:val="auto"/>
          <w:sz w:val="32"/>
          <w:szCs w:val="32"/>
          <w:highlight w:val="none"/>
        </w:rPr>
      </w:pPr>
      <w:r>
        <w:rPr>
          <w:rFonts w:hint="eastAsia" w:ascii="仿宋_GB2312" w:eastAsia="仿宋_GB2312"/>
          <w:b/>
          <w:bCs/>
          <w:color w:val="auto"/>
          <w:sz w:val="32"/>
          <w:szCs w:val="32"/>
          <w:highlight w:val="none"/>
        </w:rPr>
        <w:t>财政拨款收入</w:t>
      </w:r>
      <w:r>
        <w:rPr>
          <w:rFonts w:hint="eastAsia" w:ascii="仿宋_GB2312" w:eastAsia="仿宋_GB2312"/>
          <w:color w:val="auto"/>
          <w:sz w:val="32"/>
          <w:szCs w:val="32"/>
          <w:highlight w:val="none"/>
        </w:rPr>
        <w:t>：指单位从同级财政部门取得的财政预算资金。</w:t>
      </w:r>
      <w:r>
        <w:rPr>
          <w:rFonts w:ascii="仿宋_GB2312" w:eastAsia="仿宋_GB2312"/>
          <w:color w:val="auto"/>
          <w:sz w:val="32"/>
          <w:szCs w:val="32"/>
          <w:highlight w:val="none"/>
        </w:rPr>
        <w:t xml:space="preserve"> </w:t>
      </w:r>
    </w:p>
    <w:p>
      <w:pPr>
        <w:numPr>
          <w:ilvl w:val="0"/>
          <w:numId w:val="8"/>
        </w:numPr>
        <w:spacing w:line="600" w:lineRule="exact"/>
        <w:ind w:left="0" w:leftChars="0" w:firstLine="643" w:firstLineChars="200"/>
        <w:outlineLvl w:val="2"/>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年初结转和结余</w:t>
      </w:r>
      <w:r>
        <w:rPr>
          <w:rFonts w:hint="eastAsia" w:ascii="仿宋_GB2312" w:eastAsia="仿宋_GB2312"/>
          <w:color w:val="auto"/>
          <w:sz w:val="32"/>
          <w:szCs w:val="32"/>
          <w:highlight w:val="none"/>
        </w:rPr>
        <w:t>：指以前年度尚未完成、结转到本年按有关规定继续使用的资金。</w:t>
      </w:r>
    </w:p>
    <w:p>
      <w:pPr>
        <w:numPr>
          <w:ilvl w:val="0"/>
          <w:numId w:val="8"/>
        </w:numPr>
        <w:spacing w:line="600" w:lineRule="exact"/>
        <w:ind w:left="0" w:leftChars="0" w:firstLine="643" w:firstLineChars="200"/>
        <w:outlineLvl w:val="2"/>
        <w:rPr>
          <w:rFonts w:ascii="仿宋" w:hAnsi="仿宋" w:eastAsia="仿宋"/>
          <w:b/>
          <w:color w:val="auto"/>
          <w:sz w:val="32"/>
          <w:szCs w:val="32"/>
          <w:highlight w:val="none"/>
        </w:rPr>
      </w:pPr>
      <w:r>
        <w:rPr>
          <w:rFonts w:hint="eastAsia" w:ascii="仿宋_GB2312" w:eastAsia="仿宋_GB2312"/>
          <w:b/>
          <w:bCs/>
          <w:color w:val="auto"/>
          <w:sz w:val="32"/>
          <w:szCs w:val="32"/>
          <w:highlight w:val="none"/>
        </w:rPr>
        <w:t>年初结转和结余</w:t>
      </w:r>
      <w:r>
        <w:rPr>
          <w:rFonts w:hint="eastAsia" w:ascii="仿宋_GB2312" w:eastAsia="仿宋_GB2312"/>
          <w:color w:val="auto"/>
          <w:sz w:val="32"/>
          <w:szCs w:val="32"/>
          <w:highlight w:val="none"/>
        </w:rPr>
        <w:t>：指以前年度尚未完成、结转到本年按有关规定继续使用的资金。</w:t>
      </w:r>
    </w:p>
    <w:p>
      <w:pPr>
        <w:numPr>
          <w:ilvl w:val="0"/>
          <w:numId w:val="8"/>
        </w:numPr>
        <w:spacing w:line="600" w:lineRule="exact"/>
        <w:ind w:left="0" w:leftChars="0" w:firstLine="643" w:firstLineChars="200"/>
        <w:outlineLvl w:val="2"/>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  机关事业单位基本养老保险缴费支出（项）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Fonts w:ascii="仿宋_GB2312" w:hAnsi="宋体" w:eastAsia="仿宋_GB2312" w:cs="仿宋_GB2312"/>
          <w:b w:val="0"/>
          <w:i w:val="0"/>
          <w:caps w:val="0"/>
          <w:color w:val="auto"/>
          <w:spacing w:val="0"/>
          <w:sz w:val="32"/>
          <w:szCs w:val="32"/>
          <w:highlight w:val="none"/>
        </w:rPr>
        <w:t>指反映</w:t>
      </w:r>
      <w:r>
        <w:rPr>
          <w:rFonts w:hint="eastAsia" w:ascii="仿宋_GB2312" w:hAnsi="宋体" w:eastAsia="仿宋_GB2312" w:cs="仿宋_GB2312"/>
          <w:b w:val="0"/>
          <w:i w:val="0"/>
          <w:caps w:val="0"/>
          <w:color w:val="auto"/>
          <w:spacing w:val="0"/>
          <w:sz w:val="32"/>
          <w:szCs w:val="32"/>
          <w:highlight w:val="none"/>
          <w:lang w:eastAsia="zh-CN"/>
        </w:rPr>
        <w:t>机关事业单位实施养老保险制度由单位缴纳的基本养老保险保险费支出</w:t>
      </w:r>
      <w:r>
        <w:rPr>
          <w:rStyle w:val="17"/>
          <w:rFonts w:hint="eastAsia" w:ascii="仿宋" w:hAnsi="仿宋" w:eastAsia="仿宋"/>
          <w:b w:val="0"/>
          <w:bCs/>
          <w:color w:val="auto"/>
          <w:sz w:val="32"/>
          <w:szCs w:val="32"/>
          <w:highlight w:val="none"/>
        </w:rPr>
        <w:t>。</w:t>
      </w:r>
    </w:p>
    <w:p>
      <w:pPr>
        <w:numPr>
          <w:ilvl w:val="0"/>
          <w:numId w:val="3"/>
        </w:numPr>
        <w:spacing w:line="600" w:lineRule="exact"/>
        <w:ind w:left="-13" w:leftChars="0" w:firstLine="643" w:firstLineChars="0"/>
        <w:outlineLvl w:val="2"/>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    机关事业单位职业年金缴费支出（项）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指部门实施养老保险制度由单位实际缴纳的职业年金支出。</w:t>
      </w:r>
    </w:p>
    <w:p>
      <w:pPr>
        <w:numPr>
          <w:ilvl w:val="0"/>
          <w:numId w:val="3"/>
        </w:numPr>
        <w:spacing w:line="600" w:lineRule="exact"/>
        <w:ind w:left="-13" w:leftChars="0" w:firstLine="638" w:firstLineChars="0"/>
        <w:outlineLvl w:val="2"/>
        <w:rPr>
          <w:rStyle w:val="17"/>
          <w:rFonts w:hint="eastAsia" w:ascii="仿宋" w:hAnsi="仿宋" w:eastAsia="仿宋"/>
          <w:b w:val="0"/>
          <w:bCs/>
          <w:color w:val="auto"/>
          <w:sz w:val="32"/>
          <w:szCs w:val="32"/>
          <w:highlight w:val="none"/>
        </w:rPr>
      </w:pPr>
      <w:r>
        <w:rPr>
          <w:rFonts w:hint="eastAsia"/>
          <w:color w:val="auto"/>
          <w:highlight w:val="none"/>
          <w:lang w:val="en-US" w:eastAsia="zh-CN"/>
        </w:rPr>
        <w:t xml:space="preserve"> </w:t>
      </w:r>
      <w:r>
        <w:rPr>
          <w:rStyle w:val="17"/>
          <w:rFonts w:hint="eastAsia" w:ascii="仿宋" w:hAnsi="仿宋" w:eastAsia="仿宋"/>
          <w:bCs/>
          <w:color w:val="auto"/>
          <w:sz w:val="32"/>
          <w:szCs w:val="32"/>
          <w:highlight w:val="none"/>
        </w:rPr>
        <w:t>社会保障和就业（类）其他社会保障和就业支出（款）      其他社会保障和就业支出（项）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指用于机关事业单位工伤保险</w:t>
      </w:r>
      <w:r>
        <w:rPr>
          <w:rStyle w:val="17"/>
          <w:rFonts w:hint="eastAsia" w:ascii="仿宋" w:hAnsi="仿宋" w:eastAsia="仿宋"/>
          <w:b w:val="0"/>
          <w:bCs/>
          <w:color w:val="auto"/>
          <w:sz w:val="32"/>
          <w:szCs w:val="32"/>
          <w:highlight w:val="none"/>
          <w:lang w:val="en-US" w:eastAsia="zh-CN"/>
        </w:rPr>
        <w:t>和失业</w:t>
      </w:r>
      <w:r>
        <w:rPr>
          <w:rStyle w:val="17"/>
          <w:rFonts w:hint="eastAsia" w:ascii="仿宋" w:hAnsi="仿宋" w:eastAsia="仿宋"/>
          <w:b w:val="0"/>
          <w:bCs/>
          <w:color w:val="auto"/>
          <w:sz w:val="32"/>
          <w:szCs w:val="32"/>
          <w:highlight w:val="none"/>
        </w:rPr>
        <w:t>缴费支出。</w:t>
      </w:r>
    </w:p>
    <w:p>
      <w:pPr>
        <w:keepNext w:val="0"/>
        <w:keepLines w:val="0"/>
        <w:widowControl/>
        <w:suppressLineNumbers w:val="0"/>
        <w:jc w:val="left"/>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（类）行政事业单位医疗（款）行政单位医疗（项）</w:t>
      </w:r>
      <w:r>
        <w:rPr>
          <w:rStyle w:val="17"/>
          <w:rFonts w:ascii="仿宋" w:hAnsi="仿宋" w:eastAsia="仿宋"/>
          <w:bCs/>
          <w:color w:val="auto"/>
          <w:sz w:val="32"/>
          <w:szCs w:val="32"/>
          <w:highlight w:val="none"/>
        </w:rPr>
        <w:t>:</w:t>
      </w:r>
      <w:r>
        <w:rPr>
          <w:rFonts w:ascii="仿宋_GB2312" w:hAnsi="宋体" w:eastAsia="仿宋_GB2312" w:cs="仿宋_GB2312"/>
          <w:color w:val="auto"/>
          <w:kern w:val="0"/>
          <w:sz w:val="32"/>
          <w:szCs w:val="32"/>
          <w:highlight w:val="none"/>
          <w:lang w:val="en-US" w:eastAsia="zh-CN" w:bidi="ar"/>
        </w:rPr>
        <w:t xml:space="preserve">反映财政部门集中安排的事业单位基本医 </w:t>
      </w:r>
      <w:r>
        <w:rPr>
          <w:rFonts w:hint="default" w:ascii="仿宋_GB2312" w:hAnsi="宋体" w:eastAsia="仿宋_GB2312" w:cs="仿宋_GB2312"/>
          <w:color w:val="auto"/>
          <w:kern w:val="0"/>
          <w:sz w:val="32"/>
          <w:szCs w:val="32"/>
          <w:highlight w:val="none"/>
          <w:lang w:val="en-US" w:eastAsia="zh-CN" w:bidi="ar"/>
        </w:rPr>
        <w:t>疗保险缴费经费，未参加医疗保险的事业单位的公费医疗经费，按国家规定享受离休人员待遇人员的医疗经费</w:t>
      </w:r>
      <w:r>
        <w:rPr>
          <w:rStyle w:val="17"/>
          <w:rFonts w:hint="eastAsia" w:ascii="仿宋" w:hAnsi="仿宋" w:eastAsia="仿宋"/>
          <w:b w:val="0"/>
          <w:bCs/>
          <w:color w:val="auto"/>
          <w:sz w:val="32"/>
          <w:szCs w:val="32"/>
          <w:highlight w:val="none"/>
        </w:rPr>
        <w:t>。</w:t>
      </w:r>
    </w:p>
    <w:p>
      <w:pPr>
        <w:keepNext w:val="0"/>
        <w:keepLines w:val="0"/>
        <w:widowControl/>
        <w:numPr>
          <w:ilvl w:val="0"/>
          <w:numId w:val="3"/>
        </w:numPr>
        <w:suppressLineNumbers w:val="0"/>
        <w:ind w:left="-13" w:leftChars="0" w:firstLine="638" w:firstLineChars="0"/>
        <w:jc w:val="left"/>
        <w:rPr>
          <w:rStyle w:val="17"/>
          <w:rFonts w:hint="eastAsia" w:ascii="仿宋" w:hAnsi="仿宋" w:eastAsia="仿宋"/>
          <w:bCs/>
          <w:color w:val="auto"/>
          <w:sz w:val="32"/>
          <w:szCs w:val="32"/>
          <w:highlight w:val="none"/>
          <w:lang w:eastAsia="zh-CN"/>
        </w:rPr>
      </w:pP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（类）行政事业单位医疗（款）公务员医疗补助（项）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rPr>
        <w:t>反映财政部门安排的公务员医疗补助经费</w:t>
      </w:r>
      <w:r>
        <w:rPr>
          <w:rStyle w:val="17"/>
          <w:rFonts w:hint="eastAsia" w:ascii="仿宋" w:hAnsi="仿宋" w:eastAsia="仿宋"/>
          <w:bCs/>
          <w:color w:val="auto"/>
          <w:sz w:val="32"/>
          <w:szCs w:val="32"/>
          <w:highlight w:val="none"/>
          <w:lang w:eastAsia="zh-CN"/>
        </w:rPr>
        <w:t>。</w:t>
      </w:r>
    </w:p>
    <w:p>
      <w:pPr>
        <w:keepNext w:val="0"/>
        <w:keepLines w:val="0"/>
        <w:widowControl/>
        <w:numPr>
          <w:ilvl w:val="0"/>
          <w:numId w:val="3"/>
        </w:numPr>
        <w:suppressLineNumbers w:val="0"/>
        <w:ind w:left="-13" w:leftChars="0" w:firstLine="638" w:firstLineChars="0"/>
        <w:jc w:val="left"/>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（类）林业和草原（款）林业草原防灾减灾（项）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val="en-US" w:eastAsia="zh-CN"/>
        </w:rPr>
        <w:t>反映</w:t>
      </w:r>
      <w:r>
        <w:rPr>
          <w:rStyle w:val="17"/>
          <w:rFonts w:ascii="仿宋" w:hAnsi="仿宋" w:eastAsia="仿宋"/>
          <w:b w:val="0"/>
          <w:bCs w:val="0"/>
          <w:color w:val="auto"/>
          <w:sz w:val="32"/>
          <w:szCs w:val="32"/>
          <w:highlight w:val="none"/>
        </w:rPr>
        <w:t>病虫害等有害生物灾害、野生动物疫病灾害等方面支出</w:t>
      </w:r>
      <w:r>
        <w:rPr>
          <w:rStyle w:val="17"/>
          <w:rFonts w:hint="eastAsia" w:ascii="仿宋" w:hAnsi="仿宋" w:eastAsia="仿宋"/>
          <w:b w:val="0"/>
          <w:bCs w:val="0"/>
          <w:color w:val="auto"/>
          <w:sz w:val="32"/>
          <w:szCs w:val="32"/>
          <w:highlight w:val="none"/>
          <w:lang w:eastAsia="zh-CN"/>
        </w:rPr>
        <w:t>。</w:t>
      </w:r>
    </w:p>
    <w:p>
      <w:pPr>
        <w:keepNext w:val="0"/>
        <w:keepLines w:val="0"/>
        <w:widowControl/>
        <w:numPr>
          <w:ilvl w:val="0"/>
          <w:numId w:val="3"/>
        </w:numPr>
        <w:suppressLineNumbers w:val="0"/>
        <w:ind w:left="-13" w:leftChars="0" w:firstLine="638" w:firstLineChars="0"/>
        <w:jc w:val="left"/>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（类）水利（款）行政运行（项）</w:t>
      </w:r>
      <w:r>
        <w:rPr>
          <w:rStyle w:val="17"/>
          <w:rFonts w:ascii="仿宋" w:hAnsi="仿宋" w:eastAsia="仿宋"/>
          <w:bCs/>
          <w:color w:val="auto"/>
          <w:sz w:val="32"/>
          <w:szCs w:val="32"/>
          <w:highlight w:val="none"/>
        </w:rPr>
        <w:t>:</w:t>
      </w:r>
      <w:r>
        <w:rPr>
          <w:rFonts w:ascii="仿宋_GB2312" w:hAnsi="宋体" w:eastAsia="仿宋_GB2312" w:cs="仿宋_GB2312"/>
          <w:b w:val="0"/>
          <w:i w:val="0"/>
          <w:caps w:val="0"/>
          <w:color w:val="auto"/>
          <w:spacing w:val="0"/>
          <w:sz w:val="32"/>
          <w:szCs w:val="32"/>
          <w:highlight w:val="none"/>
        </w:rPr>
        <w:t>反映行政单位（包括实行公务员管理的事业单位）的基本支出</w:t>
      </w:r>
      <w:r>
        <w:rPr>
          <w:rStyle w:val="17"/>
          <w:rFonts w:hint="eastAsia" w:ascii="仿宋" w:hAnsi="仿宋" w:eastAsia="仿宋"/>
          <w:b w:val="0"/>
          <w:bCs/>
          <w:color w:val="auto"/>
          <w:sz w:val="32"/>
          <w:szCs w:val="32"/>
          <w:highlight w:val="none"/>
          <w:lang w:eastAsia="zh-CN"/>
        </w:rPr>
        <w:t>。</w:t>
      </w:r>
    </w:p>
    <w:p>
      <w:pPr>
        <w:pStyle w:val="2"/>
        <w:numPr>
          <w:ilvl w:val="0"/>
          <w:numId w:val="0"/>
        </w:num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（类）水利（款）水利行业业务管理（项）</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 xml:space="preserve">     </w:t>
      </w:r>
    </w:p>
    <w:p>
      <w:pPr>
        <w:pStyle w:val="2"/>
        <w:numPr>
          <w:ilvl w:val="0"/>
          <w:numId w:val="0"/>
        </w:numPr>
        <w:ind w:firstLine="640" w:firstLineChars="200"/>
        <w:rPr>
          <w:rFonts w:ascii="仿宋_GB2312" w:hAnsi="宋体" w:eastAsia="仿宋_GB2312" w:cs="仿宋_GB2312"/>
          <w:b w:val="0"/>
          <w:i w:val="0"/>
          <w:caps w:val="0"/>
          <w:color w:val="auto"/>
          <w:spacing w:val="0"/>
          <w:sz w:val="32"/>
          <w:szCs w:val="32"/>
          <w:highlight w:val="none"/>
        </w:rPr>
      </w:pPr>
      <w:r>
        <w:rPr>
          <w:rFonts w:ascii="仿宋_GB2312" w:hAnsi="宋体" w:eastAsia="仿宋_GB2312" w:cs="仿宋_GB2312"/>
          <w:b w:val="0"/>
          <w:i w:val="0"/>
          <w:caps w:val="0"/>
          <w:color w:val="auto"/>
          <w:spacing w:val="0"/>
          <w:sz w:val="32"/>
          <w:szCs w:val="32"/>
          <w:highlight w:val="none"/>
        </w:rPr>
        <w:t>反映用于水利行业业务管理方面的支出。有关业务包括制定政策、法规及行业标准、规程规范、进行水利宣传、审计监督检查、精神文明建设以及农田水利管理、水利重大活动、水利工程质量监督、水利资金监督管理、水利国有资产监管、行政许可及监督管理等。</w:t>
      </w:r>
    </w:p>
    <w:p>
      <w:pPr>
        <w:pStyle w:val="2"/>
        <w:numPr>
          <w:ilvl w:val="0"/>
          <w:numId w:val="0"/>
        </w:num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11.</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（类）水利（款）水利执法监督（项）</w:t>
      </w:r>
      <w:r>
        <w:rPr>
          <w:rStyle w:val="17"/>
          <w:rFonts w:ascii="仿宋" w:hAnsi="仿宋" w:eastAsia="仿宋"/>
          <w:bCs/>
          <w:color w:val="auto"/>
          <w:sz w:val="32"/>
          <w:szCs w:val="32"/>
          <w:highlight w:val="none"/>
        </w:rPr>
        <w:t>:</w:t>
      </w:r>
      <w:r>
        <w:rPr>
          <w:rStyle w:val="17"/>
          <w:rFonts w:ascii="仿宋" w:hAnsi="仿宋" w:eastAsia="仿宋"/>
          <w:b w:val="0"/>
          <w:bCs w:val="0"/>
          <w:color w:val="auto"/>
          <w:sz w:val="32"/>
          <w:szCs w:val="32"/>
          <w:highlight w:val="none"/>
        </w:rPr>
        <w:t>反映水利系统纳入预算管理的事业单位开展水利执法监督活动的支出。</w:t>
      </w:r>
    </w:p>
    <w:p>
      <w:p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12.</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（类）水利（款）水土保持（项）</w:t>
      </w:r>
      <w:r>
        <w:rPr>
          <w:rStyle w:val="17"/>
          <w:rFonts w:ascii="仿宋" w:hAnsi="仿宋" w:eastAsia="仿宋"/>
          <w:bCs/>
          <w:color w:val="auto"/>
          <w:sz w:val="32"/>
          <w:szCs w:val="32"/>
          <w:highlight w:val="none"/>
        </w:rPr>
        <w:t>:</w:t>
      </w:r>
      <w:r>
        <w:rPr>
          <w:rFonts w:ascii="仿宋_GB2312" w:hAnsi="宋体" w:eastAsia="仿宋_GB2312" w:cs="仿宋_GB2312"/>
          <w:b w:val="0"/>
          <w:i w:val="0"/>
          <w:caps w:val="0"/>
          <w:color w:val="auto"/>
          <w:spacing w:val="0"/>
          <w:sz w:val="32"/>
          <w:szCs w:val="32"/>
          <w:highlight w:val="none"/>
        </w:rPr>
        <w:t>反映水利系统纳入预算管理的水土保持事业单位的支出，包括规划制定和实施，治理、生态修复、预防监测、调查协调、综合治理、开发技术的示范、监督执法等支出以及水土保持生态工程措施和各项管理保护的支出</w:t>
      </w:r>
      <w:r>
        <w:rPr>
          <w:rFonts w:hint="eastAsia" w:ascii="仿宋_GB2312" w:hAnsi="宋体" w:eastAsia="仿宋_GB2312" w:cs="仿宋_GB2312"/>
          <w:b w:val="0"/>
          <w:i w:val="0"/>
          <w:caps w:val="0"/>
          <w:color w:val="auto"/>
          <w:spacing w:val="0"/>
          <w:sz w:val="32"/>
          <w:szCs w:val="32"/>
          <w:highlight w:val="none"/>
          <w:lang w:eastAsia="zh-CN"/>
        </w:rPr>
        <w:t>。</w:t>
      </w:r>
    </w:p>
    <w:p>
      <w:pPr>
        <w:pStyle w:val="2"/>
        <w:numPr>
          <w:ilvl w:val="0"/>
          <w:numId w:val="0"/>
        </w:numPr>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13.</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（类）水利（款）水质监测（项）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反映水利系统纳入预算管理的水质监测事业单位的支出</w:t>
      </w:r>
      <w:r>
        <w:rPr>
          <w:rStyle w:val="17"/>
          <w:rFonts w:hint="eastAsia" w:ascii="仿宋" w:hAnsi="仿宋" w:eastAsia="仿宋"/>
          <w:b w:val="0"/>
          <w:bCs/>
          <w:color w:val="auto"/>
          <w:sz w:val="32"/>
          <w:szCs w:val="32"/>
          <w:highlight w:val="none"/>
          <w:lang w:eastAsia="zh-CN"/>
        </w:rPr>
        <w:t>。</w:t>
      </w:r>
    </w:p>
    <w:p>
      <w:pPr>
        <w:ind w:firstLine="643" w:firstLineChars="200"/>
        <w:rPr>
          <w:rFonts w:hint="eastAsia" w:ascii="仿宋_GB2312" w:hAnsi="宋体" w:eastAsia="仿宋_GB2312" w:cs="仿宋_GB2312"/>
          <w:b w:val="0"/>
          <w:bCs w:val="0"/>
          <w:i w:val="0"/>
          <w:caps w:val="0"/>
          <w:color w:val="auto"/>
          <w:spacing w:val="0"/>
          <w:sz w:val="32"/>
          <w:szCs w:val="32"/>
          <w:highlight w:val="none"/>
          <w:lang w:eastAsia="zh-CN"/>
        </w:rPr>
      </w:pPr>
      <w:r>
        <w:rPr>
          <w:rFonts w:hint="eastAsia" w:ascii="仿宋" w:hAnsi="仿宋" w:eastAsia="仿宋"/>
          <w:b/>
          <w:bCs/>
          <w:color w:val="auto"/>
          <w:sz w:val="32"/>
          <w:szCs w:val="32"/>
          <w:highlight w:val="none"/>
          <w:lang w:val="en-US" w:eastAsia="zh-CN"/>
        </w:rPr>
        <w:t>14.</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（类）水利（款）防汛（项）</w:t>
      </w:r>
      <w:r>
        <w:rPr>
          <w:rStyle w:val="17"/>
          <w:rFonts w:ascii="仿宋" w:hAnsi="仿宋" w:eastAsia="仿宋"/>
          <w:bCs/>
          <w:color w:val="auto"/>
          <w:sz w:val="32"/>
          <w:szCs w:val="32"/>
          <w:highlight w:val="none"/>
        </w:rPr>
        <w:t>:</w:t>
      </w:r>
      <w:r>
        <w:rPr>
          <w:rStyle w:val="17"/>
          <w:rFonts w:ascii="仿宋" w:hAnsi="仿宋" w:eastAsia="仿宋"/>
          <w:b w:val="0"/>
          <w:bCs w:val="0"/>
          <w:color w:val="auto"/>
          <w:sz w:val="32"/>
          <w:szCs w:val="32"/>
          <w:highlight w:val="none"/>
        </w:rPr>
        <w:t>反映防汛业务支出。有关事项包括防汛物资购置管护，防汛通信设施设备、网络系统、车船设备运行维护，防汛值班、水情报汛、防汛指挥系统运行维护、水毁修复以及防汛组织（如防汛预案编制、检查、演习、宣传、会议等），防汛调用民工及劳动保护，水利设施灾后重建，退田还湖，蓄滞洪区补偿、水情、雨情、决策支持，防汛视频会商，山洪灾害防治等</w:t>
      </w:r>
      <w:r>
        <w:rPr>
          <w:rFonts w:ascii="仿宋_GB2312" w:hAnsi="宋体" w:eastAsia="仿宋_GB2312" w:cs="仿宋_GB2312"/>
          <w:b w:val="0"/>
          <w:bCs w:val="0"/>
          <w:i w:val="0"/>
          <w:caps w:val="0"/>
          <w:color w:val="auto"/>
          <w:spacing w:val="0"/>
          <w:sz w:val="32"/>
          <w:szCs w:val="32"/>
          <w:highlight w:val="none"/>
        </w:rPr>
        <w:t>。</w:t>
      </w:r>
      <w:r>
        <w:rPr>
          <w:rFonts w:hint="eastAsia" w:ascii="仿宋_GB2312" w:hAnsi="宋体" w:eastAsia="仿宋_GB2312" w:cs="仿宋_GB2312"/>
          <w:b w:val="0"/>
          <w:bCs w:val="0"/>
          <w:i w:val="0"/>
          <w:caps w:val="0"/>
          <w:color w:val="auto"/>
          <w:spacing w:val="0"/>
          <w:sz w:val="32"/>
          <w:szCs w:val="32"/>
          <w:highlight w:val="none"/>
          <w:lang w:eastAsia="zh-CN"/>
        </w:rPr>
        <w:t>、</w:t>
      </w:r>
    </w:p>
    <w:p>
      <w:pPr>
        <w:ind w:firstLine="643" w:firstLineChars="200"/>
        <w:rPr>
          <w:rStyle w:val="17"/>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15.</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（类）水利（款）抗旱（项）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支反映抗旱业务支出，有关事项包括旱情监测及报旱，抗旱预案编制修订，抗旱物资购置管护，抗旱设施设备运行维护，抗旱应急水源建设以及对各级抗旱服务组织的补助等</w:t>
      </w:r>
      <w:r>
        <w:rPr>
          <w:rStyle w:val="17"/>
          <w:rFonts w:hint="eastAsia" w:ascii="仿宋" w:hAnsi="仿宋" w:eastAsia="仿宋"/>
          <w:b w:val="0"/>
          <w:bCs/>
          <w:color w:val="auto"/>
          <w:sz w:val="32"/>
          <w:szCs w:val="32"/>
          <w:highlight w:val="none"/>
          <w:lang w:eastAsia="zh-CN"/>
        </w:rPr>
        <w:t>。</w:t>
      </w:r>
    </w:p>
    <w:p>
      <w:pPr>
        <w:ind w:firstLine="643" w:firstLineChars="200"/>
        <w:rPr>
          <w:rStyle w:val="17"/>
          <w:rFonts w:ascii="仿宋" w:hAnsi="仿宋" w:eastAsia="仿宋"/>
          <w:b w:val="0"/>
          <w:bCs w:val="0"/>
          <w:color w:val="auto"/>
          <w:sz w:val="32"/>
          <w:szCs w:val="32"/>
          <w:highlight w:val="none"/>
        </w:rPr>
      </w:pPr>
      <w:r>
        <w:rPr>
          <w:rFonts w:hint="eastAsia" w:ascii="仿宋" w:hAnsi="仿宋" w:eastAsia="仿宋"/>
          <w:b/>
          <w:bCs/>
          <w:color w:val="auto"/>
          <w:sz w:val="32"/>
          <w:szCs w:val="32"/>
          <w:highlight w:val="none"/>
          <w:lang w:val="en-US" w:eastAsia="zh-CN"/>
        </w:rPr>
        <w:t>16.</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（类）水利（款）大中型水库移民后期扶持专项支出（项）</w:t>
      </w:r>
      <w:r>
        <w:rPr>
          <w:rStyle w:val="17"/>
          <w:rFonts w:ascii="仿宋" w:hAnsi="仿宋" w:eastAsia="仿宋"/>
          <w:bCs/>
          <w:color w:val="auto"/>
          <w:sz w:val="32"/>
          <w:szCs w:val="32"/>
          <w:highlight w:val="none"/>
        </w:rPr>
        <w:t>:</w:t>
      </w:r>
      <w:r>
        <w:rPr>
          <w:rStyle w:val="17"/>
          <w:rFonts w:ascii="仿宋" w:hAnsi="仿宋" w:eastAsia="仿宋"/>
          <w:b w:val="0"/>
          <w:bCs w:val="0"/>
          <w:color w:val="auto"/>
          <w:sz w:val="32"/>
          <w:szCs w:val="32"/>
          <w:highlight w:val="none"/>
        </w:rPr>
        <w:t>反映中央财政划拨大中型水库移民后期扶持基金的支出，包括对销售电量加价部分征收的增值税返还以及用于解决水库移民遗留问题的定额补助。</w:t>
      </w:r>
    </w:p>
    <w:p>
      <w:pPr>
        <w:ind w:firstLine="643" w:firstLineChars="200"/>
        <w:rPr>
          <w:rStyle w:val="17"/>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17.</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（类）水利（款）水利安全监督（项）</w:t>
      </w:r>
      <w:r>
        <w:rPr>
          <w:rStyle w:val="17"/>
          <w:rFonts w:ascii="仿宋" w:hAnsi="仿宋" w:eastAsia="仿宋"/>
          <w:bCs/>
          <w:color w:val="auto"/>
          <w:sz w:val="32"/>
          <w:szCs w:val="32"/>
          <w:highlight w:val="none"/>
        </w:rPr>
        <w:t>:</w:t>
      </w:r>
      <w:r>
        <w:rPr>
          <w:rFonts w:ascii="仿宋" w:hAnsi="仿宋" w:eastAsia="仿宋" w:cs="仿宋"/>
          <w:i w:val="0"/>
          <w:iCs w:val="0"/>
          <w:caps w:val="0"/>
          <w:color w:val="auto"/>
          <w:spacing w:val="0"/>
          <w:sz w:val="32"/>
          <w:szCs w:val="32"/>
          <w:highlight w:val="none"/>
          <w:shd w:val="clear" w:fill="FFFFFF"/>
        </w:rPr>
        <w:t>反映水利系统纳入预算管理的事业单位开展水利安全生产监督和水利建设项目稽查业务支出</w:t>
      </w:r>
      <w:r>
        <w:rPr>
          <w:rStyle w:val="17"/>
          <w:rFonts w:hint="eastAsia" w:ascii="仿宋" w:hAnsi="仿宋" w:eastAsia="仿宋"/>
          <w:b w:val="0"/>
          <w:bCs/>
          <w:color w:val="auto"/>
          <w:sz w:val="32"/>
          <w:szCs w:val="32"/>
          <w:highlight w:val="none"/>
          <w:lang w:eastAsia="zh-CN"/>
        </w:rPr>
        <w:t>。</w:t>
      </w:r>
    </w:p>
    <w:p>
      <w:pPr>
        <w:ind w:firstLine="643" w:firstLineChars="200"/>
        <w:rPr>
          <w:rStyle w:val="17"/>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18.</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（类）水利（款）其他水利支出（项）</w:t>
      </w:r>
      <w:r>
        <w:rPr>
          <w:rStyle w:val="17"/>
          <w:rFonts w:ascii="仿宋" w:hAnsi="仿宋" w:eastAsia="仿宋"/>
          <w:bCs/>
          <w:color w:val="auto"/>
          <w:sz w:val="32"/>
          <w:szCs w:val="32"/>
          <w:highlight w:val="none"/>
        </w:rPr>
        <w:t>:</w:t>
      </w:r>
      <w:r>
        <w:rPr>
          <w:rFonts w:ascii="仿宋" w:hAnsi="仿宋" w:eastAsia="仿宋" w:cs="仿宋"/>
          <w:i w:val="0"/>
          <w:iCs w:val="0"/>
          <w:caps w:val="0"/>
          <w:color w:val="auto"/>
          <w:spacing w:val="0"/>
          <w:sz w:val="32"/>
          <w:szCs w:val="32"/>
          <w:highlight w:val="none"/>
          <w:shd w:val="clear" w:fill="FFFFFF"/>
        </w:rPr>
        <w:t>反映除上述项目以外其他用于水利方面的支出</w:t>
      </w:r>
      <w:r>
        <w:rPr>
          <w:rStyle w:val="17"/>
          <w:rFonts w:hint="eastAsia" w:ascii="仿宋" w:hAnsi="仿宋" w:eastAsia="仿宋"/>
          <w:b w:val="0"/>
          <w:bCs/>
          <w:color w:val="auto"/>
          <w:sz w:val="32"/>
          <w:szCs w:val="32"/>
          <w:highlight w:val="none"/>
          <w:lang w:eastAsia="zh-CN"/>
        </w:rPr>
        <w:t>。</w:t>
      </w:r>
    </w:p>
    <w:p>
      <w:pPr>
        <w:ind w:firstLine="643" w:firstLineChars="200"/>
        <w:rPr>
          <w:rStyle w:val="17"/>
          <w:rFonts w:hint="eastAsia" w:ascii="仿宋" w:hAnsi="仿宋" w:eastAsia="仿宋"/>
          <w:b w:val="0"/>
          <w:bCs w:val="0"/>
          <w:color w:val="auto"/>
          <w:sz w:val="32"/>
          <w:szCs w:val="32"/>
          <w:highlight w:val="none"/>
          <w:lang w:eastAsia="zh-CN"/>
        </w:rPr>
      </w:pPr>
      <w:r>
        <w:rPr>
          <w:rFonts w:hint="eastAsia" w:ascii="仿宋" w:hAnsi="仿宋" w:eastAsia="仿宋"/>
          <w:b/>
          <w:bCs/>
          <w:color w:val="auto"/>
          <w:sz w:val="32"/>
          <w:szCs w:val="32"/>
          <w:highlight w:val="none"/>
          <w:lang w:val="en-US" w:eastAsia="zh-CN"/>
        </w:rPr>
        <w:t>19.</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（类）巩固脱贫衔接乡村振兴（款）其他巩固脱贫衔接乡村振兴支出（项）</w:t>
      </w:r>
      <w:r>
        <w:rPr>
          <w:rStyle w:val="17"/>
          <w:rFonts w:ascii="仿宋" w:hAnsi="仿宋" w:eastAsia="仿宋"/>
          <w:bCs/>
          <w:color w:val="auto"/>
          <w:sz w:val="32"/>
          <w:szCs w:val="32"/>
          <w:highlight w:val="none"/>
        </w:rPr>
        <w:t>:</w:t>
      </w:r>
      <w:r>
        <w:rPr>
          <w:rStyle w:val="17"/>
          <w:rFonts w:ascii="仿宋" w:hAnsi="仿宋" w:eastAsia="仿宋"/>
          <w:b w:val="0"/>
          <w:bCs w:val="0"/>
          <w:color w:val="auto"/>
          <w:sz w:val="32"/>
          <w:szCs w:val="32"/>
          <w:highlight w:val="none"/>
        </w:rPr>
        <w:t>反映其他用于巩固脱贫攻坚成果同乡村振兴有效衔接的支出</w:t>
      </w:r>
      <w:r>
        <w:rPr>
          <w:rStyle w:val="17"/>
          <w:rFonts w:hint="eastAsia" w:ascii="仿宋" w:hAnsi="仿宋" w:eastAsia="仿宋"/>
          <w:b w:val="0"/>
          <w:bCs w:val="0"/>
          <w:color w:val="auto"/>
          <w:sz w:val="32"/>
          <w:szCs w:val="32"/>
          <w:highlight w:val="none"/>
          <w:lang w:eastAsia="zh-CN"/>
        </w:rPr>
        <w:t>。</w:t>
      </w:r>
    </w:p>
    <w:p>
      <w:pPr>
        <w:ind w:firstLine="643" w:firstLineChars="200"/>
        <w:rPr>
          <w:rStyle w:val="17"/>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20.</w:t>
      </w:r>
      <w:r>
        <w:rPr>
          <w:rFonts w:hint="eastAsia" w:ascii="仿宋" w:hAnsi="仿宋" w:eastAsia="仿宋"/>
          <w:b/>
          <w:bCs/>
          <w:color w:val="auto"/>
          <w:sz w:val="32"/>
          <w:szCs w:val="32"/>
          <w:highlight w:val="none"/>
        </w:rPr>
        <w:t>住房保障支出</w:t>
      </w:r>
      <w:r>
        <w:rPr>
          <w:rStyle w:val="17"/>
          <w:rFonts w:hint="eastAsia" w:ascii="仿宋" w:hAnsi="仿宋" w:eastAsia="仿宋"/>
          <w:bCs/>
          <w:color w:val="auto"/>
          <w:sz w:val="32"/>
          <w:szCs w:val="32"/>
          <w:highlight w:val="none"/>
        </w:rPr>
        <w:t>（类）住房改革支出（款）住房公积金（项）</w:t>
      </w:r>
      <w:r>
        <w:rPr>
          <w:rStyle w:val="17"/>
          <w:rFonts w:ascii="仿宋" w:hAnsi="仿宋" w:eastAsia="仿宋"/>
          <w:bCs/>
          <w:color w:val="auto"/>
          <w:sz w:val="32"/>
          <w:szCs w:val="32"/>
          <w:highlight w:val="none"/>
        </w:rPr>
        <w:t>:</w:t>
      </w:r>
      <w:r>
        <w:rPr>
          <w:rFonts w:ascii="仿宋_GB2312" w:hAnsi="宋体" w:eastAsia="仿宋_GB2312" w:cs="仿宋_GB2312"/>
          <w:b w:val="0"/>
          <w:i w:val="0"/>
          <w:caps w:val="0"/>
          <w:color w:val="auto"/>
          <w:spacing w:val="0"/>
          <w:sz w:val="32"/>
          <w:szCs w:val="32"/>
          <w:highlight w:val="none"/>
        </w:rPr>
        <w:t>反映行政事业单位按人力资源和社会保障部、财政部规定的基本工资和津贴补贴以及规定比例为职工缴纳的住房公积金</w:t>
      </w:r>
      <w:r>
        <w:rPr>
          <w:rStyle w:val="17"/>
          <w:rFonts w:hint="eastAsia" w:ascii="仿宋" w:hAnsi="仿宋" w:eastAsia="仿宋"/>
          <w:b w:val="0"/>
          <w:bCs/>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color w:val="auto"/>
          <w:sz w:val="32"/>
          <w:szCs w:val="32"/>
          <w:highlight w:val="none"/>
          <w:lang w:val="en-US" w:eastAsia="zh-CN"/>
        </w:rPr>
        <w:t>21.</w:t>
      </w:r>
      <w:r>
        <w:rPr>
          <w:rFonts w:hint="eastAsia" w:ascii="仿宋_GB2312" w:eastAsia="仿宋_GB2312"/>
          <w:b/>
          <w:bCs/>
          <w:color w:val="auto"/>
          <w:sz w:val="32"/>
          <w:szCs w:val="32"/>
          <w:highlight w:val="none"/>
        </w:rPr>
        <w:t>基本支出</w:t>
      </w:r>
      <w:r>
        <w:rPr>
          <w:rFonts w:hint="eastAsia" w:ascii="仿宋_GB2312" w:eastAsia="仿宋_GB2312"/>
          <w:color w:val="auto"/>
          <w:sz w:val="32"/>
          <w:szCs w:val="32"/>
          <w:highlight w:val="none"/>
        </w:rPr>
        <w:t>：指为保障机构正常运转、完成日常工作任务而发生的人员支出和公用支出。</w:t>
      </w:r>
    </w:p>
    <w:p>
      <w:pPr>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22</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项目支出</w:t>
      </w:r>
      <w:r>
        <w:rPr>
          <w:rFonts w:hint="eastAsia" w:ascii="仿宋_GB2312" w:eastAsia="仿宋_GB2312"/>
          <w:color w:val="auto"/>
          <w:sz w:val="32"/>
          <w:szCs w:val="32"/>
          <w:highlight w:val="none"/>
        </w:rPr>
        <w:t>：指在基本支出之外为完成特定行政任务和事业发展目标所发生的支出。</w:t>
      </w:r>
      <w:r>
        <w:rPr>
          <w:rFonts w:ascii="仿宋_GB2312" w:eastAsia="仿宋_GB2312"/>
          <w:color w:val="auto"/>
          <w:sz w:val="32"/>
          <w:szCs w:val="32"/>
          <w:highlight w:val="none"/>
        </w:rPr>
        <w:t xml:space="preserve"> </w:t>
      </w:r>
    </w:p>
    <w:p>
      <w:pPr>
        <w:pStyle w:val="23"/>
        <w:spacing w:line="56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23</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“三公”经费</w:t>
      </w:r>
      <w:r>
        <w:rPr>
          <w:rFonts w:hint="eastAsia" w:ascii="仿宋_GB2312" w:eastAsia="仿宋_GB2312"/>
          <w:color w:val="auto"/>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24</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机关运行经费</w:t>
      </w:r>
      <w:r>
        <w:rPr>
          <w:rFonts w:hint="eastAsia" w:ascii="仿宋_GB2312" w:eastAsia="仿宋_GB2312"/>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color w:val="auto"/>
          <w:sz w:val="32"/>
          <w:szCs w:val="32"/>
          <w:highlight w:val="yellow"/>
        </w:rPr>
      </w:pPr>
    </w:p>
    <w:p>
      <w:pPr>
        <w:spacing w:line="600" w:lineRule="exact"/>
        <w:jc w:val="center"/>
        <w:outlineLvl w:val="0"/>
        <w:rPr>
          <w:rFonts w:hint="eastAsia" w:ascii="黑体" w:hAnsi="黑体" w:eastAsia="黑体"/>
          <w:color w:val="auto"/>
          <w:sz w:val="44"/>
          <w:szCs w:val="44"/>
          <w:highlight w:val="none"/>
        </w:rPr>
      </w:pPr>
      <w:bookmarkStart w:id="66" w:name="_Toc14708"/>
      <w:bookmarkStart w:id="67" w:name="_Toc15396614"/>
      <w:bookmarkStart w:id="68"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0"/>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66"/>
      <w:bookmarkEnd w:id="67"/>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黑体" w:hAnsi="黑体" w:eastAsia="黑体" w:cs="黑体"/>
          <w:b/>
          <w:color w:val="auto"/>
          <w:sz w:val="44"/>
          <w:szCs w:val="44"/>
          <w:highlight w:val="none"/>
          <w:shd w:val="clear" w:color="auto" w:fill="FFFFFF"/>
        </w:rPr>
      </w:pPr>
      <w:r>
        <w:rPr>
          <w:rFonts w:hint="eastAsia" w:ascii="黑体" w:hAnsi="黑体" w:eastAsia="黑体" w:cs="黑体"/>
          <w:b/>
          <w:color w:val="auto"/>
          <w:sz w:val="44"/>
          <w:szCs w:val="44"/>
          <w:highlight w:val="none"/>
          <w:shd w:val="clear" w:color="auto" w:fill="FFFFFF"/>
        </w:rPr>
        <w:t>20</w:t>
      </w:r>
      <w:r>
        <w:rPr>
          <w:rFonts w:hint="eastAsia" w:ascii="黑体" w:hAnsi="黑体" w:eastAsia="黑体" w:cs="黑体"/>
          <w:b/>
          <w:color w:val="auto"/>
          <w:sz w:val="44"/>
          <w:szCs w:val="44"/>
          <w:highlight w:val="none"/>
          <w:shd w:val="clear" w:color="auto" w:fill="FFFFFF"/>
          <w:lang w:val="en-US" w:eastAsia="zh-CN"/>
        </w:rPr>
        <w:t>23</w:t>
      </w:r>
      <w:r>
        <w:rPr>
          <w:rFonts w:hint="eastAsia" w:ascii="黑体" w:hAnsi="黑体" w:eastAsia="黑体" w:cs="黑体"/>
          <w:b/>
          <w:color w:val="auto"/>
          <w:sz w:val="44"/>
          <w:szCs w:val="44"/>
          <w:highlight w:val="none"/>
          <w:shd w:val="clear" w:color="auto" w:fill="FFFFFF"/>
        </w:rPr>
        <w:t>年部门整体绩效评价报告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10" w:leftChars="0" w:firstLine="640" w:firstLineChars="0"/>
        <w:contextualSpacing/>
        <w:jc w:val="left"/>
        <w:textAlignment w:val="auto"/>
        <w:outlineLvl w:val="9"/>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pStyle w:val="2"/>
        <w:numPr>
          <w:ilvl w:val="0"/>
          <w:numId w:val="0"/>
        </w:numPr>
        <w:outlineLvl w:val="9"/>
        <w:rPr>
          <w:rFonts w:hint="default" w:eastAsia="仿宋_GB2312"/>
          <w:lang w:val="en-US" w:eastAsia="zh-CN"/>
        </w:rPr>
      </w:pPr>
      <w:r>
        <w:rPr>
          <w:rFonts w:hint="eastAsia"/>
          <w:lang w:val="en-US" w:eastAsia="zh-CN"/>
        </w:rPr>
        <w:t xml:space="preserve">   </w:t>
      </w:r>
      <w:r>
        <w:rPr>
          <w:rFonts w:hint="eastAsia" w:ascii="仿宋_GB2312" w:hAnsi="宋体" w:cs="宋体"/>
          <w:color w:val="auto"/>
          <w:kern w:val="0"/>
          <w:szCs w:val="32"/>
          <w:shd w:val="clear" w:color="auto" w:fill="FFFFFF"/>
          <w:lang w:val="zh-CN"/>
        </w:rPr>
        <w:t>峨边彝族自治县水务局内设综合股和业务股。</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pStyle w:val="13"/>
        <w:jc w:val="left"/>
        <w:outlineLvl w:val="9"/>
        <w:rPr>
          <w:rFonts w:hint="eastAsia" w:eastAsia="楷体_GB2312"/>
          <w:lang w:val="en-US" w:eastAsia="zh-CN"/>
        </w:rPr>
      </w:pPr>
      <w:bookmarkStart w:id="69" w:name="_Toc2593"/>
      <w:r>
        <w:rPr>
          <w:rFonts w:hint="eastAsia" w:ascii="楷体_GB2312" w:hAnsi="楷体_GB2312" w:eastAsia="楷体_GB2312" w:cs="楷体_GB2312"/>
          <w:b w:val="0"/>
          <w:bCs w:val="0"/>
          <w:color w:val="auto"/>
          <w:kern w:val="0"/>
          <w:sz w:val="32"/>
          <w:szCs w:val="32"/>
          <w:highlight w:val="none"/>
          <w:shd w:val="clear" w:color="auto" w:fill="FFFFFF"/>
          <w:lang w:val="en-US" w:eastAsia="zh-CN"/>
        </w:rPr>
        <w:t>机构职能：</w:t>
      </w:r>
      <w:bookmarkEnd w:id="69"/>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1.</w:t>
      </w:r>
      <w:r>
        <w:rPr>
          <w:rFonts w:hint="eastAsia" w:ascii="仿宋_GB2312" w:eastAsia="仿宋_GB2312"/>
          <w:color w:val="auto"/>
          <w:sz w:val="32"/>
          <w:szCs w:val="32"/>
        </w:rPr>
        <w:t>宣传贯彻执行有关水务工作的法律、法规和方针政策；负责拟定全县水务管理规范性文件并组织实施。</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2.</w:t>
      </w:r>
      <w:r>
        <w:rPr>
          <w:rFonts w:hint="eastAsia" w:ascii="仿宋_GB2312" w:eastAsia="仿宋_GB2312"/>
          <w:color w:val="auto"/>
          <w:sz w:val="32"/>
          <w:szCs w:val="32"/>
        </w:rPr>
        <w:t>负责编制全县城乡水务发展规划；拟定全县中长期供水计划和年度供水计划、水量分配方案和旱情紧急情况下水量调度预案，并组织实施。</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3.</w:t>
      </w:r>
      <w:r>
        <w:rPr>
          <w:rFonts w:hint="eastAsia" w:ascii="仿宋_GB2312" w:eastAsia="仿宋_GB2312"/>
          <w:color w:val="auto"/>
          <w:sz w:val="32"/>
          <w:szCs w:val="32"/>
        </w:rPr>
        <w:t>组织有关全县国民经济发展总体规划、城市规划及重大建设项目的水资源利用和防洪论证工作。</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4.</w:t>
      </w:r>
      <w:r>
        <w:rPr>
          <w:rFonts w:hint="eastAsia" w:ascii="仿宋_GB2312" w:eastAsia="仿宋_GB2312"/>
          <w:color w:val="auto"/>
          <w:sz w:val="32"/>
          <w:szCs w:val="32"/>
        </w:rPr>
        <w:t>负责全县水资源（含空中水、地表水、地下水）的统一管理和监督工作；负责对水资源的动态监测；审核水域纳污能力、向生态环境峨边分局提出限制排污总量的意见；监测江河湖库及饮水区等水域的水质、水量，组织编制全县节约用水、计划用水规划和有关标准，并组织实施。</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5.</w:t>
      </w:r>
      <w:r>
        <w:rPr>
          <w:rFonts w:hint="eastAsia" w:ascii="仿宋_GB2312" w:eastAsia="仿宋_GB2312"/>
          <w:color w:val="auto"/>
          <w:sz w:val="32"/>
          <w:szCs w:val="32"/>
        </w:rPr>
        <w:t>负责组织指导全县水务行政执法工作；负责水务行政复议的受理和行政诉讼的应诉工作；调解处理重大水事纠纷；依法查处水事违法案件。</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6.</w:t>
      </w:r>
      <w:r>
        <w:rPr>
          <w:rFonts w:hint="eastAsia" w:ascii="仿宋_GB2312" w:eastAsia="仿宋_GB2312"/>
          <w:color w:val="auto"/>
          <w:sz w:val="32"/>
          <w:szCs w:val="32"/>
        </w:rPr>
        <w:t>负责组织编制全县供水规划和供水行业管理工作；负责全县供水企业的资质管理；制定全县供水行业的服务标准并实施监督检查；负责全县供水价格测算的组织工作；负责指导、监督全县供水等基础设施建设；负责自备井的管理和指导。</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7.</w:t>
      </w:r>
      <w:r>
        <w:rPr>
          <w:rFonts w:hint="eastAsia" w:ascii="仿宋_GB2312" w:eastAsia="仿宋_GB2312"/>
          <w:color w:val="auto"/>
          <w:sz w:val="32"/>
          <w:szCs w:val="32"/>
        </w:rPr>
        <w:t>负责拟定水务行业经济调节措施，研究提出水务行业有关价格、税收、信贷、财务等经济调节意见；负责编制全县水务行业建设项目资金计划，对水务资金的使用进行宏观管理、监督和审查。</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8.</w:t>
      </w:r>
      <w:r>
        <w:rPr>
          <w:rFonts w:hint="eastAsia" w:ascii="仿宋_GB2312" w:eastAsia="仿宋_GB2312"/>
          <w:color w:val="auto"/>
          <w:sz w:val="32"/>
          <w:szCs w:val="32"/>
        </w:rPr>
        <w:t>组织指导全县水务基本建设，并实施行业监督管理；</w:t>
      </w:r>
      <w:r>
        <w:rPr>
          <w:rFonts w:hint="eastAsia" w:ascii="仿宋_GB2312" w:hAnsi="仿宋_GB2312" w:eastAsia="仿宋_GB2312"/>
          <w:color w:val="auto"/>
          <w:sz w:val="32"/>
          <w:szCs w:val="32"/>
        </w:rPr>
        <w:t>负责全县水务行业基本建设的质量监督和安全管理工作；</w:t>
      </w:r>
      <w:r>
        <w:rPr>
          <w:rFonts w:hint="eastAsia" w:ascii="仿宋_GB2312" w:eastAsia="仿宋_GB2312"/>
          <w:color w:val="auto"/>
          <w:sz w:val="32"/>
          <w:szCs w:val="32"/>
        </w:rPr>
        <w:t>负责小型水利工程建设，初审、转报大中型水利基建项目初步设计；</w:t>
      </w:r>
      <w:r>
        <w:rPr>
          <w:rFonts w:hint="eastAsia" w:eastAsia="仿宋_GB2312"/>
          <w:color w:val="auto"/>
          <w:sz w:val="32"/>
          <w:szCs w:val="32"/>
        </w:rPr>
        <w:t>组织建设和管理具有控制性或跨乡镇的重要水利工程；</w:t>
      </w:r>
      <w:r>
        <w:rPr>
          <w:rFonts w:hint="eastAsia" w:ascii="仿宋_GB2312" w:eastAsia="仿宋_GB2312"/>
          <w:color w:val="auto"/>
          <w:sz w:val="32"/>
          <w:szCs w:val="32"/>
        </w:rPr>
        <w:t>组织指导水库、水电站大坝的安全监督。</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9.</w:t>
      </w:r>
      <w:r>
        <w:rPr>
          <w:rFonts w:hint="eastAsia" w:ascii="仿宋_GB2312" w:eastAsia="仿宋_GB2312"/>
          <w:color w:val="auto"/>
          <w:sz w:val="32"/>
          <w:szCs w:val="32"/>
        </w:rPr>
        <w:t>编制全县水土保持规划并组织实施；负责水土保持预防监督、水土流失监测和综合防治工作；</w:t>
      </w:r>
      <w:r>
        <w:rPr>
          <w:rFonts w:hint="eastAsia" w:eastAsia="仿宋_GB2312"/>
          <w:color w:val="auto"/>
          <w:sz w:val="32"/>
          <w:szCs w:val="32"/>
        </w:rPr>
        <w:t>组织实施工程建设项目水土保持方案和设施自主验收的备案，征收水土保持补偿费；</w:t>
      </w:r>
      <w:r>
        <w:rPr>
          <w:rFonts w:hint="eastAsia" w:ascii="仿宋_GB2312" w:eastAsia="仿宋_GB2312"/>
          <w:color w:val="auto"/>
          <w:sz w:val="32"/>
          <w:szCs w:val="32"/>
        </w:rPr>
        <w:t>指导水利绿化工作。</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10.</w:t>
      </w:r>
      <w:r>
        <w:rPr>
          <w:rFonts w:hint="eastAsia" w:ascii="仿宋_GB2312" w:eastAsia="仿宋_GB2312"/>
          <w:color w:val="auto"/>
          <w:sz w:val="32"/>
          <w:szCs w:val="32"/>
        </w:rPr>
        <w:t>对县境内主要江河和重要水利工程实施山洪灾害监测；掌握全县境内的雨情、水情信息，及时传达各有关单位。</w:t>
      </w:r>
    </w:p>
    <w:p>
      <w:pPr>
        <w:spacing w:line="600" w:lineRule="exact"/>
        <w:ind w:firstLine="629"/>
        <w:outlineLvl w:val="9"/>
        <w:rPr>
          <w:rFonts w:hint="eastAsia" w:eastAsia="仿宋_GB2312"/>
          <w:color w:val="auto"/>
          <w:sz w:val="32"/>
          <w:szCs w:val="32"/>
          <w:u w:val="single"/>
        </w:rPr>
      </w:pPr>
      <w:r>
        <w:rPr>
          <w:rFonts w:hint="eastAsia" w:ascii="仿宋_GB2312"/>
          <w:color w:val="auto"/>
          <w:sz w:val="32"/>
          <w:szCs w:val="32"/>
          <w:lang w:val="en-US" w:eastAsia="zh-CN"/>
        </w:rPr>
        <w:t>11.</w:t>
      </w:r>
      <w:r>
        <w:rPr>
          <w:rFonts w:hint="eastAsia" w:ascii="仿宋_GB2312" w:eastAsia="仿宋_GB2312"/>
          <w:color w:val="auto"/>
          <w:sz w:val="32"/>
          <w:szCs w:val="32"/>
        </w:rPr>
        <w:t>指导全县江河、湖库、滩涂的综合治理与开发；</w:t>
      </w:r>
      <w:r>
        <w:rPr>
          <w:rFonts w:hint="eastAsia" w:eastAsia="仿宋_GB2312"/>
          <w:color w:val="auto"/>
          <w:sz w:val="32"/>
          <w:szCs w:val="32"/>
        </w:rPr>
        <w:t>组织实施河道采砂许可制度和征收河道砂石资源费制度。</w:t>
      </w:r>
    </w:p>
    <w:p>
      <w:pPr>
        <w:spacing w:line="600" w:lineRule="exact"/>
        <w:ind w:firstLine="629"/>
        <w:outlineLvl w:val="9"/>
        <w:rPr>
          <w:rFonts w:hint="eastAsia" w:ascii="仿宋_GB2312" w:eastAsia="仿宋_GB2312"/>
          <w:color w:val="auto"/>
          <w:sz w:val="32"/>
          <w:szCs w:val="32"/>
        </w:rPr>
      </w:pPr>
      <w:r>
        <w:rPr>
          <w:rFonts w:hint="eastAsia" w:ascii="仿宋_GB2312"/>
          <w:color w:val="auto"/>
          <w:sz w:val="32"/>
          <w:szCs w:val="32"/>
          <w:lang w:val="en-US" w:eastAsia="zh-CN"/>
        </w:rPr>
        <w:t>12.</w:t>
      </w:r>
      <w:r>
        <w:rPr>
          <w:rFonts w:hint="eastAsia" w:ascii="仿宋_GB2312" w:eastAsia="仿宋_GB2312"/>
          <w:color w:val="auto"/>
          <w:sz w:val="32"/>
          <w:szCs w:val="32"/>
        </w:rPr>
        <w:t>指导全县有关水务等项目的科学研究和技术推广，组织指导全县重大水务项目对外合作和交流。</w:t>
      </w:r>
    </w:p>
    <w:p>
      <w:pPr>
        <w:spacing w:line="600" w:lineRule="exact"/>
        <w:ind w:firstLine="640" w:firstLineChars="200"/>
        <w:outlineLvl w:val="9"/>
        <w:rPr>
          <w:rFonts w:hint="eastAsia" w:ascii="仿宋_GB2312" w:eastAsia="仿宋_GB2312"/>
          <w:color w:val="auto"/>
          <w:sz w:val="32"/>
          <w:szCs w:val="32"/>
        </w:rPr>
      </w:pPr>
      <w:r>
        <w:rPr>
          <w:rFonts w:hint="eastAsia" w:ascii="仿宋_GB2312"/>
          <w:color w:val="auto"/>
          <w:sz w:val="32"/>
          <w:szCs w:val="32"/>
          <w:lang w:val="en-US" w:eastAsia="zh-CN"/>
        </w:rPr>
        <w:t>13.</w:t>
      </w:r>
      <w:r>
        <w:rPr>
          <w:rFonts w:hint="eastAsia" w:eastAsia="仿宋_GB2312"/>
          <w:color w:val="auto"/>
          <w:sz w:val="32"/>
          <w:szCs w:val="32"/>
        </w:rPr>
        <w:t>指导全县水务行业干部职工队伍建设和服务体系建设</w:t>
      </w:r>
      <w:r>
        <w:rPr>
          <w:rFonts w:hint="eastAsia" w:ascii="仿宋_GB2312" w:eastAsia="仿宋_GB2312"/>
          <w:color w:val="auto"/>
          <w:sz w:val="32"/>
          <w:szCs w:val="32"/>
        </w:rPr>
        <w:t>；指导水务行业劳动保护和安全生产工作。</w:t>
      </w:r>
    </w:p>
    <w:p>
      <w:pPr>
        <w:spacing w:line="600" w:lineRule="exact"/>
        <w:ind w:firstLine="720" w:firstLineChars="225"/>
        <w:outlineLvl w:val="9"/>
        <w:rPr>
          <w:rFonts w:hint="eastAsia" w:ascii="仿宋_GB2312" w:eastAsia="仿宋_GB2312"/>
          <w:color w:val="auto"/>
          <w:sz w:val="32"/>
          <w:szCs w:val="32"/>
        </w:rPr>
      </w:pPr>
      <w:r>
        <w:rPr>
          <w:rFonts w:hint="eastAsia" w:ascii="仿宋_GB2312"/>
          <w:color w:val="auto"/>
          <w:sz w:val="32"/>
          <w:szCs w:val="32"/>
          <w:lang w:val="en-US" w:eastAsia="zh-CN"/>
        </w:rPr>
        <w:t>14.</w:t>
      </w:r>
      <w:r>
        <w:rPr>
          <w:rFonts w:hint="eastAsia" w:ascii="仿宋_GB2312" w:eastAsia="仿宋_GB2312"/>
          <w:color w:val="auto"/>
          <w:sz w:val="32"/>
          <w:szCs w:val="32"/>
        </w:rPr>
        <w:t>负责职责范围内的安全生产和职业健康、生态环境保护、服务便民化工作。</w:t>
      </w:r>
    </w:p>
    <w:p>
      <w:pPr>
        <w:spacing w:line="600" w:lineRule="exact"/>
        <w:ind w:firstLine="720" w:firstLineChars="225"/>
        <w:outlineLvl w:val="9"/>
        <w:rPr>
          <w:rFonts w:hint="eastAsia" w:ascii="仿宋_GB2312" w:eastAsia="仿宋_GB2312"/>
          <w:color w:val="auto"/>
          <w:sz w:val="32"/>
          <w:szCs w:val="32"/>
        </w:rPr>
      </w:pPr>
      <w:r>
        <w:rPr>
          <w:rFonts w:hint="eastAsia" w:ascii="仿宋_GB2312"/>
          <w:color w:val="auto"/>
          <w:sz w:val="32"/>
          <w:szCs w:val="32"/>
          <w:lang w:val="en-US" w:eastAsia="zh-CN"/>
        </w:rPr>
        <w:t>15.</w:t>
      </w:r>
      <w:r>
        <w:rPr>
          <w:rFonts w:hint="eastAsia" w:ascii="仿宋" w:hAnsi="仿宋" w:eastAsia="仿宋"/>
          <w:color w:val="auto"/>
          <w:sz w:val="32"/>
          <w:szCs w:val="32"/>
        </w:rPr>
        <w:t>负责县总河长办公室的日常工作，贯彻执行上级和县委、政府河长制工作决策部署，充分发挥参谋助手、综合协调、督办等职能作用，认真履行办文、办会、办事等工作职责，统筹协调督促推进全县河长制工作</w:t>
      </w:r>
    </w:p>
    <w:p>
      <w:pPr>
        <w:spacing w:line="600" w:lineRule="exact"/>
        <w:ind w:firstLine="720" w:firstLineChars="225"/>
        <w:outlineLvl w:val="9"/>
        <w:rPr>
          <w:rFonts w:hint="eastAsia" w:ascii="仿宋_GB2312" w:eastAsia="仿宋_GB2312"/>
          <w:color w:val="auto"/>
          <w:sz w:val="32"/>
          <w:szCs w:val="32"/>
        </w:rPr>
      </w:pPr>
      <w:r>
        <w:rPr>
          <w:rFonts w:hint="eastAsia" w:ascii="仿宋_GB2312"/>
          <w:color w:val="auto"/>
          <w:sz w:val="32"/>
          <w:szCs w:val="32"/>
          <w:lang w:val="en-US" w:eastAsia="zh-CN"/>
        </w:rPr>
        <w:t>16.</w:t>
      </w:r>
      <w:r>
        <w:rPr>
          <w:rFonts w:hint="eastAsia" w:ascii="仿宋_GB2312" w:eastAsia="仿宋_GB2312"/>
          <w:color w:val="auto"/>
          <w:sz w:val="32"/>
          <w:szCs w:val="32"/>
        </w:rPr>
        <w:t>在自然灾害防救方面的职责分工。</w:t>
      </w:r>
    </w:p>
    <w:p>
      <w:pPr>
        <w:widowControl/>
        <w:shd w:val="clear" w:color="000000" w:fill="FFFFFF"/>
        <w:spacing w:line="600" w:lineRule="exact"/>
        <w:ind w:firstLine="640"/>
        <w:jc w:val="left"/>
        <w:outlineLvl w:val="9"/>
        <w:rPr>
          <w:rFonts w:ascii="仿宋_GB2312" w:hAnsi="仿宋_GB2312" w:eastAsia="仿宋_GB2312"/>
          <w:color w:val="auto"/>
          <w:sz w:val="32"/>
        </w:rPr>
      </w:pPr>
      <w:r>
        <w:rPr>
          <w:rFonts w:hint="eastAsia" w:ascii="仿宋_GB2312" w:hAnsi="仿宋_GB2312" w:eastAsia="仿宋_GB2312"/>
          <w:color w:val="auto"/>
          <w:sz w:val="32"/>
        </w:rPr>
        <w:t>县应急局与县自然资源局、县水务局、县林业局等部门要做到各司其职，无缝对接。县</w:t>
      </w:r>
      <w:r>
        <w:rPr>
          <w:rFonts w:ascii="仿宋_GB2312" w:hAnsi="仿宋_GB2312" w:eastAsia="仿宋_GB2312"/>
          <w:color w:val="auto"/>
          <w:sz w:val="32"/>
        </w:rPr>
        <w:t>应急</w:t>
      </w:r>
      <w:r>
        <w:rPr>
          <w:rFonts w:hint="eastAsia" w:ascii="仿宋_GB2312" w:hAnsi="仿宋_GB2312" w:eastAsia="仿宋_GB2312"/>
          <w:color w:val="auto"/>
          <w:sz w:val="32"/>
        </w:rPr>
        <w:t>局</w:t>
      </w:r>
      <w:r>
        <w:rPr>
          <w:rFonts w:ascii="仿宋_GB2312" w:hAnsi="仿宋_GB2312" w:eastAsia="仿宋_GB2312"/>
          <w:color w:val="auto"/>
          <w:sz w:val="32"/>
        </w:rPr>
        <w:t>负责统一组织、统一指挥、统一协调自然灾害类突发事件应急救援工作，</w:t>
      </w:r>
      <w:r>
        <w:rPr>
          <w:rFonts w:hint="eastAsia" w:ascii="仿宋_GB2312" w:hAnsi="仿宋_GB2312" w:eastAsia="仿宋_GB2312"/>
          <w:color w:val="auto"/>
          <w:sz w:val="32"/>
        </w:rPr>
        <w:t>县</w:t>
      </w:r>
      <w:r>
        <w:rPr>
          <w:rFonts w:ascii="仿宋_GB2312" w:hAnsi="仿宋_GB2312" w:eastAsia="仿宋_GB2312"/>
          <w:color w:val="auto"/>
          <w:sz w:val="32"/>
        </w:rPr>
        <w:t>自然资源局、</w:t>
      </w:r>
      <w:r>
        <w:rPr>
          <w:rFonts w:hint="eastAsia" w:ascii="仿宋_GB2312" w:hAnsi="仿宋_GB2312" w:eastAsia="仿宋_GB2312"/>
          <w:color w:val="auto"/>
          <w:sz w:val="32"/>
        </w:rPr>
        <w:t>县</w:t>
      </w:r>
      <w:r>
        <w:rPr>
          <w:rFonts w:ascii="仿宋_GB2312" w:hAnsi="仿宋_GB2312" w:eastAsia="仿宋_GB2312"/>
          <w:color w:val="auto"/>
          <w:sz w:val="32"/>
        </w:rPr>
        <w:t>水务局、</w:t>
      </w:r>
      <w:r>
        <w:rPr>
          <w:rFonts w:hint="eastAsia" w:ascii="仿宋_GB2312" w:hAnsi="仿宋_GB2312" w:eastAsia="仿宋_GB2312"/>
          <w:color w:val="auto"/>
          <w:sz w:val="32"/>
        </w:rPr>
        <w:t>县</w:t>
      </w:r>
      <w:r>
        <w:rPr>
          <w:rFonts w:ascii="仿宋_GB2312" w:hAnsi="仿宋_GB2312" w:eastAsia="仿宋_GB2312"/>
          <w:color w:val="auto"/>
          <w:sz w:val="32"/>
        </w:rPr>
        <w:t>林业局依法依规承担相关行业领域的灾害监测、预警、防治工作及抢险救援的技术</w:t>
      </w:r>
      <w:r>
        <w:rPr>
          <w:rFonts w:hint="eastAsia" w:ascii="仿宋_GB2312" w:hAnsi="仿宋_GB2312" w:eastAsia="仿宋_GB2312"/>
          <w:color w:val="auto"/>
          <w:sz w:val="32"/>
        </w:rPr>
        <w:t>保障</w:t>
      </w:r>
      <w:r>
        <w:rPr>
          <w:rFonts w:ascii="仿宋_GB2312" w:hAnsi="仿宋_GB2312" w:eastAsia="仿宋_GB2312"/>
          <w:color w:val="auto"/>
          <w:sz w:val="32"/>
        </w:rPr>
        <w:t>工作。</w:t>
      </w:r>
    </w:p>
    <w:p>
      <w:pPr>
        <w:numPr>
          <w:ilvl w:val="0"/>
          <w:numId w:val="11"/>
        </w:numPr>
        <w:spacing w:line="600" w:lineRule="exact"/>
        <w:ind w:firstLine="720" w:firstLineChars="225"/>
        <w:outlineLvl w:val="9"/>
        <w:rPr>
          <w:rFonts w:hint="default" w:eastAsia="仿宋_GB2312"/>
          <w:b w:val="0"/>
          <w:bCs w:val="0"/>
          <w:lang w:val="en-US" w:eastAsia="zh-CN"/>
        </w:rPr>
      </w:pPr>
      <w:r>
        <w:rPr>
          <w:rFonts w:hint="eastAsia" w:ascii="仿宋_GB2312" w:eastAsia="仿宋_GB2312"/>
          <w:color w:val="auto"/>
          <w:sz w:val="32"/>
          <w:szCs w:val="32"/>
        </w:rPr>
        <w:t>完成县委、县政府交办的其它任务。</w:t>
      </w:r>
    </w:p>
    <w:p>
      <w:pPr>
        <w:numPr>
          <w:ilvl w:val="0"/>
          <w:numId w:val="11"/>
        </w:numPr>
        <w:spacing w:line="600" w:lineRule="exact"/>
        <w:ind w:firstLine="720" w:firstLineChars="225"/>
        <w:outlineLvl w:val="9"/>
        <w:rPr>
          <w:rFonts w:hint="default" w:eastAsia="仿宋_GB2312"/>
          <w:b w:val="0"/>
          <w:bCs w:val="0"/>
          <w:lang w:val="en-US" w:eastAsia="zh-CN"/>
        </w:rPr>
      </w:pPr>
      <w:r>
        <w:rPr>
          <w:rFonts w:hint="eastAsia" w:ascii="仿宋_GB2312"/>
          <w:color w:val="auto"/>
          <w:sz w:val="32"/>
          <w:szCs w:val="32"/>
          <w:lang w:val="en-US" w:eastAsia="zh-CN"/>
        </w:rPr>
        <w:t xml:space="preserve"> </w:t>
      </w:r>
      <w:r>
        <w:rPr>
          <w:rFonts w:hint="eastAsia" w:ascii="仿宋" w:hAnsi="仿宋" w:eastAsia="仿宋" w:cs="仿宋"/>
          <w:color w:val="auto"/>
          <w:sz w:val="32"/>
          <w:szCs w:val="32"/>
          <w:lang w:val="en-US" w:eastAsia="zh-CN"/>
        </w:rPr>
        <w:t>完成电站库区工作</w:t>
      </w:r>
    </w:p>
    <w:p>
      <w:pPr>
        <w:pStyle w:val="2"/>
        <w:numPr>
          <w:ilvl w:val="0"/>
          <w:numId w:val="0"/>
        </w:num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人员概况：</w:t>
      </w:r>
    </w:p>
    <w:p>
      <w:pPr>
        <w:numPr>
          <w:ilvl w:val="0"/>
          <w:numId w:val="0"/>
        </w:numPr>
        <w:spacing w:line="600" w:lineRule="exact"/>
        <w:ind w:left="0" w:leftChars="0" w:firstLine="640" w:firstLineChars="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县水务局行政编制</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名。其中：局长</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名、副局长</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名、总工程师1名，中层领导职数</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名。保留机关工勤编制1名。</w:t>
      </w:r>
    </w:p>
    <w:p>
      <w:pPr>
        <w:pStyle w:val="13"/>
        <w:ind w:firstLine="640" w:firstLineChars="200"/>
        <w:jc w:val="both"/>
        <w:outlineLvl w:val="9"/>
        <w:rPr>
          <w:rFonts w:hint="eastAsia" w:ascii="仿宋" w:hAnsi="仿宋" w:eastAsia="仿宋" w:cs="仿宋"/>
          <w:sz w:val="32"/>
          <w:szCs w:val="32"/>
          <w:lang w:val="en-US" w:eastAsia="zh-CN"/>
        </w:rPr>
      </w:pPr>
      <w:bookmarkStart w:id="70" w:name="_Toc16321"/>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水利综合执法大队</w:t>
      </w:r>
      <w:r>
        <w:rPr>
          <w:rFonts w:hint="eastAsia" w:ascii="仿宋" w:hAnsi="仿宋" w:eastAsia="仿宋" w:cs="仿宋"/>
          <w:b w:val="0"/>
          <w:bCs w:val="0"/>
          <w:color w:val="auto"/>
          <w:sz w:val="32"/>
          <w:szCs w:val="32"/>
          <w:lang w:val="en-US" w:eastAsia="zh-CN"/>
        </w:rPr>
        <w:t>12人</w:t>
      </w:r>
      <w:bookmarkEnd w:id="70"/>
    </w:p>
    <w:p>
      <w:pPr>
        <w:numPr>
          <w:ilvl w:val="0"/>
          <w:numId w:val="0"/>
        </w:numPr>
        <w:spacing w:line="600" w:lineRule="exact"/>
        <w:ind w:left="0" w:leftChars="0" w:firstLine="640" w:firstLineChars="0"/>
        <w:outlineLvl w:val="9"/>
        <w:rPr>
          <w:rFonts w:hint="eastAsia"/>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县水务局所属事业单位</w:t>
      </w:r>
      <w:r>
        <w:rPr>
          <w:rFonts w:hint="eastAsia" w:ascii="仿宋" w:hAnsi="仿宋" w:eastAsia="仿宋" w:cs="仿宋"/>
          <w:color w:val="auto"/>
          <w:sz w:val="32"/>
          <w:szCs w:val="32"/>
          <w:lang w:eastAsia="zh-CN"/>
        </w:rPr>
        <w:t>水利工程质量安全监督站</w:t>
      </w:r>
      <w:r>
        <w:rPr>
          <w:rFonts w:hint="eastAsia" w:ascii="仿宋" w:hAnsi="仿宋" w:eastAsia="仿宋" w:cs="仿宋"/>
          <w:color w:val="auto"/>
          <w:sz w:val="32"/>
          <w:szCs w:val="32"/>
          <w:lang w:val="en-US" w:eastAsia="zh-CN"/>
        </w:rPr>
        <w:t>20人，夏家沟水库管理站6名。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党的领导全面加强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是健全完善工作运行机制。我局印发了《中共峨边彝族自治县水务局党组工作运行规则》《峨边彝族自治县水务局内控管理制度》和《峨边彝族自治县水务局信访工作制度》，成立了峨边彝族自治县水务局机关党委，全面推进水利系统党建、思想政治、意识形态等工作。二是大力推进清廉机关建设。专门投入2万元用于机关党建建设。完成了县水务局第一党支部和第二党支部组织选举工作。主动接受县委第一巡察组巡察，全面整改当前工作中存在的问题。加强意识形态工作，新闻宣传成效明显，10-12月在市水务局网站发布信息简报8篇。三是不断强化干部队伍建设。将青年干部放到中层岗位和关键岗位锻炼，重点培养青年干部独挡一面的工作能力，今年4名青年干部全部发展为正式党员。选派4名技术干部到村担任乡村振兴驻村队员，其中1名为第一书记。选派5名同志参加全市水务系统中青年干部培训班，安排干部参加了省、市业务知识培训10余人次，进一步提升了干部理论知识水平和工作能力。县水务局党组特别注重专业技术干部的专业能力和执法人员执法水平培训，提高干部能力水平。先后以“外面请、相互讲、网上学”的形式，开展了执法能力、公文写作、招投标、工程建设管理、防汛减灾和安全大培训5期，参训干部约200人次。</w:t>
      </w:r>
    </w:p>
    <w:p>
      <w:pPr>
        <w:pStyle w:val="7"/>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 w:hAnsi="楷体" w:eastAsia="楷体" w:cs="楷体"/>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民生实事全面完成。</w:t>
      </w:r>
    </w:p>
    <w:p>
      <w:pPr>
        <w:pStyle w:val="7"/>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是提升城区供水保障能力。积极推进城区二水厂项目，目前已完成该项目建设工作并进入试运行阶段，完成投资2800万元。积极推进乡村振兴衔接资金项目，投资490.67万元用于安全饮水巩固提升项目建设，改善提升18658人饮水质量，覆盖毛坪镇新华村、云心村、五渡镇双凤村、沙坪镇果山村等14个村，目前已全面完工。二是积极推进2022年安全饮水维修养护项目，投资110万元，完成80处饮水工程的维修养护，受益人口4万人，力争年底前完成验收和审计。投入2021年省级安全饮水专项资金100万元用于建设勒乌乡场镇安全饮水巩固提升工程前期工作。三是组织乡镇完成2021年度项目验收工作。争取中央水利救灾资金613万元，用于全县抗旱减灾工作及基础设施建设。</w:t>
      </w:r>
    </w:p>
    <w:p>
      <w:pPr>
        <w:pStyle w:val="7"/>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防汛减灾全面完成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组织领导，全面建立责任体系。防汛办坚持以防为主，下好“先手棋”、打好“主动仗”。全面落实行政首长责任制和指挥部成员单位职责，根据县、乡（镇）、村级领导干部换届情况，及时调整组织机构，完善“三单一书”，按照清单制推进职能职责落地落实。</w:t>
      </w:r>
      <w:r>
        <w:rPr>
          <w:rFonts w:hint="eastAsia" w:eastAsia="仿宋_GB2312"/>
          <w:sz w:val="32"/>
          <w:szCs w:val="32"/>
        </w:rPr>
        <w:t>完善县级领导挂联乡（镇）督导机制，</w:t>
      </w:r>
      <w:r>
        <w:rPr>
          <w:rFonts w:hint="eastAsia" w:ascii="仿宋_GB2312" w:hAnsi="仿宋_GB2312" w:eastAsia="仿宋_GB2312" w:cs="仿宋_GB2312"/>
          <w:sz w:val="32"/>
          <w:szCs w:val="32"/>
        </w:rPr>
        <w:t>落实23名挂</w:t>
      </w:r>
      <w:r>
        <w:rPr>
          <w:rFonts w:hint="eastAsia" w:ascii="仿宋_GB2312" w:hAnsi="仿宋_GB2312" w:eastAsia="仿宋_GB2312" w:cs="仿宋_GB2312"/>
          <w:color w:val="000000"/>
          <w:sz w:val="32"/>
          <w:szCs w:val="32"/>
        </w:rPr>
        <w:t>联乡镇防汛县级领导。制定了全县防灾减灾调研任务分解表，</w:t>
      </w:r>
      <w:r>
        <w:rPr>
          <w:rFonts w:hint="eastAsia" w:eastAsia="仿宋_GB2312"/>
          <w:color w:val="000000"/>
          <w:sz w:val="32"/>
          <w:szCs w:val="32"/>
        </w:rPr>
        <w:t>按照防汛应急响应规则，及时组织专业技术力量指导各地防汛抢险</w:t>
      </w:r>
      <w:r>
        <w:rPr>
          <w:rFonts w:hint="eastAsia" w:ascii="仿宋_GB2312" w:eastAsia="仿宋_GB2312"/>
          <w:b/>
          <w:bCs/>
          <w:sz w:val="32"/>
          <w:szCs w:val="32"/>
        </w:rPr>
        <w:t>。</w:t>
      </w:r>
      <w:r>
        <w:rPr>
          <w:rFonts w:hint="eastAsia" w:ascii="仿宋_GB2312" w:hAnsi="仿宋_GB2312" w:eastAsia="仿宋_GB2312" w:cs="仿宋_GB2312"/>
          <w:color w:val="000000"/>
          <w:sz w:val="32"/>
          <w:szCs w:val="32"/>
        </w:rPr>
        <w:t>压紧压实属地管理职责，</w:t>
      </w:r>
      <w:r>
        <w:rPr>
          <w:rFonts w:hint="eastAsia" w:eastAsia="仿宋_GB2312"/>
          <w:color w:val="000000"/>
          <w:sz w:val="32"/>
          <w:szCs w:val="32"/>
        </w:rPr>
        <w:t>全县各危险区域实行网格化分片包干管理职责，</w:t>
      </w:r>
      <w:r>
        <w:rPr>
          <w:rFonts w:hint="eastAsia" w:ascii="仿宋_GB2312" w:hAnsi="仿宋_GB2312" w:eastAsia="仿宋_GB2312" w:cs="仿宋_GB2312"/>
          <w:color w:val="000000"/>
          <w:sz w:val="32"/>
          <w:szCs w:val="32"/>
        </w:rPr>
        <w:t>建立防灾减灾网格262个，落实网格员262</w:t>
      </w:r>
      <w:r>
        <w:rPr>
          <w:rFonts w:hint="eastAsia" w:eastAsia="仿宋_GB2312"/>
          <w:color w:val="000000"/>
          <w:sz w:val="32"/>
          <w:szCs w:val="32"/>
        </w:rPr>
        <w:t>人；</w:t>
      </w:r>
      <w:r>
        <w:rPr>
          <w:rFonts w:hint="eastAsia" w:ascii="仿宋_GB2312" w:hAnsi="仿宋_GB2312" w:eastAsia="仿宋_GB2312" w:cs="仿宋_GB2312"/>
          <w:color w:val="000000"/>
          <w:sz w:val="32"/>
          <w:szCs w:val="32"/>
        </w:rPr>
        <w:t>落实178名监测防范责任人，实行“一对一”包保到户到人，形成“县、乡镇、村</w:t>
      </w:r>
      <w:r>
        <w:rPr>
          <w:rFonts w:hint="eastAsia" w:eastAsia="仿宋_GB2312"/>
          <w:sz w:val="32"/>
          <w:szCs w:val="32"/>
        </w:rPr>
        <w:t>（社区）、组、点”五级群策群防体系。三是牢固树立防汛减灾“一盘棋”思想，形成统一指挥的调度机制，形成部门联动和区域协作的整体合力，实现共享、共防、共抗、共建，形成抗灾合力。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bCs/>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加强汛前准备，全面落实度汛措施。</w:t>
      </w:r>
      <w:r>
        <w:rPr>
          <w:rFonts w:hint="eastAsia" w:ascii="仿宋_GB2312" w:hAnsi="仿宋_GB2312" w:eastAsia="仿宋_GB2312" w:cs="仿宋_GB2312"/>
          <w:b/>
          <w:sz w:val="32"/>
          <w:szCs w:val="32"/>
        </w:rPr>
        <w:t>一是及时制定预案，形成防汛作战图。</w:t>
      </w:r>
      <w:r>
        <w:rPr>
          <w:rFonts w:hint="eastAsia" w:ascii="仿宋_GB2312" w:eastAsia="仿宋_GB2312"/>
          <w:sz w:val="32"/>
          <w:szCs w:val="32"/>
        </w:rPr>
        <w:t>及时修订调整完善《峨边彝族自治县防汛预案》、《水库度汛方案》、《峨边彝族自治县山洪灾害防御预案》、《堤防位置布置图》、《水电站分布图》《山洪灾害危险区分布示意图》、《山洪灾害乡镇级防御预案》和村级山洪危险区防御预案等各类防汛预案，落实了各类在建工程度汛方案。</w:t>
      </w:r>
      <w:r>
        <w:rPr>
          <w:rFonts w:hint="eastAsia" w:ascii="仿宋_GB2312" w:hAnsi="仿宋_GB2312" w:eastAsia="仿宋_GB2312" w:cs="仿宋_GB2312"/>
          <w:sz w:val="32"/>
          <w:szCs w:val="32"/>
        </w:rPr>
        <w:t>对照“7.12”平武事件，我县高度重视，针对联动机制建设情况</w:t>
      </w:r>
      <w:r>
        <w:rPr>
          <w:rFonts w:hint="eastAsia" w:ascii="仿宋_GB2312" w:hAnsi="仿宋_GB2312" w:eastAsia="仿宋_GB2312" w:cs="仿宋_GB2312"/>
          <w:color w:val="000000"/>
          <w:sz w:val="32"/>
          <w:szCs w:val="32"/>
        </w:rPr>
        <w:t>开展查漏补缺，编制了《峨边彝族自治县关于开展山洪灾害防御能力再提升工作方案》，逐一对照分解任务、明确责任。目前我县已排查出75处存在风险的干沟、暗河，62处野外戏水点，15处需要调整避险路线、安置点位的山洪灾害危险区。对群众活动、生产生活区域防洪能力进行评估；组织专业力量，对全县 178处山洪灾害危险区开展调查评价和动态复核，按照风险程度进行分级管理，目前全县共划分极高风险区2处、高级风险区91处、中风险区44处、低风险区</w:t>
      </w:r>
      <w:r>
        <w:rPr>
          <w:rFonts w:hint="eastAsia" w:ascii="仿宋_GB2312" w:hAnsi="仿宋_GB2312" w:eastAsia="仿宋_GB2312" w:cs="仿宋_GB2312"/>
          <w:bCs/>
          <w:sz w:val="32"/>
          <w:szCs w:val="32"/>
        </w:rPr>
        <w:t>31处，对调查评价和建议核减的山洪灾害危险区开展复核，按照复核结</w:t>
      </w:r>
      <w:r>
        <w:rPr>
          <w:rFonts w:hint="eastAsia" w:ascii="仿宋_GB2312" w:hAnsi="仿宋_GB2312" w:eastAsia="仿宋_GB2312" w:cs="仿宋_GB2312"/>
          <w:color w:val="000000"/>
          <w:sz w:val="32"/>
          <w:szCs w:val="32"/>
        </w:rPr>
        <w:t>果，共10 处山洪灾害危险区拟核减:其中 0 户 0 人10 处。对排查出的75处干沟、暗河以及62处野外戏水点均参照危险区落实巡查监测责任人、转移安置责任人、定点劝导员。</w:t>
      </w:r>
      <w:r>
        <w:rPr>
          <w:rFonts w:hint="eastAsia" w:ascii="仿宋_GB2312" w:hAnsi="仿宋_GB2312" w:eastAsia="仿宋_GB2312" w:cs="仿宋_GB2312"/>
          <w:b/>
          <w:sz w:val="32"/>
          <w:szCs w:val="32"/>
        </w:rPr>
        <w:t>二是组建抢险队伍，充实备汛物资。</w:t>
      </w:r>
      <w:r>
        <w:rPr>
          <w:rFonts w:hint="eastAsia" w:ascii="仿宋_GB2312" w:hAnsi="仿宋_GB2312" w:eastAsia="仿宋_GB2312" w:cs="仿宋_GB2312"/>
          <w:color w:val="000000"/>
          <w:sz w:val="32"/>
          <w:szCs w:val="32"/>
        </w:rPr>
        <w:t>组建我县消防、基干民兵应急抢险队伍127人，各乡镇应急抢险队伍</w:t>
      </w:r>
      <w:r>
        <w:rPr>
          <w:rFonts w:hint="eastAsia" w:ascii="仿宋_GB2312" w:hAnsi="仿宋_GB2312" w:eastAsia="仿宋_GB2312" w:cs="仿宋_GB2312"/>
          <w:color w:val="000000"/>
          <w:kern w:val="0"/>
          <w:sz w:val="32"/>
          <w:szCs w:val="32"/>
        </w:rPr>
        <w:t>13支260人，各村（社区）应急抢险队伍99支990人，</w:t>
      </w:r>
      <w:r>
        <w:rPr>
          <w:rFonts w:hint="eastAsia" w:ascii="仿宋_GB2312" w:hAnsi="仿宋_GB2312" w:eastAsia="仿宋_GB2312" w:cs="仿宋_GB2312"/>
          <w:color w:val="000000"/>
          <w:sz w:val="32"/>
          <w:szCs w:val="32"/>
        </w:rPr>
        <w:t>应急抢险、医疗保障等救援队伍7支（通信3支电信、移动、联通，电力3支大电、东森、西电，医疗1支急救中心），形成强大工作合力。</w:t>
      </w:r>
      <w:r>
        <w:rPr>
          <w:rFonts w:hint="eastAsia" w:ascii="仿宋_GB2312" w:hAnsi="仿宋_GB2312" w:eastAsia="仿宋_GB2312" w:cs="仿宋_GB2312"/>
          <w:b/>
          <w:sz w:val="32"/>
          <w:szCs w:val="32"/>
        </w:rPr>
        <w:t>三是全面排查隐患，以清单制销号。</w:t>
      </w:r>
      <w:r>
        <w:rPr>
          <w:rFonts w:hint="eastAsia" w:ascii="仿宋_GB2312" w:hAnsi="仿宋_GB2312" w:eastAsia="仿宋_GB2312" w:cs="仿宋_GB2312"/>
          <w:color w:val="000000"/>
          <w:kern w:val="0"/>
          <w:sz w:val="32"/>
          <w:szCs w:val="32"/>
        </w:rPr>
        <w:t>我办将隐患排查贯穿汛期始终，</w:t>
      </w:r>
      <w:r>
        <w:rPr>
          <w:rStyle w:val="26"/>
          <w:rFonts w:hint="eastAsia" w:ascii="仿宋_GB2312" w:hAnsi="仿宋_GB2312" w:eastAsia="仿宋_GB2312" w:cs="仿宋_GB2312"/>
          <w:color w:val="000000"/>
          <w:sz w:val="32"/>
          <w:szCs w:val="32"/>
        </w:rPr>
        <w:t>坚持横向到边、纵向到底，全覆盖开展“拉网式”“地毯式”排查。</w:t>
      </w:r>
      <w:r>
        <w:rPr>
          <w:rFonts w:hint="eastAsia" w:ascii="仿宋_GB2312" w:hAnsi="仿宋_GB2312" w:eastAsia="仿宋_GB2312" w:cs="仿宋_GB2312"/>
          <w:color w:val="000000"/>
          <w:kern w:val="0"/>
          <w:sz w:val="32"/>
          <w:szCs w:val="32"/>
        </w:rPr>
        <w:t>按照“全面拉网、不留死角”的原则，以“清单制+责任制+销号制”全覆盖隐患排查整治，</w:t>
      </w:r>
      <w:r>
        <w:rPr>
          <w:rFonts w:hint="eastAsia" w:ascii="仿宋_GB2312" w:hAnsi="仿宋_GB2312" w:eastAsia="仿宋_GB2312" w:cs="仿宋_GB2312"/>
          <w:sz w:val="32"/>
          <w:szCs w:val="32"/>
        </w:rPr>
        <w:t>累计排查风险隐患55处，已全部完成整改。</w:t>
      </w:r>
      <w:r>
        <w:rPr>
          <w:rFonts w:hint="eastAsia" w:ascii="仿宋_GB2312" w:hAnsi="仿宋_GB2312" w:eastAsia="仿宋_GB2312" w:cs="仿宋_GB2312"/>
          <w:b/>
          <w:bCs/>
          <w:sz w:val="32"/>
          <w:szCs w:val="32"/>
        </w:rPr>
        <w:t>四是按时间节点推进工程建设。</w:t>
      </w:r>
      <w:r>
        <w:rPr>
          <w:rFonts w:hint="eastAsia" w:ascii="仿宋_GB2312" w:hAnsi="仿宋_GB2312" w:eastAsia="仿宋_GB2312" w:cs="仿宋_GB2312"/>
          <w:color w:val="000000"/>
          <w:kern w:val="0"/>
          <w:sz w:val="32"/>
          <w:szCs w:val="32"/>
        </w:rPr>
        <w:t>峨边彝族自治县重点山洪沟黑龙溪防洪治理工程项目总投资1300万元，该项目于2021年11月1日开工，2022年3月30日主体工程全部完工，2022年4月29日进行了项目工程完工验收并顺利通过了一轮洪期。峨边彝族自治县山洪灾害非工程措施项目总投资188万元，该项目于2021年11月1日开工，2022年3月20日主体工程全部完工，2022年6月24日进行了项目工程完工验收并有效为本轮防汛度汛工作提供了技术支撑。大渡河峨边段的民族小学、马嘶溪堤防建设项目累计规划投资7400余万元，于2021年10月10日开工，2022年6月30日主体工程部分全部完工，并顺利经过了主汛期的考验。</w:t>
      </w:r>
      <w:r>
        <w:rPr>
          <w:rFonts w:hint="eastAsia" w:ascii="仿宋_GB2312" w:hAnsi="仿宋_GB2312" w:eastAsia="仿宋_GB2312" w:cs="仿宋_GB2312"/>
          <w:b/>
          <w:sz w:val="32"/>
          <w:szCs w:val="32"/>
        </w:rPr>
        <w:t>五是转移执行更加坚决有力。</w:t>
      </w:r>
      <w:r>
        <w:rPr>
          <w:rFonts w:hint="eastAsia" w:ascii="仿宋_GB2312" w:hAnsi="仿宋_GB2312" w:eastAsia="仿宋_GB2312" w:cs="仿宋_GB2312"/>
          <w:bCs/>
          <w:sz w:val="32"/>
          <w:szCs w:val="32"/>
        </w:rPr>
        <w:t>刚性落实“三个避让”和“三个紧急撤离”要求，不惜代价、不计成本、不讲条件开展避险转移，强化提前转移，落实“包保责任”，做到不漏一户、不漏一人，做好已转移人员安全管理，全力避免人员伤亡。截止目前已开展避险15次25处，累计转移群众132户326人。</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9"/>
        <w:rPr>
          <w:rFonts w:ascii="楷体" w:hAnsi="楷体" w:eastAsia="楷体" w:cs="楷体"/>
          <w:sz w:val="32"/>
          <w:szCs w:val="32"/>
        </w:rPr>
      </w:pPr>
      <w:r>
        <w:rPr>
          <w:rFonts w:hint="eastAsia" w:ascii="楷体" w:hAnsi="楷体" w:eastAsia="楷体" w:cs="楷体"/>
          <w:sz w:val="32"/>
          <w:szCs w:val="32"/>
          <w:lang w:val="en-US" w:eastAsia="zh-CN"/>
        </w:rPr>
        <w:t>4.</w:t>
      </w:r>
      <w:r>
        <w:rPr>
          <w:rFonts w:hint="eastAsia" w:ascii="楷体" w:hAnsi="楷体" w:eastAsia="楷体" w:cs="楷体"/>
          <w:sz w:val="32"/>
          <w:szCs w:val="32"/>
        </w:rPr>
        <w:t>移民后扶全面提升</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移民美丽家园建设开展情况。</w:t>
      </w:r>
      <w:r>
        <w:rPr>
          <w:rFonts w:hint="eastAsia" w:ascii="仿宋_GB2312" w:hAnsi="仿宋_GB2312" w:eastAsia="仿宋_GB2312" w:cs="仿宋_GB2312"/>
          <w:sz w:val="32"/>
          <w:szCs w:val="32"/>
        </w:rPr>
        <w:t>实施美丽家园建设项目7个，投入资金1197万元。其中，新建大堡桥楼村级活动室400平方，建设新华村村牌1个、房屋风貌改造86户，道路黑化1000米，太阳能路灯安装480盏，工农村党群服务中心410平方米房屋装修、新建村级文化活动方场600平方米，新建公共厕所1个，移民健身步道1.2公里，新建停车位58个，绿化700平方米。</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基础设施及旅游开发。</w:t>
      </w:r>
      <w:r>
        <w:rPr>
          <w:rFonts w:hint="eastAsia" w:ascii="仿宋_GB2312" w:hAnsi="仿宋_GB2312" w:eastAsia="仿宋_GB2312" w:cs="仿宋_GB2312"/>
          <w:sz w:val="32"/>
          <w:szCs w:val="32"/>
        </w:rPr>
        <w:t>实施旅游开发项目8个，投入资金750万元。治理排水沟0.610千米，堤防加固1处；村级公路提升加宽改造硬化3.25千米；安装护栏12.2千米；饮水管网升级改造25千米；新建人行便桥1座。</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产业发展建设情况。</w:t>
      </w:r>
      <w:r>
        <w:rPr>
          <w:rFonts w:hint="eastAsia" w:ascii="仿宋_GB2312" w:hAnsi="仿宋_GB2312" w:eastAsia="仿宋_GB2312" w:cs="仿宋_GB2312"/>
          <w:sz w:val="32"/>
          <w:szCs w:val="32"/>
        </w:rPr>
        <w:t>实施产业发展项目5个，投入资金474.4189万元。其中：建设产业道路6.2千米，1000亩蔬菜基地田间作业道、灌溉设施建设，修复灌溉堰渠1.0549千米，发展种植小麦200亩，新建产业路8.3千米。</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避险解困实施情况。</w:t>
      </w:r>
      <w:r>
        <w:rPr>
          <w:rFonts w:hint="eastAsia" w:ascii="仿宋_GB2312" w:hAnsi="仿宋_GB2312" w:eastAsia="仿宋_GB2312" w:cs="仿宋_GB2312"/>
          <w:sz w:val="32"/>
          <w:szCs w:val="32"/>
        </w:rPr>
        <w:t>经国家三部委批复，我县移民避险解困试点规划帮扶752户2495人，2018年01月，报经省扶贫和移民工作局、省财政厅同意后核减449人，确认帮扶583户2046人，实际完成搬迁安置604户2074人，完成投资8296万元。大渡河库区沿线建成五渡镇胡坝村、田村、工农村和毛坪镇建华村等4个移民新村，有效解决了库区移民住房安全问题。</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政策实施管理及责任落实情况。</w:t>
      </w:r>
      <w:r>
        <w:rPr>
          <w:rFonts w:hint="eastAsia" w:ascii="仿宋_GB2312" w:hAnsi="仿宋_GB2312" w:eastAsia="仿宋_GB2312" w:cs="仿宋_GB2312"/>
          <w:sz w:val="32"/>
          <w:szCs w:val="32"/>
        </w:rPr>
        <w:t xml:space="preserve">按照省市下达的后扶项目管理制度和财务管理制度，严格项目实施程序，实行专款专用，确保资金使用准确高效。    </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是严格落实动态管理。及时动态调整死亡、考录等对象。截止2022年11月恢复0人，核减80人（其中死亡68人，公务员事业12人）。及时兑付直发直补截止11月拨付资金634.333461万元，追回9人错发直发直补资金10050元。</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是规范管理项目资金。坚持资金跟着项目走，项目跟着计划走，计划跟着规划走，严格实行专款专用。根据省上资金文件下达指标数和资金管理要求，严格按照组织乡镇项目摸排、县级审核、编制方案、报审批复、报批备案的程序，制发《2022年度大中型水库移民后期扶持项目计划实施方案的通知》（峨边府办函〔2022〕5号）累计规划资金2421.4189万元，包括基本口粮及农田水利、生产开发、人居环境改善、基础设施和其他5个小类项目。严格落实移民项目公示制度，抓好移民各项政策制度和项目的公开，保障移民权益。     </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是及时化解移民信访矛盾。坚持“以移民为本”的原则，主动为移民服务，将移民问题和矛盾化解在基层。2022年接待各类来访群众138人次，未出现移民到市、省和中央上访情况。库区和移民安置区社会稳定态势总体向好。</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9"/>
        <w:rPr>
          <w:rFonts w:ascii="楷体" w:hAnsi="楷体" w:eastAsia="楷体" w:cs="楷体"/>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河道管理全面深入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eastAsia="仿宋_GB2312" w:cs="Times New Roman"/>
          <w:sz w:val="32"/>
          <w:szCs w:val="32"/>
        </w:rPr>
      </w:pPr>
      <w:r>
        <w:rPr>
          <w:rFonts w:hint="eastAsia" w:ascii="仿宋_GB2312" w:eastAsia="仿宋_GB2312" w:cs="Times New Roman"/>
          <w:sz w:val="32"/>
          <w:szCs w:val="32"/>
        </w:rPr>
        <w:t>组织召开全县河道秩序集中整治工作会议22余次，会同各部门、乡镇联合开展巡河执法27余次，向沿岸群众发放《中华人民共和国长江保护法》300余份，制作宣传警示标语15份。各部门联动性与信息共享得到显著提高，全县境内河道管理范围内的“四乱现象”得到有效遏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严格落实河湖长制党政领导责</w:t>
      </w:r>
      <w:r>
        <w:rPr>
          <w:rFonts w:hint="eastAsia" w:ascii="仿宋_GB2312" w:eastAsia="仿宋_GB2312" w:cs="Times New Roman"/>
          <w:sz w:val="32"/>
          <w:szCs w:val="32"/>
        </w:rPr>
        <w:t>任机制，全县落实了28名县级河长（其中大渡河、官料河、白沙河、杨河等4条县内主要</w:t>
      </w:r>
      <w:r>
        <w:rPr>
          <w:rFonts w:hint="eastAsia" w:ascii="仿宋_GB2312" w:eastAsia="仿宋_GB2312"/>
          <w:color w:val="000000"/>
          <w:sz w:val="32"/>
          <w:szCs w:val="32"/>
        </w:rPr>
        <w:t>河流实行双河长制），56名乡镇级河长，90名村级河长。截至目前，县级河长巡河319次，乡镇级河长巡河2050次，村级河长巡河7920次，交办督办河湖“四乱”问题174个，完成问题整改174个。</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印发《2022年峨边彝族自治县全面强化河湖长制工作要点》，确保河湖管护工作问题明确、目标细化、任务具体、责任到位。拟定工作清单，明确沿线乡镇、县级部门目标、问题、措施、责任，确保河湖长制工作落细落实。完成白沙河、白杨河河湖健康评价工作，为白沙河、白沙河河湖管护提供依据。与沙湾区、峨眉山市开展大渡河联合巡查，大渡河上下游、 左右岸联防联控机制有效运行。开展河湖长制工作“查弱项、补短板”、江河湖清漂等专项行动，全面提升河湖管护水平。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积极开展湖长制“七进”活动。以宣传《四川省河湖长制条例》为主线，结合河湖长制“七进”宣传活动，依托“世界水日、中国水周”“世界环境日”等节点开展宣传活动，累计开展各种形式的宣传40余次，发放资料3500余份，为全民参与河湖长制，提升河湖管护营造良好社会氛围。积极参加四川省“寻找最美家乡河湖”等活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楷体" w:hAnsi="楷体" w:eastAsia="楷体" w:cs="楷体"/>
          <w:sz w:val="32"/>
          <w:szCs w:val="32"/>
          <w:lang w:val="en-US" w:eastAsia="zh-CN"/>
        </w:rPr>
        <w:t>6.</w:t>
      </w:r>
      <w:r>
        <w:rPr>
          <w:rFonts w:hint="eastAsia" w:ascii="楷体" w:hAnsi="楷体" w:eastAsia="楷体" w:cs="楷体"/>
          <w:sz w:val="32"/>
          <w:szCs w:val="32"/>
        </w:rPr>
        <w:t>执法监管全面加强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积极推进依法治水管水，坚持执法监管与服务指导并行，坚决杜绝“一罚了之”的现象，确保查处的各类水事违法行为及时有效整改。针对部分违法人员不了解政策、不懂法的情况，耐心细致做好法规解释和政策宣传，做到“罚”与“教”并行，调动违法人员自觉整改的积极性。今年以来，在局领导的带领下，执法大队会同相关股室开展日常巡查1</w:t>
      </w:r>
      <w:r>
        <w:rPr>
          <w:rFonts w:hint="eastAsia" w:ascii="仿宋_GB2312" w:hAnsi="仿宋_GB2312" w:cs="仿宋_GB2312"/>
          <w:color w:val="000000"/>
          <w:kern w:val="0"/>
          <w:sz w:val="32"/>
          <w:szCs w:val="32"/>
          <w:shd w:val="clear" w:color="auto" w:fill="FFFFFF"/>
          <w:lang w:bidi="ar"/>
        </w:rPr>
        <w:t>2</w:t>
      </w:r>
      <w:r>
        <w:rPr>
          <w:rFonts w:hint="eastAsia" w:ascii="仿宋_GB2312" w:hAnsi="仿宋_GB2312" w:eastAsia="仿宋_GB2312" w:cs="仿宋_GB2312"/>
          <w:color w:val="000000"/>
          <w:kern w:val="0"/>
          <w:sz w:val="32"/>
          <w:szCs w:val="32"/>
          <w:shd w:val="clear" w:color="auto" w:fill="FFFFFF"/>
          <w:lang w:bidi="ar"/>
        </w:rPr>
        <w:t>6次，夜间巡查、蹲点排查</w:t>
      </w:r>
      <w:r>
        <w:rPr>
          <w:rFonts w:hint="eastAsia" w:ascii="仿宋_GB2312" w:hAnsi="仿宋_GB2312" w:cs="仿宋_GB2312"/>
          <w:color w:val="000000"/>
          <w:kern w:val="0"/>
          <w:sz w:val="32"/>
          <w:szCs w:val="32"/>
          <w:shd w:val="clear" w:color="auto" w:fill="FFFFFF"/>
          <w:lang w:bidi="ar"/>
        </w:rPr>
        <w:t>62</w:t>
      </w:r>
      <w:r>
        <w:rPr>
          <w:rFonts w:hint="eastAsia" w:ascii="仿宋_GB2312" w:hAnsi="仿宋_GB2312" w:eastAsia="仿宋_GB2312" w:cs="仿宋_GB2312"/>
          <w:color w:val="000000"/>
          <w:kern w:val="0"/>
          <w:sz w:val="32"/>
          <w:szCs w:val="32"/>
          <w:shd w:val="clear" w:color="auto" w:fill="FFFFFF"/>
          <w:lang w:bidi="ar"/>
        </w:rPr>
        <w:t>次，出动执法巡查人员2</w:t>
      </w:r>
      <w:r>
        <w:rPr>
          <w:rFonts w:hint="eastAsia" w:ascii="仿宋_GB2312" w:hAnsi="仿宋_GB2312" w:cs="仿宋_GB2312"/>
          <w:color w:val="000000"/>
          <w:kern w:val="0"/>
          <w:sz w:val="32"/>
          <w:szCs w:val="32"/>
          <w:shd w:val="clear" w:color="auto" w:fill="FFFFFF"/>
          <w:lang w:bidi="ar"/>
        </w:rPr>
        <w:t>62</w:t>
      </w:r>
      <w:r>
        <w:rPr>
          <w:rFonts w:hint="eastAsia" w:ascii="仿宋_GB2312" w:hAnsi="仿宋_GB2312" w:eastAsia="仿宋_GB2312" w:cs="仿宋_GB2312"/>
          <w:color w:val="000000"/>
          <w:kern w:val="0"/>
          <w:sz w:val="32"/>
          <w:szCs w:val="32"/>
          <w:shd w:val="clear" w:color="auto" w:fill="FFFFFF"/>
          <w:lang w:bidi="ar"/>
        </w:rPr>
        <w:t>人次。</w:t>
      </w:r>
      <w:r>
        <w:rPr>
          <w:rFonts w:hint="eastAsia" w:ascii="仿宋_GB2312" w:eastAsia="仿宋_GB2312"/>
          <w:sz w:val="32"/>
          <w:szCs w:val="32"/>
        </w:rPr>
        <w:t>开展2次砂石上岸量核查，核实采砂船只上岸153艘次；持续开展砂石源头企业双超治理，全年累计抽查河道采砂企业监控视频巡查13次。配合港航中心联合开展采运砂船只清理整顿5次，清查大渡河水域船只69艘，责令整改证照审批手续不全的2艘，扣留“三无”船舶6艘；开展河道砂石采运扬尘污染防治检查3次，并通报并落实打围、道路清扫、砂石全覆盖等问题整改4个</w:t>
      </w:r>
      <w:r>
        <w:rPr>
          <w:rFonts w:hint="eastAsia" w:ascii="仿宋_GB2312"/>
          <w:sz w:val="32"/>
          <w:szCs w:val="32"/>
        </w:rPr>
        <w:t>。</w:t>
      </w:r>
      <w:r>
        <w:rPr>
          <w:rFonts w:hint="eastAsia" w:ascii="仿宋_GB2312" w:hAnsi="仿宋_GB2312" w:eastAsia="仿宋_GB2312" w:cs="仿宋_GB2312"/>
          <w:color w:val="000000"/>
          <w:kern w:val="0"/>
          <w:sz w:val="32"/>
          <w:szCs w:val="32"/>
          <w:shd w:val="clear" w:color="auto" w:fill="FFFFFF"/>
          <w:lang w:bidi="ar"/>
        </w:rPr>
        <w:t>依法查处各类违法案件17件，其中：非法采砂7件、下泄生态流量不达标1件、违规弃土弃渣1件、违规取水3件、破坏河势稳定2件、侵占河道3件，已经办结4个，完成罚金缴纳13.02万元，其余正在办理过程中，通过严厉打击了各类水事违法行为，震慑了不法分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2022年以来，县水务局承担了马嘶溪上段堤防洪工程、民族小学堤防工程、黑龙溪山洪沟治理工程等3个续建项目的工程质量监督，质量监督覆盖率达100%。工程开工后，县水务局加大现场检查力度，以法律、法规和强制性标准为依据，以建设工程实物质量和与此相关的工程建设各方主体的质量行为为主要内容，切实做好工程建设过程中质量巡查工作，提高现场检查的频率，累计开展现场巡察</w:t>
      </w:r>
      <w:r>
        <w:rPr>
          <w:rFonts w:hint="eastAsia" w:ascii="仿宋_GB2312" w:hAnsi="仿宋_GB2312" w:cs="仿宋_GB2312"/>
          <w:color w:val="000000"/>
          <w:kern w:val="0"/>
          <w:sz w:val="32"/>
          <w:szCs w:val="32"/>
          <w:shd w:val="clear" w:color="auto" w:fill="FFFFFF"/>
          <w:lang w:bidi="ar"/>
        </w:rPr>
        <w:t>2</w:t>
      </w:r>
      <w:r>
        <w:rPr>
          <w:rFonts w:hint="eastAsia" w:ascii="仿宋_GB2312" w:hAnsi="仿宋_GB2312" w:eastAsia="仿宋_GB2312" w:cs="仿宋_GB2312"/>
          <w:color w:val="000000"/>
          <w:kern w:val="0"/>
          <w:sz w:val="32"/>
          <w:szCs w:val="32"/>
          <w:shd w:val="clear" w:color="auto" w:fill="FFFFFF"/>
          <w:lang w:bidi="ar"/>
        </w:rPr>
        <w:t>0次，发现整改问题5个。督促受监督项目严格执行有关水利工程质量的技术规范、规程和标准，认真落实水利工程质量管理制度，做到以查促改，确保水利工程质量安全达标。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 w:hAnsi="楷体" w:eastAsia="楷体" w:cs="楷体"/>
          <w:sz w:val="32"/>
          <w:szCs w:val="32"/>
        </w:rPr>
      </w:pPr>
      <w:r>
        <w:rPr>
          <w:rFonts w:hint="eastAsia" w:ascii="楷体" w:hAnsi="楷体" w:eastAsia="楷体" w:cs="楷体"/>
          <w:sz w:val="32"/>
          <w:szCs w:val="32"/>
          <w:lang w:val="en-US" w:eastAsia="zh-CN"/>
        </w:rPr>
        <w:t>7.</w:t>
      </w:r>
      <w:r>
        <w:rPr>
          <w:rFonts w:hint="eastAsia" w:ascii="楷体" w:hAnsi="楷体" w:eastAsia="楷体" w:cs="楷体"/>
          <w:sz w:val="32"/>
          <w:szCs w:val="32"/>
        </w:rPr>
        <w:t>安全工作全面抓稳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严格执行市水务局、县委县政府关于安全生产各项安排部署，始终将安全生产放在首位，</w:t>
      </w:r>
      <w:r>
        <w:rPr>
          <w:rFonts w:ascii="仿宋_GB2312" w:hAnsi="仿宋_GB2312" w:eastAsia="仿宋_GB2312" w:cs="仿宋_GB2312"/>
          <w:color w:val="000000"/>
          <w:kern w:val="0"/>
          <w:sz w:val="32"/>
          <w:szCs w:val="32"/>
          <w:shd w:val="clear" w:color="auto" w:fill="FFFFFF"/>
          <w:lang w:bidi="ar"/>
        </w:rPr>
        <w:t>全面践行落实“一线工作法”， 勤检查、强监管、防风险、促规范。</w:t>
      </w:r>
      <w:r>
        <w:rPr>
          <w:rFonts w:hint="eastAsia" w:ascii="仿宋_GB2312" w:hAnsi="仿宋_GB2312" w:eastAsia="仿宋_GB2312" w:cs="仿宋_GB2312"/>
          <w:color w:val="000000"/>
          <w:kern w:val="0"/>
          <w:sz w:val="32"/>
          <w:szCs w:val="32"/>
          <w:shd w:val="clear" w:color="auto" w:fill="FFFFFF"/>
          <w:lang w:bidi="ar"/>
        </w:rPr>
        <w:t>加强与各业务股室的联系和沟通，主动了解掌握各类在建水利工程、已成水利设施、河道采砂安全生产情况，做到工作有计划、监管有措施、定期有总结、检查全覆盖。今年已来，联合各业务股室对全县在建、已建成水利工程、砂石生产企业进行了20次现场检查，出动检查人员60人次，发现问题隐患30个，已完成整改30个，整改率100%，全力确保及时消除安全隐患，极大促进了水利生产企业安全生产规范管理，全县水利行业安全生产形势持续稳定向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楷体" w:hAnsi="楷体" w:eastAsia="楷体" w:cs="楷体"/>
          <w:sz w:val="32"/>
          <w:szCs w:val="32"/>
          <w:lang w:val="en-US" w:eastAsia="zh-CN"/>
        </w:rPr>
        <w:t>8.</w:t>
      </w:r>
      <w:r>
        <w:rPr>
          <w:rFonts w:hint="eastAsia" w:ascii="楷体" w:hAnsi="楷体" w:eastAsia="楷体" w:cs="楷体"/>
          <w:sz w:val="32"/>
          <w:szCs w:val="32"/>
        </w:rPr>
        <w:t>资源监管全面织牢</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加大水资源管理、节水、护水、保护水资源的宣传力度。</w:t>
      </w:r>
      <w:r>
        <w:rPr>
          <w:rFonts w:hint="eastAsia" w:ascii="仿宋_GB2312" w:hAnsi="仿宋_GB2312" w:eastAsia="仿宋_GB2312" w:cs="仿宋_GB2312"/>
          <w:sz w:val="32"/>
          <w:szCs w:val="32"/>
        </w:rPr>
        <w:t>2022年3月22日是第二十八届“世界水日”，3月22-28日是第三十三届“中国水周”。为贯彻党的十九大精神，落实党中央、国务院决策部署，我局开展以“</w:t>
      </w:r>
      <w:r>
        <w:rPr>
          <w:rFonts w:hint="eastAsia" w:ascii="仿宋_GB2312" w:hAnsi="宋体" w:eastAsia="仿宋_GB2312" w:cs="宋体"/>
          <w:color w:val="000000"/>
          <w:sz w:val="32"/>
          <w:szCs w:val="32"/>
        </w:rPr>
        <w:t>推进地下水超采综合治理，复苏河湖生态环境</w:t>
      </w:r>
      <w:r>
        <w:rPr>
          <w:rFonts w:hint="eastAsia" w:ascii="仿宋_GB2312" w:hAnsi="仿宋_GB2312" w:eastAsia="仿宋_GB2312" w:cs="仿宋_GB2312"/>
          <w:sz w:val="32"/>
          <w:szCs w:val="32"/>
        </w:rPr>
        <w:t>”为主题的宣传活动。</w:t>
      </w:r>
      <w:r>
        <w:rPr>
          <w:rFonts w:hint="eastAsia" w:ascii="仿宋_GB2312" w:hAnsi="宋体" w:eastAsia="仿宋_GB2312" w:cs="宋体"/>
          <w:color w:val="000000"/>
          <w:sz w:val="32"/>
          <w:szCs w:val="32"/>
        </w:rPr>
        <w:t>现场共制作展板3块、发放</w:t>
      </w:r>
      <w:r>
        <w:rPr>
          <w:rFonts w:eastAsia="仿宋_GB2312" w:cs="宋体"/>
          <w:color w:val="000000"/>
          <w:sz w:val="32"/>
          <w:szCs w:val="32"/>
        </w:rPr>
        <w:t>《</w:t>
      </w:r>
      <w:r>
        <w:rPr>
          <w:rFonts w:hint="eastAsia" w:eastAsia="仿宋_GB2312" w:cs="宋体"/>
          <w:color w:val="000000"/>
          <w:sz w:val="32"/>
          <w:szCs w:val="32"/>
        </w:rPr>
        <w:t>公民节水用水规范》、《节约用水知识手册》、《水土保持宣传手册》、《河长制宣传手册》等</w:t>
      </w:r>
      <w:r>
        <w:rPr>
          <w:rFonts w:hint="eastAsia" w:ascii="仿宋_GB2312" w:hAnsi="宋体" w:eastAsia="仿宋_GB2312" w:cs="宋体"/>
          <w:color w:val="000000"/>
          <w:sz w:val="32"/>
          <w:szCs w:val="32"/>
        </w:rPr>
        <w:t>宣传资料1500余份，其中宣传手册1000余份、手提袋300个，</w:t>
      </w:r>
      <w:r>
        <w:rPr>
          <w:rFonts w:hint="eastAsia" w:ascii="仿宋_GB2312" w:hAnsi="仿宋_GB2312" w:eastAsia="仿宋_GB2312" w:cs="仿宋_GB2312"/>
          <w:sz w:val="32"/>
          <w:szCs w:val="32"/>
        </w:rPr>
        <w:t>同时配以节水挂图及横幅标语，充分利用邮政LED、LCD视频播放机、互联网新媒体、户外宣传栏、宣传单、宣传手册、手提袋、海报等邮政媒体，多渠道、广覆盖发布节约用水知识，弘扬“节约水、保护水、爱护水”的社会风尚，让节水意识深入人心，让节水行为真正成为全社会的自觉行动，促使节水型社会建设深入开展，为依法治水管水营造更好的社会环境和宣传氛围。</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深化水资源管理考核。</w:t>
      </w:r>
      <w:r>
        <w:rPr>
          <w:rFonts w:hint="eastAsia" w:ascii="仿宋_GB2312" w:hAnsi="仿宋_GB2312" w:eastAsia="仿宋_GB2312" w:cs="仿宋_GB2312"/>
          <w:sz w:val="32"/>
          <w:szCs w:val="32"/>
        </w:rPr>
        <w:t>组织完成了我县2021年度最严格水资源管理制度考核自查报告编制和相关佐证材料汇总上报工作。</w:t>
      </w:r>
      <w:r>
        <w:rPr>
          <w:rFonts w:ascii="仿宋_GB2312" w:hAnsi="仿宋_GB2312" w:eastAsia="仿宋_GB2312" w:cs="仿宋_GB2312"/>
          <w:sz w:val="32"/>
          <w:szCs w:val="32"/>
        </w:rPr>
        <w:t>严守水资源开发利用控制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用水效率控制和水功能区限制纳污“三条红线”，进一步加强用水取水监督检查，完成最严格水资源管理年度任务，202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年用水总量预计为0.3亿立方米以下，未超年度用水约束性控制目标。</w:t>
      </w:r>
    </w:p>
    <w:p>
      <w:pPr>
        <w:keepNext w:val="0"/>
        <w:keepLines w:val="0"/>
        <w:pageBreakBefore w:val="0"/>
        <w:kinsoku/>
        <w:wordWrap/>
        <w:overflowPunct/>
        <w:topLinePunct w:val="0"/>
        <w:autoSpaceDE/>
        <w:autoSpaceDN/>
        <w:bidi w:val="0"/>
        <w:adjustRightInd/>
        <w:snapToGrid/>
        <w:spacing w:line="58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组织开展小水电清理分类整改工作。</w:t>
      </w:r>
      <w:r>
        <w:rPr>
          <w:rFonts w:hint="eastAsia" w:ascii="仿宋_GB2312" w:hAnsi="仿宋_GB2312" w:eastAsia="仿宋_GB2312" w:cs="仿宋_GB2312"/>
          <w:sz w:val="32"/>
          <w:szCs w:val="32"/>
        </w:rPr>
        <w:t>根据乐山市水务局等七部门关于《进一步做好小水电分类整改工作的通知》（乐水函〔2022〕128号），我县制定了《关于印发峨边彝族自治县小水电分类整改工作方案的通知》（峨水函〔2022〕20号）。</w:t>
      </w:r>
      <w:r>
        <w:rPr>
          <w:rFonts w:hint="eastAsia" w:ascii="仿宋_GB2312" w:hAnsi="仿宋_GB2312" w:eastAsia="仿宋_GB2312" w:cs="仿宋_GB2312"/>
          <w:sz w:val="32"/>
          <w:szCs w:val="32"/>
          <w:lang w:val="zh-TW"/>
        </w:rPr>
        <w:t>按照《工作方案》县级相关部门根据职责分工对</w:t>
      </w:r>
      <w:r>
        <w:rPr>
          <w:rFonts w:hint="eastAsia" w:ascii="仿宋_GB2312" w:hAnsi="仿宋_GB2312" w:eastAsia="仿宋_GB2312" w:cs="仿宋_GB2312"/>
          <w:sz w:val="32"/>
          <w:szCs w:val="32"/>
        </w:rPr>
        <w:t>全县101座小水电站</w:t>
      </w:r>
      <w:r>
        <w:rPr>
          <w:rFonts w:hint="eastAsia" w:ascii="仿宋_GB2312" w:hAnsi="仿宋_GB2312" w:eastAsia="仿宋_GB2312" w:cs="仿宋_GB2312"/>
          <w:sz w:val="32"/>
          <w:szCs w:val="32"/>
          <w:lang w:val="zh-TW"/>
        </w:rPr>
        <w:t>进行了评估分类并现场复核，形成了全县小水电分类整改评估台账</w:t>
      </w:r>
      <w:r>
        <w:rPr>
          <w:rFonts w:hint="eastAsia" w:ascii="仿宋_GB2312" w:hAnsi="仿宋_GB2312" w:eastAsia="仿宋_GB2312" w:cs="仿宋_GB2312"/>
          <w:sz w:val="32"/>
          <w:szCs w:val="32"/>
        </w:rPr>
        <w:t>。对所列整改类电站下发了整改清单，明确了整改内容、整改时限、整改责任单位。</w:t>
      </w:r>
    </w:p>
    <w:p>
      <w:pPr>
        <w:pStyle w:val="5"/>
        <w:keepNext w:val="0"/>
        <w:keepLines w:val="0"/>
        <w:pageBreakBefore w:val="0"/>
        <w:kinsoku/>
        <w:wordWrap/>
        <w:overflowPunct/>
        <w:topLinePunct w:val="0"/>
        <w:autoSpaceDE/>
        <w:autoSpaceDN/>
        <w:bidi w:val="0"/>
        <w:adjustRightInd/>
        <w:snapToGrid/>
        <w:spacing w:line="580" w:lineRule="exact"/>
        <w:ind w:firstLine="739" w:firstLineChars="230"/>
        <w:textAlignment w:val="auto"/>
        <w:outlineLvl w:val="9"/>
        <w:rPr>
          <w:rFonts w:ascii="仿宋_GB2312" w:hAnsi="仿宋_GB2312" w:cs="仿宋_GB2312"/>
          <w:sz w:val="32"/>
          <w:szCs w:val="32"/>
        </w:rPr>
      </w:pP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4</w:t>
      </w:r>
      <w:r>
        <w:rPr>
          <w:rFonts w:hint="eastAsia" w:ascii="仿宋_GB2312" w:hAnsi="仿宋_GB2312" w:cs="仿宋_GB2312"/>
          <w:b/>
          <w:bCs/>
          <w:sz w:val="32"/>
          <w:szCs w:val="32"/>
          <w:lang w:eastAsia="zh-CN"/>
        </w:rPr>
        <w:t>）</w:t>
      </w:r>
      <w:r>
        <w:rPr>
          <w:rFonts w:hint="eastAsia" w:ascii="仿宋_GB2312" w:hAnsi="仿宋_GB2312" w:cs="仿宋_GB2312"/>
          <w:b/>
          <w:bCs/>
          <w:sz w:val="32"/>
          <w:szCs w:val="32"/>
        </w:rPr>
        <w:t>强化生态流量下泄监管。</w:t>
      </w:r>
      <w:r>
        <w:rPr>
          <w:rFonts w:hint="eastAsia" w:ascii="仿宋_GB2312" w:hAnsi="仿宋_GB2312" w:cs="仿宋_GB2312"/>
          <w:sz w:val="32"/>
          <w:szCs w:val="32"/>
        </w:rPr>
        <w:t>组织开展水电站生态流量现场专项监督检查2次，不定期现场复核检查4次，共检查80座电站，每日对接入平台的水电站进行日常抽查，要求每个电站做好下泄生态流量设施运行维护，保证设施设备正常运行。安排专人负责抽查水电站监控平台运行情况，对不正常运行的及时通知电站业主及时整改，保证生态流量达标下泄。</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持续加强取水监管。</w:t>
      </w:r>
      <w:r>
        <w:rPr>
          <w:rFonts w:hint="eastAsia" w:ascii="仿宋_GB2312" w:hAnsi="仿宋_GB2312" w:eastAsia="仿宋_GB2312" w:cs="仿宋_GB2312"/>
          <w:sz w:val="32"/>
          <w:szCs w:val="32"/>
        </w:rPr>
        <w:t>一是督促5户重点取水户完成在线监测设备安装</w:t>
      </w:r>
      <w:r>
        <w:rPr>
          <w:rFonts w:ascii="仿宋_GB2312" w:hAnsi="仿宋_GB2312" w:eastAsia="仿宋_GB2312" w:cs="仿宋_GB2312"/>
          <w:sz w:val="32"/>
          <w:szCs w:val="32"/>
        </w:rPr>
        <w:t>，二是强化水资源管理，严守水资源“三条红线”。</w:t>
      </w:r>
      <w:r>
        <w:rPr>
          <w:rFonts w:hint="eastAsia" w:ascii="仿宋_GB2312" w:hAnsi="仿宋_GB2312" w:eastAsia="仿宋_GB2312" w:cs="仿宋_GB2312"/>
          <w:sz w:val="32"/>
          <w:szCs w:val="32"/>
        </w:rPr>
        <w:t>组织30户对工业取水户开展现场检查，完成问题整改2个，配合行政审批局</w:t>
      </w:r>
      <w:r>
        <w:rPr>
          <w:rFonts w:ascii="仿宋_GB2312" w:hAnsi="仿宋_GB2312" w:eastAsia="仿宋_GB2312" w:cs="仿宋_GB2312"/>
          <w:sz w:val="32"/>
          <w:szCs w:val="32"/>
        </w:rPr>
        <w:t>办理取水许可证</w:t>
      </w:r>
      <w:r>
        <w:rPr>
          <w:rFonts w:hint="eastAsia" w:ascii="仿宋_GB2312" w:hAnsi="仿宋_GB2312" w:eastAsia="仿宋_GB2312" w:cs="仿宋_GB2312"/>
          <w:sz w:val="32"/>
          <w:szCs w:val="32"/>
        </w:rPr>
        <w:t>48</w:t>
      </w:r>
      <w:r>
        <w:rPr>
          <w:rFonts w:ascii="仿宋_GB2312" w:hAnsi="仿宋_GB2312" w:eastAsia="仿宋_GB2312" w:cs="仿宋_GB2312"/>
          <w:sz w:val="32"/>
          <w:szCs w:val="32"/>
        </w:rPr>
        <w:t> 个，</w:t>
      </w:r>
      <w:r>
        <w:rPr>
          <w:rFonts w:hint="eastAsia" w:ascii="仿宋_GB2312" w:hAnsi="仿宋_GB2312" w:eastAsia="仿宋_GB2312" w:cs="仿宋_GB2312"/>
          <w:sz w:val="32"/>
          <w:szCs w:val="32"/>
        </w:rPr>
        <w:t>其中新办6个，延续37个，变更5个</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深入开展水土保持治理。</w:t>
      </w:r>
      <w:r>
        <w:rPr>
          <w:rFonts w:ascii="仿宋_GB2312" w:hAnsi="仿宋_GB2312" w:eastAsia="仿宋_GB2312" w:cs="仿宋_GB2312"/>
          <w:sz w:val="32"/>
          <w:szCs w:val="32"/>
        </w:rPr>
        <w:t>治理水土流失</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5平方公里，征收水土保持补偿费7</w:t>
      </w:r>
      <w:r>
        <w:rPr>
          <w:rFonts w:hint="eastAsia" w:ascii="仿宋_GB2312" w:hAnsi="仿宋_GB2312" w:eastAsia="仿宋_GB2312" w:cs="仿宋_GB2312"/>
          <w:sz w:val="32"/>
          <w:szCs w:val="32"/>
        </w:rPr>
        <w:t>5.26</w:t>
      </w:r>
      <w:r>
        <w:rPr>
          <w:rFonts w:ascii="仿宋_GB2312" w:hAnsi="仿宋_GB2312" w:eastAsia="仿宋_GB2312" w:cs="仿宋_GB2312"/>
          <w:sz w:val="32"/>
          <w:szCs w:val="32"/>
        </w:rPr>
        <w:t>万元，完成了全县</w:t>
      </w:r>
      <w:r>
        <w:rPr>
          <w:rFonts w:hint="eastAsia" w:ascii="仿宋_GB2312" w:hAnsi="仿宋_GB2312" w:eastAsia="仿宋_GB2312" w:cs="仿宋_GB2312"/>
          <w:sz w:val="32"/>
          <w:szCs w:val="32"/>
        </w:rPr>
        <w:t>本年度</w:t>
      </w:r>
      <w:r>
        <w:rPr>
          <w:rFonts w:ascii="仿宋_GB2312" w:hAnsi="仿宋_GB2312" w:eastAsia="仿宋_GB2312" w:cs="仿宋_GB2312"/>
          <w:sz w:val="32"/>
          <w:szCs w:val="32"/>
        </w:rPr>
        <w:t>水土保持工作。</w:t>
      </w:r>
      <w:r>
        <w:rPr>
          <w:rFonts w:hint="eastAsia" w:ascii="仿宋_GB2312" w:hAnsi="仿宋_GB2312" w:eastAsia="仿宋_GB2312" w:cs="仿宋_GB2312"/>
          <w:sz w:val="32"/>
          <w:szCs w:val="32"/>
        </w:rPr>
        <w:t>强化水土保持监管，常态化开展30次水土保持监督执法检查，核对部省级遥感监管2次，开展20个疑似未批先建项目的现场复核工作，发现2起未批先建行为，自主验收报备15个，验收复核4个，指导实施红花小流域水土保持综合治理项目，施工单位于9月13日进场，目前保土耕作、封禁治理、蓄水池、坡改梯项目正常推进，完成投资544万元，预计在12月30日完成98%。</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全面开展惠民工作。</w:t>
      </w:r>
      <w:r>
        <w:rPr>
          <w:rFonts w:ascii="仿宋_GB2312" w:hAnsi="仿宋_GB2312" w:eastAsia="仿宋_GB2312" w:cs="仿宋_GB2312"/>
          <w:sz w:val="32"/>
          <w:szCs w:val="32"/>
        </w:rPr>
        <w:t>完成</w:t>
      </w:r>
      <w:r>
        <w:rPr>
          <w:rFonts w:hint="eastAsia" w:ascii="仿宋_GB2312" w:hAnsi="仿宋_GB2312" w:eastAsia="仿宋_GB2312" w:cs="仿宋_GB2312"/>
          <w:sz w:val="32"/>
          <w:szCs w:val="32"/>
        </w:rPr>
        <w:t>全县</w:t>
      </w:r>
      <w:r>
        <w:rPr>
          <w:rFonts w:ascii="仿宋_GB2312" w:hAnsi="仿宋_GB2312" w:eastAsia="仿宋_GB2312" w:cs="仿宋_GB2312"/>
          <w:sz w:val="32"/>
          <w:szCs w:val="32"/>
        </w:rPr>
        <w:t>161人公益性岗位</w:t>
      </w:r>
      <w:r>
        <w:rPr>
          <w:rFonts w:hint="eastAsia" w:ascii="仿宋_GB2312" w:hAnsi="仿宋_GB2312" w:eastAsia="仿宋_GB2312" w:cs="仿宋_GB2312"/>
          <w:sz w:val="32"/>
          <w:szCs w:val="32"/>
        </w:rPr>
        <w:t>安排以及</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11</w:t>
      </w:r>
      <w:r>
        <w:rPr>
          <w:rFonts w:ascii="仿宋_GB2312" w:hAnsi="仿宋_GB2312" w:eastAsia="仿宋_GB2312" w:cs="仿宋_GB2312"/>
          <w:sz w:val="32"/>
          <w:szCs w:val="32"/>
        </w:rPr>
        <w:t>月工资发放</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；完成</w:t>
      </w:r>
      <w:r>
        <w:rPr>
          <w:rFonts w:hint="eastAsia" w:ascii="仿宋_GB2312" w:hAnsi="仿宋_GB2312" w:eastAsia="仿宋_GB2312" w:cs="仿宋_GB2312"/>
          <w:sz w:val="32"/>
          <w:szCs w:val="32"/>
        </w:rPr>
        <w:t>2019年维修养护项目</w:t>
      </w:r>
      <w:r>
        <w:rPr>
          <w:rFonts w:ascii="仿宋_GB2312" w:hAnsi="仿宋_GB2312" w:eastAsia="仿宋_GB2312" w:cs="仿宋_GB2312"/>
          <w:sz w:val="32"/>
          <w:szCs w:val="32"/>
        </w:rPr>
        <w:t>完工验收和工程</w:t>
      </w:r>
      <w:r>
        <w:rPr>
          <w:rFonts w:hint="eastAsia" w:ascii="仿宋_GB2312" w:hAnsi="仿宋_GB2312" w:eastAsia="仿宋_GB2312" w:cs="仿宋_GB2312"/>
          <w:sz w:val="32"/>
          <w:szCs w:val="32"/>
        </w:rPr>
        <w:t>送</w:t>
      </w:r>
      <w:r>
        <w:rPr>
          <w:rFonts w:ascii="仿宋_GB2312" w:hAnsi="仿宋_GB2312" w:eastAsia="仿宋_GB2312" w:cs="仿宋_GB2312"/>
          <w:sz w:val="32"/>
          <w:szCs w:val="32"/>
        </w:rPr>
        <w:t>审计工作</w:t>
      </w:r>
      <w:r>
        <w:rPr>
          <w:rFonts w:hint="eastAsia" w:ascii="仿宋_GB2312" w:hAnsi="仿宋_GB2312" w:eastAsia="仿宋_GB2312" w:cs="仿宋_GB2312"/>
          <w:sz w:val="32"/>
          <w:szCs w:val="32"/>
        </w:rPr>
        <w:t>。完成水美新村验收上报工作。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 w:hAnsi="楷体" w:eastAsia="楷体" w:cs="楷体"/>
          <w:sz w:val="32"/>
          <w:szCs w:val="32"/>
        </w:rPr>
      </w:pPr>
      <w:r>
        <w:rPr>
          <w:rFonts w:hint="eastAsia" w:ascii="楷体" w:hAnsi="楷体" w:eastAsia="楷体" w:cs="楷体"/>
          <w:sz w:val="32"/>
          <w:szCs w:val="32"/>
          <w:lang w:val="en-US" w:eastAsia="zh-CN"/>
        </w:rPr>
        <w:t>9.</w:t>
      </w:r>
      <w:r>
        <w:rPr>
          <w:rFonts w:hint="eastAsia" w:ascii="楷体" w:hAnsi="楷体" w:eastAsia="楷体" w:cs="楷体"/>
          <w:sz w:val="32"/>
          <w:szCs w:val="32"/>
        </w:rPr>
        <w:t>各项工作全面进步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办理建议提案，8件县人大代表建议政协提案全部按程序办毕，办理见面率、办结率、满意率皆为100%。政务公开、机要保密、信息报送、应急管理、信访维稳、工青妇群团建设、创文管卫、离退休干部等工作有序开展，取得显著成效。</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w:t>
      </w: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eastAsia="zh-CN"/>
        </w:rPr>
      </w:pPr>
      <w:r>
        <w:rPr>
          <w:rFonts w:hint="eastAsia" w:ascii="仿宋" w:hAnsi="仿宋" w:eastAsia="仿宋" w:cs="仿宋"/>
          <w:b w:val="0"/>
          <w:bCs w:val="0"/>
          <w:color w:val="auto"/>
          <w:kern w:val="0"/>
          <w:sz w:val="32"/>
          <w:szCs w:val="32"/>
          <w:highlight w:val="none"/>
          <w:shd w:val="clear" w:color="auto" w:fill="FFFFFF"/>
          <w:lang w:val="zh-CN" w:eastAsia="zh-CN"/>
        </w:rPr>
        <w:t>1、基本支出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eastAsia="zh-CN"/>
        </w:rPr>
      </w:pPr>
      <w:r>
        <w:rPr>
          <w:rFonts w:hint="eastAsia" w:ascii="仿宋" w:hAnsi="仿宋" w:eastAsia="仿宋" w:cs="仿宋"/>
          <w:b w:val="0"/>
          <w:bCs w:val="0"/>
          <w:color w:val="auto"/>
          <w:kern w:val="0"/>
          <w:sz w:val="32"/>
          <w:szCs w:val="32"/>
          <w:highlight w:val="none"/>
          <w:shd w:val="clear" w:color="auto" w:fill="FFFFFF"/>
          <w:lang w:val="zh-CN" w:eastAsia="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eastAsia="zh-CN"/>
        </w:rPr>
        <w:t>年度我局的基本支出主要用于机关行政运行支出，基本支出1,061.55万元。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eastAsia="zh-CN"/>
        </w:rPr>
      </w:pPr>
      <w:r>
        <w:rPr>
          <w:rFonts w:hint="eastAsia" w:ascii="仿宋" w:hAnsi="仿宋" w:eastAsia="仿宋" w:cs="仿宋"/>
          <w:b w:val="0"/>
          <w:bCs w:val="0"/>
          <w:color w:val="auto"/>
          <w:kern w:val="0"/>
          <w:sz w:val="32"/>
          <w:szCs w:val="32"/>
          <w:highlight w:val="none"/>
          <w:shd w:val="clear" w:color="auto" w:fill="FFFFFF"/>
          <w:lang w:val="zh-CN" w:eastAsia="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eastAsia="zh-CN"/>
        </w:rPr>
        <w:t>年度“三公”经费年初预算</w:t>
      </w:r>
      <w:r>
        <w:rPr>
          <w:rFonts w:hint="eastAsia" w:ascii="仿宋" w:hAnsi="仿宋" w:eastAsia="仿宋" w:cs="仿宋"/>
          <w:b w:val="0"/>
          <w:bCs w:val="0"/>
          <w:color w:val="auto"/>
          <w:kern w:val="0"/>
          <w:sz w:val="32"/>
          <w:szCs w:val="32"/>
          <w:highlight w:val="none"/>
          <w:shd w:val="clear" w:color="auto" w:fill="FFFFFF"/>
          <w:lang w:val="en-US" w:eastAsia="zh-CN"/>
        </w:rPr>
        <w:t>15.64</w:t>
      </w:r>
      <w:r>
        <w:rPr>
          <w:rFonts w:hint="eastAsia" w:ascii="仿宋" w:hAnsi="仿宋" w:eastAsia="仿宋" w:cs="仿宋"/>
          <w:b w:val="0"/>
          <w:bCs w:val="0"/>
          <w:color w:val="auto"/>
          <w:kern w:val="0"/>
          <w:sz w:val="32"/>
          <w:szCs w:val="32"/>
          <w:highlight w:val="none"/>
          <w:shd w:val="clear" w:color="auto" w:fill="FFFFFF"/>
          <w:lang w:val="zh-CN" w:eastAsia="zh-CN"/>
        </w:rPr>
        <w:t>万元，年终执</w:t>
      </w:r>
      <w:r>
        <w:rPr>
          <w:rFonts w:hint="eastAsia" w:ascii="仿宋" w:hAnsi="仿宋" w:eastAsia="仿宋" w:cs="仿宋"/>
          <w:b w:val="0"/>
          <w:bCs w:val="0"/>
          <w:color w:val="auto"/>
          <w:kern w:val="0"/>
          <w:sz w:val="32"/>
          <w:szCs w:val="32"/>
          <w:highlight w:val="none"/>
          <w:shd w:val="clear" w:color="auto" w:fill="FFFFFF"/>
          <w:lang w:val="en-US" w:eastAsia="zh-CN"/>
        </w:rPr>
        <w:t>4.34</w:t>
      </w:r>
      <w:r>
        <w:rPr>
          <w:rFonts w:hint="eastAsia" w:ascii="仿宋" w:hAnsi="仿宋" w:eastAsia="仿宋" w:cs="仿宋"/>
          <w:b w:val="0"/>
          <w:bCs w:val="0"/>
          <w:color w:val="auto"/>
          <w:kern w:val="0"/>
          <w:sz w:val="32"/>
          <w:szCs w:val="32"/>
          <w:highlight w:val="none"/>
          <w:shd w:val="clear" w:color="auto" w:fill="FFFFFF"/>
          <w:lang w:val="zh-CN" w:eastAsia="zh-CN"/>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eastAsia="zh-CN"/>
        </w:rPr>
      </w:pP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eastAsia="zh-CN"/>
        </w:rPr>
        <w:t>项目支出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lang w:val="zh-CN"/>
        </w:rPr>
      </w:pPr>
      <w:bookmarkStart w:id="71" w:name="_Toc18394"/>
      <w:r>
        <w:rPr>
          <w:rFonts w:hint="eastAsia" w:ascii="仿宋" w:hAnsi="仿宋" w:eastAsia="仿宋" w:cs="仿宋"/>
          <w:b w:val="0"/>
          <w:bCs w:val="0"/>
          <w:color w:val="auto"/>
          <w:kern w:val="0"/>
          <w:sz w:val="32"/>
          <w:szCs w:val="32"/>
          <w:highlight w:val="none"/>
          <w:shd w:val="clear" w:color="auto" w:fill="FFFFFF"/>
          <w:lang w:val="zh-CN" w:eastAsia="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eastAsia="zh-CN"/>
        </w:rPr>
        <w:t>年度我局的</w:t>
      </w:r>
      <w:r>
        <w:rPr>
          <w:rFonts w:hint="eastAsia" w:ascii="仿宋" w:hAnsi="仿宋" w:eastAsia="仿宋" w:cs="仿宋"/>
          <w:b w:val="0"/>
          <w:bCs w:val="0"/>
          <w:color w:val="auto"/>
          <w:kern w:val="0"/>
          <w:sz w:val="32"/>
          <w:szCs w:val="32"/>
          <w:highlight w:val="none"/>
          <w:shd w:val="clear" w:color="auto" w:fill="FFFFFF"/>
          <w:lang w:val="en-US" w:eastAsia="zh-CN"/>
        </w:rPr>
        <w:t>项目支出9,977.63万元，</w:t>
      </w:r>
      <w:r>
        <w:rPr>
          <w:rFonts w:hint="eastAsia" w:ascii="仿宋" w:hAnsi="仿宋" w:eastAsia="仿宋" w:cs="仿宋"/>
          <w:b w:val="0"/>
          <w:bCs w:val="0"/>
          <w:color w:val="auto"/>
          <w:kern w:val="0"/>
          <w:sz w:val="32"/>
          <w:szCs w:val="32"/>
          <w:highlight w:val="none"/>
          <w:shd w:val="clear" w:color="auto" w:fill="FFFFFF"/>
          <w:lang w:val="zh-CN" w:eastAsia="zh-CN"/>
        </w:rPr>
        <w:t>主要用于</w:t>
      </w:r>
      <w:r>
        <w:rPr>
          <w:rFonts w:hint="eastAsia" w:ascii="仿宋" w:hAnsi="仿宋" w:eastAsia="仿宋" w:cs="仿宋"/>
          <w:b w:val="0"/>
          <w:bCs w:val="0"/>
          <w:color w:val="auto"/>
          <w:kern w:val="0"/>
          <w:sz w:val="32"/>
          <w:szCs w:val="32"/>
          <w:highlight w:val="none"/>
          <w:shd w:val="clear" w:color="auto" w:fill="FFFFFF"/>
          <w:lang w:val="zh-CN"/>
        </w:rPr>
        <w:t>2022年河长制专项办公经费</w:t>
      </w:r>
      <w:r>
        <w:rPr>
          <w:rFonts w:hint="eastAsia" w:ascii="仿宋" w:hAnsi="仿宋" w:eastAsia="仿宋" w:cs="仿宋"/>
          <w:b w:val="0"/>
          <w:bCs w:val="0"/>
          <w:color w:val="auto"/>
          <w:kern w:val="0"/>
          <w:sz w:val="32"/>
          <w:szCs w:val="32"/>
          <w:highlight w:val="none"/>
          <w:shd w:val="clear" w:color="auto" w:fill="FFFFFF"/>
          <w:lang w:val="en-US" w:eastAsia="zh-CN"/>
        </w:rPr>
        <w:t>10万元</w:t>
      </w:r>
      <w:r>
        <w:rPr>
          <w:rFonts w:hint="eastAsia" w:ascii="仿宋" w:hAnsi="仿宋" w:eastAsia="仿宋" w:cs="仿宋"/>
          <w:b w:val="0"/>
          <w:bCs w:val="0"/>
          <w:color w:val="auto"/>
          <w:kern w:val="0"/>
          <w:sz w:val="32"/>
          <w:szCs w:val="32"/>
          <w:highlight w:val="none"/>
          <w:shd w:val="clear" w:color="auto" w:fill="FFFFFF"/>
          <w:lang w:val="zh-CN"/>
        </w:rPr>
        <w:t>，2022年水资源公报编制费</w:t>
      </w:r>
      <w:r>
        <w:rPr>
          <w:rFonts w:hint="eastAsia" w:ascii="仿宋" w:hAnsi="仿宋" w:eastAsia="仿宋" w:cs="仿宋"/>
          <w:b w:val="0"/>
          <w:bCs w:val="0"/>
          <w:color w:val="auto"/>
          <w:kern w:val="0"/>
          <w:sz w:val="32"/>
          <w:szCs w:val="32"/>
          <w:highlight w:val="none"/>
          <w:shd w:val="clear" w:color="auto" w:fill="FFFFFF"/>
          <w:lang w:val="en-US" w:eastAsia="zh-CN"/>
        </w:rPr>
        <w:t>10万元，</w:t>
      </w:r>
      <w:r>
        <w:rPr>
          <w:rFonts w:hint="eastAsia" w:ascii="仿宋" w:hAnsi="仿宋" w:eastAsia="仿宋" w:cs="仿宋"/>
          <w:b w:val="0"/>
          <w:bCs w:val="0"/>
          <w:color w:val="auto"/>
          <w:kern w:val="0"/>
          <w:sz w:val="32"/>
          <w:szCs w:val="32"/>
          <w:highlight w:val="none"/>
          <w:shd w:val="clear" w:color="auto" w:fill="FFFFFF"/>
          <w:lang w:val="zh-CN"/>
        </w:rPr>
        <w:t> 2022年水利项目规划设计、审计、测绘费等经费</w:t>
      </w:r>
      <w:r>
        <w:rPr>
          <w:rFonts w:hint="eastAsia" w:ascii="仿宋" w:hAnsi="仿宋" w:eastAsia="仿宋" w:cs="仿宋"/>
          <w:b w:val="0"/>
          <w:bCs w:val="0"/>
          <w:color w:val="auto"/>
          <w:kern w:val="0"/>
          <w:sz w:val="32"/>
          <w:szCs w:val="32"/>
          <w:highlight w:val="none"/>
          <w:shd w:val="clear" w:color="auto" w:fill="FFFFFF"/>
          <w:lang w:val="en-US" w:eastAsia="zh-CN"/>
        </w:rPr>
        <w:t>20</w:t>
      </w:r>
      <w:r>
        <w:rPr>
          <w:rFonts w:hint="eastAsia" w:ascii="仿宋" w:hAnsi="仿宋" w:eastAsia="仿宋" w:cs="仿宋"/>
          <w:b w:val="0"/>
          <w:bCs w:val="0"/>
          <w:color w:val="auto"/>
          <w:kern w:val="0"/>
          <w:sz w:val="32"/>
          <w:szCs w:val="32"/>
          <w:highlight w:val="none"/>
          <w:shd w:val="clear" w:color="auto" w:fill="FFFFFF"/>
          <w:lang w:val="zh-CN"/>
        </w:rPr>
        <w:t>万元，2022年水行政执法管理经费</w:t>
      </w:r>
      <w:r>
        <w:rPr>
          <w:rFonts w:hint="eastAsia" w:ascii="仿宋" w:hAnsi="仿宋" w:eastAsia="仿宋" w:cs="仿宋"/>
          <w:b w:val="0"/>
          <w:bCs w:val="0"/>
          <w:color w:val="auto"/>
          <w:kern w:val="0"/>
          <w:sz w:val="32"/>
          <w:szCs w:val="32"/>
          <w:highlight w:val="none"/>
          <w:shd w:val="clear" w:color="auto" w:fill="FFFFFF"/>
          <w:lang w:val="en-US" w:eastAsia="zh-CN"/>
        </w:rPr>
        <w:t>20</w:t>
      </w:r>
      <w:r>
        <w:rPr>
          <w:rFonts w:hint="eastAsia" w:ascii="仿宋" w:hAnsi="仿宋" w:eastAsia="仿宋" w:cs="仿宋"/>
          <w:b w:val="0"/>
          <w:bCs w:val="0"/>
          <w:color w:val="auto"/>
          <w:kern w:val="0"/>
          <w:sz w:val="32"/>
          <w:szCs w:val="32"/>
          <w:highlight w:val="none"/>
          <w:shd w:val="clear" w:color="auto" w:fill="FFFFFF"/>
          <w:lang w:val="zh-CN"/>
        </w:rPr>
        <w:t>万元，2022年农业水价综合改革和水土保持监测费用</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万元2022年农村饮水安全水质检测中心运行费</w:t>
      </w:r>
      <w:r>
        <w:rPr>
          <w:rFonts w:hint="eastAsia" w:ascii="仿宋" w:hAnsi="仿宋" w:eastAsia="仿宋" w:cs="仿宋"/>
          <w:b w:val="0"/>
          <w:bCs w:val="0"/>
          <w:color w:val="auto"/>
          <w:kern w:val="0"/>
          <w:sz w:val="32"/>
          <w:szCs w:val="32"/>
          <w:highlight w:val="none"/>
          <w:shd w:val="clear" w:color="auto" w:fill="FFFFFF"/>
          <w:lang w:val="en-US" w:eastAsia="zh-CN"/>
        </w:rPr>
        <w:t>25</w:t>
      </w:r>
      <w:r>
        <w:rPr>
          <w:rFonts w:hint="eastAsia" w:ascii="仿宋" w:hAnsi="仿宋" w:eastAsia="仿宋" w:cs="仿宋"/>
          <w:b w:val="0"/>
          <w:bCs w:val="0"/>
          <w:color w:val="auto"/>
          <w:kern w:val="0"/>
          <w:sz w:val="32"/>
          <w:szCs w:val="32"/>
          <w:highlight w:val="none"/>
          <w:shd w:val="clear" w:color="auto" w:fill="FFFFFF"/>
          <w:lang w:val="zh-CN"/>
        </w:rPr>
        <w:t>万元，2022年山洪灾害预警平台运行、防汛物资仓储、山洪沟治理、水库管理等费用</w:t>
      </w:r>
      <w:r>
        <w:rPr>
          <w:rFonts w:hint="eastAsia" w:ascii="仿宋" w:hAnsi="仿宋" w:eastAsia="仿宋" w:cs="仿宋"/>
          <w:b w:val="0"/>
          <w:bCs w:val="0"/>
          <w:color w:val="auto"/>
          <w:kern w:val="0"/>
          <w:sz w:val="32"/>
          <w:szCs w:val="32"/>
          <w:highlight w:val="none"/>
          <w:shd w:val="clear" w:color="auto" w:fill="FFFFFF"/>
          <w:lang w:val="en-US" w:eastAsia="zh-CN"/>
        </w:rPr>
        <w:t>45</w:t>
      </w:r>
      <w:r>
        <w:rPr>
          <w:rFonts w:hint="eastAsia" w:ascii="仿宋" w:hAnsi="仿宋" w:eastAsia="仿宋" w:cs="仿宋"/>
          <w:b w:val="0"/>
          <w:bCs w:val="0"/>
          <w:color w:val="auto"/>
          <w:kern w:val="0"/>
          <w:sz w:val="32"/>
          <w:szCs w:val="32"/>
          <w:highlight w:val="none"/>
          <w:shd w:val="clear" w:color="auto" w:fill="FFFFFF"/>
          <w:lang w:val="zh-CN"/>
        </w:rPr>
        <w:t>万元，2022年山洪灾害防御责任人通讯费补贴</w:t>
      </w:r>
      <w:r>
        <w:rPr>
          <w:rFonts w:hint="eastAsia" w:ascii="仿宋" w:hAnsi="仿宋" w:eastAsia="仿宋" w:cs="仿宋"/>
          <w:b w:val="0"/>
          <w:bCs w:val="0"/>
          <w:color w:val="auto"/>
          <w:kern w:val="0"/>
          <w:sz w:val="32"/>
          <w:szCs w:val="32"/>
          <w:highlight w:val="none"/>
          <w:shd w:val="clear" w:color="auto" w:fill="FFFFFF"/>
          <w:lang w:val="en-US" w:eastAsia="zh-CN"/>
        </w:rPr>
        <w:t>17.8</w:t>
      </w:r>
      <w:r>
        <w:rPr>
          <w:rFonts w:hint="eastAsia" w:ascii="仿宋" w:hAnsi="仿宋" w:eastAsia="仿宋" w:cs="仿宋"/>
          <w:b w:val="0"/>
          <w:bCs w:val="0"/>
          <w:color w:val="auto"/>
          <w:kern w:val="0"/>
          <w:sz w:val="32"/>
          <w:szCs w:val="32"/>
          <w:highlight w:val="none"/>
          <w:shd w:val="clear" w:color="auto" w:fill="FFFFFF"/>
          <w:lang w:val="zh-CN"/>
        </w:rPr>
        <w:t>万元，2022年水利建设质量监督管理经费</w:t>
      </w:r>
      <w:r>
        <w:rPr>
          <w:rFonts w:hint="eastAsia" w:ascii="仿宋" w:hAnsi="仿宋" w:eastAsia="仿宋" w:cs="仿宋"/>
          <w:b w:val="0"/>
          <w:bCs w:val="0"/>
          <w:color w:val="auto"/>
          <w:kern w:val="0"/>
          <w:sz w:val="32"/>
          <w:szCs w:val="32"/>
          <w:highlight w:val="none"/>
          <w:shd w:val="clear" w:color="auto" w:fill="FFFFFF"/>
          <w:lang w:val="en-US" w:eastAsia="zh-CN"/>
        </w:rPr>
        <w:t>10万元</w:t>
      </w:r>
      <w:r>
        <w:rPr>
          <w:rFonts w:hint="eastAsia" w:ascii="仿宋_GB2312" w:hAnsi="仿宋_GB2312" w:eastAsia="仿宋_GB2312" w:cs="仿宋_GB2312"/>
          <w:color w:val="auto"/>
          <w:sz w:val="32"/>
          <w:szCs w:val="32"/>
          <w:highlight w:val="none"/>
          <w:lang w:val="en-US" w:eastAsia="zh-CN"/>
        </w:rPr>
        <w:t>等</w:t>
      </w:r>
      <w:r>
        <w:rPr>
          <w:rFonts w:hint="eastAsia" w:ascii="仿宋" w:hAnsi="仿宋" w:eastAsia="仿宋" w:cs="仿宋"/>
          <w:b w:val="0"/>
          <w:bCs w:val="0"/>
          <w:color w:val="auto"/>
          <w:kern w:val="0"/>
          <w:sz w:val="32"/>
          <w:szCs w:val="32"/>
          <w:highlight w:val="none"/>
          <w:shd w:val="clear" w:color="auto" w:fill="FFFFFF"/>
          <w:lang w:val="zh-CN" w:eastAsia="zh-CN"/>
        </w:rPr>
        <w:t>。</w:t>
      </w:r>
      <w:bookmarkEnd w:id="7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2022年度本年收入6,742.11万元，其中：一般公共预算财政拨款收5,941.30万元，政府性基金预算财政拨款收入800.81万元。</w:t>
      </w:r>
    </w:p>
    <w:p>
      <w:pPr>
        <w:keepNext w:val="0"/>
        <w:keepLines w:val="0"/>
        <w:pageBreakBefore w:val="0"/>
        <w:widowControl/>
        <w:numPr>
          <w:ilvl w:val="0"/>
          <w:numId w:val="12"/>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2022年度本年支出11,039.18万元，其中基本支出1,061.55万元；项目支出9,977.63 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 xml:space="preserve">1.部门财政拨款收入情况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2022年度本年收入6,742.11万元，其中：一般公共预算财政拨款收5,941.30万元，政府性基金预算财政拨款收入800.81万元。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pStyle w:val="13"/>
        <w:numPr>
          <w:ilvl w:val="0"/>
          <w:numId w:val="0"/>
        </w:numPr>
        <w:ind w:firstLine="640"/>
        <w:jc w:val="both"/>
        <w:outlineLvl w:val="9"/>
        <w:rPr>
          <w:rFonts w:hint="eastAsia" w:ascii="仿宋" w:hAnsi="仿宋" w:eastAsia="仿宋" w:cs="仿宋"/>
          <w:b w:val="0"/>
          <w:bCs w:val="0"/>
          <w:lang w:val="en-US" w:eastAsia="zh-CN"/>
        </w:rPr>
      </w:pPr>
      <w:bookmarkStart w:id="72" w:name="_Toc5329"/>
      <w:r>
        <w:rPr>
          <w:rFonts w:hint="eastAsia" w:ascii="仿宋" w:hAnsi="仿宋" w:eastAsia="仿宋" w:cs="仿宋"/>
          <w:b w:val="0"/>
          <w:bCs w:val="0"/>
          <w:lang w:val="en-US" w:eastAsia="zh-CN"/>
        </w:rPr>
        <w:t>2022年度本年支出11,039.18万元，其中基本支出</w:t>
      </w:r>
      <w:r>
        <w:rPr>
          <w:rFonts w:hint="eastAsia" w:ascii="仿宋" w:hAnsi="仿宋" w:eastAsia="仿宋" w:cs="仿宋"/>
          <w:b w:val="0"/>
          <w:bCs w:val="0"/>
          <w:color w:val="auto"/>
          <w:kern w:val="0"/>
          <w:sz w:val="32"/>
          <w:szCs w:val="32"/>
          <w:highlight w:val="none"/>
          <w:shd w:val="clear" w:color="auto" w:fill="FFFFFF"/>
          <w:lang w:val="zh-CN" w:eastAsia="zh-CN"/>
        </w:rPr>
        <w:t>1,061.55</w:t>
      </w:r>
      <w:r>
        <w:rPr>
          <w:rFonts w:hint="eastAsia" w:ascii="仿宋" w:hAnsi="仿宋" w:eastAsia="仿宋" w:cs="仿宋"/>
          <w:b w:val="0"/>
          <w:bCs w:val="0"/>
          <w:lang w:val="en-US" w:eastAsia="zh-CN"/>
        </w:rPr>
        <w:t>万元；项目支出9,977.63 万元。其中县级预算项目9个162.8万元，具体支出为：</w:t>
      </w:r>
      <w:bookmarkEnd w:id="72"/>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2022年河长制专项办公经费</w:t>
      </w:r>
      <w:r>
        <w:rPr>
          <w:rFonts w:hint="eastAsia" w:ascii="仿宋" w:hAnsi="仿宋" w:eastAsia="仿宋" w:cs="仿宋"/>
          <w:b w:val="0"/>
          <w:bCs w:val="0"/>
          <w:color w:val="auto"/>
          <w:kern w:val="0"/>
          <w:sz w:val="32"/>
          <w:szCs w:val="32"/>
          <w:highlight w:val="none"/>
          <w:shd w:val="clear" w:color="auto" w:fill="FFFFFF"/>
          <w:lang w:val="en-US" w:eastAsia="zh-CN"/>
        </w:rPr>
        <w:t>10万元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2022年水资源公报编制费</w:t>
      </w:r>
      <w:r>
        <w:rPr>
          <w:rFonts w:hint="eastAsia" w:ascii="仿宋" w:hAnsi="仿宋" w:eastAsia="仿宋" w:cs="仿宋"/>
          <w:b w:val="0"/>
          <w:bCs w:val="0"/>
          <w:color w:val="auto"/>
          <w:kern w:val="0"/>
          <w:sz w:val="32"/>
          <w:szCs w:val="32"/>
          <w:highlight w:val="none"/>
          <w:shd w:val="clear" w:color="auto" w:fill="FFFFFF"/>
          <w:lang w:val="en-US" w:eastAsia="zh-CN"/>
        </w:rPr>
        <w:t>10万元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 2022年水利项目规划设计、审计、测绘费等经费</w:t>
      </w:r>
      <w:r>
        <w:rPr>
          <w:rFonts w:hint="eastAsia" w:ascii="仿宋" w:hAnsi="仿宋" w:eastAsia="仿宋" w:cs="仿宋"/>
          <w:b w:val="0"/>
          <w:bCs w:val="0"/>
          <w:color w:val="auto"/>
          <w:kern w:val="0"/>
          <w:sz w:val="32"/>
          <w:szCs w:val="32"/>
          <w:highlight w:val="none"/>
          <w:shd w:val="clear" w:color="auto" w:fill="FFFFFF"/>
          <w:lang w:val="en-US" w:eastAsia="zh-CN"/>
        </w:rPr>
        <w:t>20</w:t>
      </w:r>
      <w:r>
        <w:rPr>
          <w:rFonts w:hint="eastAsia" w:ascii="仿宋" w:hAnsi="仿宋" w:eastAsia="仿宋" w:cs="仿宋"/>
          <w:b w:val="0"/>
          <w:bCs w:val="0"/>
          <w:color w:val="auto"/>
          <w:kern w:val="0"/>
          <w:sz w:val="32"/>
          <w:szCs w:val="32"/>
          <w:highlight w:val="none"/>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2022年水行政执法管理经费</w:t>
      </w:r>
      <w:r>
        <w:rPr>
          <w:rFonts w:hint="eastAsia" w:ascii="仿宋" w:hAnsi="仿宋" w:eastAsia="仿宋" w:cs="仿宋"/>
          <w:b w:val="0"/>
          <w:bCs w:val="0"/>
          <w:color w:val="auto"/>
          <w:kern w:val="0"/>
          <w:sz w:val="32"/>
          <w:szCs w:val="32"/>
          <w:highlight w:val="none"/>
          <w:shd w:val="clear" w:color="auto" w:fill="FFFFFF"/>
          <w:lang w:val="en-US" w:eastAsia="zh-CN"/>
        </w:rPr>
        <w:t>20</w:t>
      </w:r>
      <w:r>
        <w:rPr>
          <w:rFonts w:hint="eastAsia" w:ascii="仿宋" w:hAnsi="仿宋" w:eastAsia="仿宋" w:cs="仿宋"/>
          <w:b w:val="0"/>
          <w:bCs w:val="0"/>
          <w:color w:val="auto"/>
          <w:kern w:val="0"/>
          <w:sz w:val="32"/>
          <w:szCs w:val="32"/>
          <w:highlight w:val="none"/>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560" w:lineRule="exact"/>
        <w:ind w:left="638" w:leftChars="304" w:firstLine="0" w:firstLineChars="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2022年农业水价综合改革和水土保持监测费用</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万元2022年农村饮水安全水质检测中心运行费</w:t>
      </w:r>
      <w:r>
        <w:rPr>
          <w:rFonts w:hint="eastAsia" w:ascii="仿宋" w:hAnsi="仿宋" w:eastAsia="仿宋" w:cs="仿宋"/>
          <w:b w:val="0"/>
          <w:bCs w:val="0"/>
          <w:color w:val="auto"/>
          <w:kern w:val="0"/>
          <w:sz w:val="32"/>
          <w:szCs w:val="32"/>
          <w:highlight w:val="none"/>
          <w:shd w:val="clear" w:color="auto" w:fill="FFFFFF"/>
          <w:lang w:val="en-US" w:eastAsia="zh-CN"/>
        </w:rPr>
        <w:t>25</w:t>
      </w:r>
      <w:r>
        <w:rPr>
          <w:rFonts w:hint="eastAsia" w:ascii="仿宋" w:hAnsi="仿宋" w:eastAsia="仿宋" w:cs="仿宋"/>
          <w:b w:val="0"/>
          <w:bCs w:val="0"/>
          <w:color w:val="auto"/>
          <w:kern w:val="0"/>
          <w:sz w:val="32"/>
          <w:szCs w:val="32"/>
          <w:highlight w:val="none"/>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2022年山洪灾害预警平台运行、防汛物资仓储、山洪沟治理、水库管理等费用</w:t>
      </w:r>
      <w:r>
        <w:rPr>
          <w:rFonts w:hint="eastAsia" w:ascii="仿宋" w:hAnsi="仿宋" w:eastAsia="仿宋" w:cs="仿宋"/>
          <w:b w:val="0"/>
          <w:bCs w:val="0"/>
          <w:color w:val="auto"/>
          <w:kern w:val="0"/>
          <w:sz w:val="32"/>
          <w:szCs w:val="32"/>
          <w:highlight w:val="none"/>
          <w:shd w:val="clear" w:color="auto" w:fill="FFFFFF"/>
          <w:lang w:val="en-US" w:eastAsia="zh-CN"/>
        </w:rPr>
        <w:t>45</w:t>
      </w:r>
      <w:r>
        <w:rPr>
          <w:rFonts w:hint="eastAsia" w:ascii="仿宋" w:hAnsi="仿宋" w:eastAsia="仿宋" w:cs="仿宋"/>
          <w:b w:val="0"/>
          <w:bCs w:val="0"/>
          <w:color w:val="auto"/>
          <w:kern w:val="0"/>
          <w:sz w:val="32"/>
          <w:szCs w:val="32"/>
          <w:highlight w:val="none"/>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2022年山洪灾害防御责任人通讯费补贴</w:t>
      </w:r>
      <w:r>
        <w:rPr>
          <w:rFonts w:hint="eastAsia" w:ascii="仿宋" w:hAnsi="仿宋" w:eastAsia="仿宋" w:cs="仿宋"/>
          <w:b w:val="0"/>
          <w:bCs w:val="0"/>
          <w:color w:val="auto"/>
          <w:kern w:val="0"/>
          <w:sz w:val="32"/>
          <w:szCs w:val="32"/>
          <w:highlight w:val="none"/>
          <w:shd w:val="clear" w:color="auto" w:fill="FFFFFF"/>
          <w:lang w:val="en-US" w:eastAsia="zh-CN"/>
        </w:rPr>
        <w:t>17.8</w:t>
      </w:r>
      <w:r>
        <w:rPr>
          <w:rFonts w:hint="eastAsia" w:ascii="仿宋" w:hAnsi="仿宋" w:eastAsia="仿宋" w:cs="仿宋"/>
          <w:b w:val="0"/>
          <w:bCs w:val="0"/>
          <w:color w:val="auto"/>
          <w:kern w:val="0"/>
          <w:sz w:val="32"/>
          <w:szCs w:val="32"/>
          <w:highlight w:val="none"/>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2022年水利建设质量监督管理经费</w:t>
      </w:r>
      <w:r>
        <w:rPr>
          <w:rFonts w:hint="eastAsia" w:ascii="仿宋" w:hAnsi="仿宋" w:eastAsia="仿宋" w:cs="仿宋"/>
          <w:b w:val="0"/>
          <w:bCs w:val="0"/>
          <w:color w:val="auto"/>
          <w:kern w:val="0"/>
          <w:sz w:val="32"/>
          <w:szCs w:val="32"/>
          <w:highlight w:val="none"/>
          <w:shd w:val="clear" w:color="auto" w:fill="FFFFFF"/>
          <w:lang w:val="en-US" w:eastAsia="zh-CN"/>
        </w:rPr>
        <w:t>10万元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年初制定的人员类项目绩效目标662.13万元，实际完成支出908.09万元，完成年初预算的137.15％，高于年初预算的原因是由于人员费用中的绩效目标奖按照要求进入工资后每月进行核算，所以导致人员类经费的较年初预算的增幅较大。</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2022年水务局项目资金</w:t>
      </w:r>
      <w:r>
        <w:rPr>
          <w:rFonts w:hint="eastAsia" w:ascii="仿宋" w:hAnsi="仿宋" w:eastAsia="仿宋" w:cs="仿宋"/>
          <w:b w:val="0"/>
          <w:bCs w:val="0"/>
          <w:color w:val="auto"/>
          <w:kern w:val="0"/>
          <w:sz w:val="32"/>
          <w:szCs w:val="32"/>
          <w:highlight w:val="none"/>
          <w:shd w:val="clear" w:color="auto" w:fill="FFFFFF"/>
          <w:lang w:val="en-US" w:eastAsia="zh-CN"/>
        </w:rPr>
        <w:t>127.36</w:t>
      </w:r>
      <w:r>
        <w:rPr>
          <w:rFonts w:hint="eastAsia" w:ascii="仿宋" w:hAnsi="仿宋" w:eastAsia="仿宋" w:cs="仿宋"/>
          <w:b w:val="0"/>
          <w:bCs w:val="0"/>
          <w:color w:val="auto"/>
          <w:kern w:val="0"/>
          <w:sz w:val="32"/>
          <w:szCs w:val="32"/>
          <w:highlight w:val="none"/>
          <w:shd w:val="clear" w:color="auto" w:fill="FFFFFF"/>
          <w:lang w:val="zh-CN"/>
        </w:rPr>
        <w:t>万元，制定了9个项目年初绩效目标，其中 2022年河长制专项办公经费</w:t>
      </w:r>
      <w:r>
        <w:rPr>
          <w:rFonts w:hint="eastAsia" w:ascii="仿宋" w:hAnsi="仿宋" w:eastAsia="仿宋" w:cs="仿宋"/>
          <w:b w:val="0"/>
          <w:bCs w:val="0"/>
          <w:color w:val="auto"/>
          <w:kern w:val="0"/>
          <w:sz w:val="32"/>
          <w:szCs w:val="32"/>
          <w:highlight w:val="none"/>
          <w:shd w:val="clear" w:color="auto" w:fill="FFFFFF"/>
          <w:lang w:val="en-US" w:eastAsia="zh-CN"/>
        </w:rPr>
        <w:t>10万元</w:t>
      </w:r>
      <w:r>
        <w:rPr>
          <w:rFonts w:hint="eastAsia" w:ascii="仿宋" w:hAnsi="仿宋" w:eastAsia="仿宋" w:cs="仿宋"/>
          <w:b w:val="0"/>
          <w:bCs w:val="0"/>
          <w:color w:val="auto"/>
          <w:kern w:val="0"/>
          <w:sz w:val="32"/>
          <w:szCs w:val="32"/>
          <w:highlight w:val="none"/>
          <w:shd w:val="clear" w:color="auto" w:fill="FFFFFF"/>
          <w:lang w:val="zh-CN"/>
        </w:rPr>
        <w:t>，2022年水资源公报编制费</w:t>
      </w:r>
      <w:r>
        <w:rPr>
          <w:rFonts w:hint="eastAsia" w:ascii="仿宋" w:hAnsi="仿宋" w:eastAsia="仿宋" w:cs="仿宋"/>
          <w:b w:val="0"/>
          <w:bCs w:val="0"/>
          <w:color w:val="auto"/>
          <w:kern w:val="0"/>
          <w:sz w:val="32"/>
          <w:szCs w:val="32"/>
          <w:highlight w:val="none"/>
          <w:shd w:val="clear" w:color="auto" w:fill="FFFFFF"/>
          <w:lang w:val="en-US" w:eastAsia="zh-CN"/>
        </w:rPr>
        <w:t>7.8万元</w:t>
      </w:r>
      <w:r>
        <w:rPr>
          <w:rFonts w:hint="eastAsia" w:ascii="仿宋" w:hAnsi="仿宋" w:eastAsia="仿宋" w:cs="仿宋"/>
          <w:b w:val="0"/>
          <w:bCs w:val="0"/>
          <w:color w:val="auto"/>
          <w:kern w:val="0"/>
          <w:sz w:val="32"/>
          <w:szCs w:val="32"/>
          <w:highlight w:val="none"/>
          <w:shd w:val="clear" w:color="auto" w:fill="FFFFFF"/>
          <w:lang w:val="zh-CN"/>
        </w:rPr>
        <w:t>， 2022年水利项目规划设计、审计、测绘费等经费</w:t>
      </w:r>
      <w:r>
        <w:rPr>
          <w:rFonts w:hint="eastAsia" w:ascii="仿宋" w:hAnsi="仿宋" w:eastAsia="仿宋" w:cs="仿宋"/>
          <w:b w:val="0"/>
          <w:bCs w:val="0"/>
          <w:color w:val="auto"/>
          <w:kern w:val="0"/>
          <w:sz w:val="32"/>
          <w:szCs w:val="32"/>
          <w:highlight w:val="none"/>
          <w:shd w:val="clear" w:color="auto" w:fill="FFFFFF"/>
          <w:lang w:val="en-US" w:eastAsia="zh-CN"/>
        </w:rPr>
        <w:t>19.62</w:t>
      </w:r>
      <w:r>
        <w:rPr>
          <w:rFonts w:hint="eastAsia" w:ascii="仿宋" w:hAnsi="仿宋" w:eastAsia="仿宋" w:cs="仿宋"/>
          <w:b w:val="0"/>
          <w:bCs w:val="0"/>
          <w:color w:val="auto"/>
          <w:kern w:val="0"/>
          <w:sz w:val="32"/>
          <w:szCs w:val="32"/>
          <w:highlight w:val="none"/>
          <w:shd w:val="clear" w:color="auto" w:fill="FFFFFF"/>
          <w:lang w:val="zh-CN"/>
        </w:rPr>
        <w:t>万元，2022年水行政执法管理经费</w:t>
      </w:r>
      <w:r>
        <w:rPr>
          <w:rFonts w:hint="eastAsia" w:ascii="仿宋" w:hAnsi="仿宋" w:eastAsia="仿宋" w:cs="仿宋"/>
          <w:b w:val="0"/>
          <w:bCs w:val="0"/>
          <w:color w:val="auto"/>
          <w:kern w:val="0"/>
          <w:sz w:val="32"/>
          <w:szCs w:val="32"/>
          <w:highlight w:val="none"/>
          <w:shd w:val="clear" w:color="auto" w:fill="FFFFFF"/>
          <w:lang w:val="en-US" w:eastAsia="zh-CN"/>
        </w:rPr>
        <w:t>18.05</w:t>
      </w:r>
      <w:r>
        <w:rPr>
          <w:rFonts w:hint="eastAsia" w:ascii="仿宋" w:hAnsi="仿宋" w:eastAsia="仿宋" w:cs="仿宋"/>
          <w:b w:val="0"/>
          <w:bCs w:val="0"/>
          <w:color w:val="auto"/>
          <w:kern w:val="0"/>
          <w:sz w:val="32"/>
          <w:szCs w:val="32"/>
          <w:highlight w:val="none"/>
          <w:shd w:val="clear" w:color="auto" w:fill="FFFFFF"/>
          <w:lang w:val="zh-CN"/>
        </w:rPr>
        <w:t>万元，2022年农村饮水安全水质检测中心运行费</w:t>
      </w:r>
      <w:r>
        <w:rPr>
          <w:rFonts w:hint="eastAsia" w:ascii="仿宋" w:hAnsi="仿宋" w:eastAsia="仿宋" w:cs="仿宋"/>
          <w:b w:val="0"/>
          <w:bCs w:val="0"/>
          <w:color w:val="auto"/>
          <w:kern w:val="0"/>
          <w:sz w:val="32"/>
          <w:szCs w:val="32"/>
          <w:highlight w:val="none"/>
          <w:shd w:val="clear" w:color="auto" w:fill="FFFFFF"/>
          <w:lang w:val="en-US" w:eastAsia="zh-CN"/>
        </w:rPr>
        <w:t>16.99</w:t>
      </w:r>
      <w:r>
        <w:rPr>
          <w:rFonts w:hint="eastAsia" w:ascii="仿宋" w:hAnsi="仿宋" w:eastAsia="仿宋" w:cs="仿宋"/>
          <w:b w:val="0"/>
          <w:bCs w:val="0"/>
          <w:color w:val="auto"/>
          <w:kern w:val="0"/>
          <w:sz w:val="32"/>
          <w:szCs w:val="32"/>
          <w:highlight w:val="none"/>
          <w:shd w:val="clear" w:color="auto" w:fill="FFFFFF"/>
          <w:lang w:val="zh-CN"/>
        </w:rPr>
        <w:t>万元，2022年山洪灾害预警平台运行、防汛物资仓储、山洪沟治理、水库管理等费用</w:t>
      </w:r>
      <w:r>
        <w:rPr>
          <w:rFonts w:hint="eastAsia" w:ascii="仿宋" w:hAnsi="仿宋" w:eastAsia="仿宋" w:cs="仿宋"/>
          <w:b w:val="0"/>
          <w:bCs w:val="0"/>
          <w:color w:val="auto"/>
          <w:kern w:val="0"/>
          <w:sz w:val="32"/>
          <w:szCs w:val="32"/>
          <w:highlight w:val="none"/>
          <w:shd w:val="clear" w:color="auto" w:fill="FFFFFF"/>
          <w:lang w:val="en-US" w:eastAsia="zh-CN"/>
        </w:rPr>
        <w:t>45</w:t>
      </w:r>
      <w:r>
        <w:rPr>
          <w:rFonts w:hint="eastAsia" w:ascii="仿宋" w:hAnsi="仿宋" w:eastAsia="仿宋" w:cs="仿宋"/>
          <w:b w:val="0"/>
          <w:bCs w:val="0"/>
          <w:color w:val="auto"/>
          <w:kern w:val="0"/>
          <w:sz w:val="32"/>
          <w:szCs w:val="32"/>
          <w:highlight w:val="none"/>
          <w:shd w:val="clear" w:color="auto" w:fill="FFFFFF"/>
          <w:lang w:val="zh-CN"/>
        </w:rPr>
        <w:t>万元，2022年水利建设质量监督管理经费</w:t>
      </w:r>
      <w:r>
        <w:rPr>
          <w:rFonts w:hint="eastAsia" w:ascii="仿宋" w:hAnsi="仿宋" w:eastAsia="仿宋" w:cs="仿宋"/>
          <w:b w:val="0"/>
          <w:bCs w:val="0"/>
          <w:color w:val="auto"/>
          <w:kern w:val="0"/>
          <w:sz w:val="32"/>
          <w:szCs w:val="32"/>
          <w:highlight w:val="none"/>
          <w:shd w:val="clear" w:color="auto" w:fill="FFFFFF"/>
          <w:lang w:val="en-US" w:eastAsia="zh-CN"/>
        </w:rPr>
        <w:t>9.9万元。</w:t>
      </w:r>
      <w:r>
        <w:rPr>
          <w:rFonts w:hint="eastAsia" w:ascii="仿宋" w:hAnsi="仿宋" w:eastAsia="仿宋" w:cs="仿宋"/>
          <w:b w:val="0"/>
          <w:bCs w:val="0"/>
          <w:color w:val="auto"/>
          <w:kern w:val="0"/>
          <w:sz w:val="32"/>
          <w:szCs w:val="32"/>
          <w:highlight w:val="none"/>
          <w:shd w:val="clear" w:color="auto" w:fill="FFFFFF"/>
          <w:lang w:val="zh-CN"/>
        </w:rPr>
        <w:t>单位围绕“节水优先、空间均衡、系统治理、两手发力”的新时代水利工作思路，在整体推进水务业务工作上，基本完成年初制定的目标任务，但是因财政资金紧张导致部分资金下达时间晚导致未能支付，不能形成项目绩效。其中水2022年山洪灾害防御责任人通讯费补贴</w:t>
      </w:r>
      <w:r>
        <w:rPr>
          <w:rFonts w:hint="eastAsia" w:ascii="仿宋" w:hAnsi="仿宋" w:eastAsia="仿宋" w:cs="仿宋"/>
          <w:b w:val="0"/>
          <w:bCs w:val="0"/>
          <w:color w:val="auto"/>
          <w:kern w:val="0"/>
          <w:sz w:val="32"/>
          <w:szCs w:val="32"/>
          <w:highlight w:val="none"/>
          <w:shd w:val="clear" w:color="auto" w:fill="FFFFFF"/>
          <w:lang w:val="en-US" w:eastAsia="zh-CN"/>
        </w:rPr>
        <w:t>17.8</w:t>
      </w:r>
      <w:r>
        <w:rPr>
          <w:rFonts w:hint="eastAsia" w:ascii="仿宋" w:hAnsi="仿宋" w:eastAsia="仿宋" w:cs="仿宋"/>
          <w:b w:val="0"/>
          <w:bCs w:val="0"/>
          <w:color w:val="auto"/>
          <w:kern w:val="0"/>
          <w:sz w:val="32"/>
          <w:szCs w:val="32"/>
          <w:highlight w:val="none"/>
          <w:shd w:val="clear" w:color="auto" w:fill="FFFFFF"/>
          <w:lang w:val="zh-CN"/>
        </w:rPr>
        <w:t>万元</w:t>
      </w:r>
      <w:r>
        <w:rPr>
          <w:rFonts w:hint="eastAsia" w:ascii="仿宋" w:hAnsi="仿宋" w:eastAsia="仿宋" w:cs="仿宋"/>
          <w:b w:val="0"/>
          <w:bCs w:val="0"/>
          <w:color w:val="auto"/>
          <w:kern w:val="0"/>
          <w:sz w:val="32"/>
          <w:szCs w:val="32"/>
          <w:highlight w:val="none"/>
          <w:shd w:val="clear" w:color="auto" w:fill="FFFFFF"/>
          <w:lang w:val="en-US" w:eastAsia="zh-CN"/>
        </w:rPr>
        <w:t>和</w:t>
      </w:r>
      <w:r>
        <w:rPr>
          <w:rFonts w:hint="eastAsia" w:ascii="仿宋" w:hAnsi="仿宋" w:eastAsia="仿宋" w:cs="仿宋"/>
          <w:b w:val="0"/>
          <w:bCs w:val="0"/>
          <w:color w:val="auto"/>
          <w:kern w:val="0"/>
          <w:sz w:val="32"/>
          <w:szCs w:val="32"/>
          <w:highlight w:val="none"/>
          <w:shd w:val="clear" w:color="auto" w:fill="FFFFFF"/>
          <w:lang w:val="zh-CN"/>
        </w:rPr>
        <w:t>2022年农业水价综合改革和水土保持监测费用</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万元零支付，</w:t>
      </w:r>
      <w:r>
        <w:rPr>
          <w:rFonts w:hint="eastAsia" w:ascii="仿宋" w:hAnsi="仿宋" w:eastAsia="仿宋" w:cs="仿宋"/>
          <w:b w:val="0"/>
          <w:bCs w:val="0"/>
          <w:color w:val="auto"/>
          <w:kern w:val="0"/>
          <w:sz w:val="32"/>
          <w:szCs w:val="32"/>
          <w:highlight w:val="none"/>
          <w:shd w:val="clear" w:color="auto" w:fill="FFFFFF"/>
          <w:lang w:val="en-US" w:eastAsia="zh-CN"/>
        </w:rPr>
        <w:t>原因是乡村振兴资金已安排</w:t>
      </w:r>
      <w:r>
        <w:rPr>
          <w:rFonts w:hint="eastAsia" w:ascii="仿宋" w:hAnsi="仿宋" w:eastAsia="仿宋" w:cs="仿宋"/>
          <w:b w:val="0"/>
          <w:bCs w:val="0"/>
          <w:color w:val="auto"/>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认真贯彻执行《四川省省级财政专项资金绩效分配管理暂行办法》实施绩效分配。资金分配科学合理，分配过程符合相关规定。建立健全专项资金绩效分配机制，实现了财政资金资源有效配置。加强对项目资金的管理，严格按照资金的使用范围专款专用，支付有依据，严格开支标准。无截留、挤占、挪用专项资金和虚列资金及大额度现金支出现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p>
    <w:p>
      <w:pPr>
        <w:keepNext w:val="0"/>
        <w:keepLines w:val="0"/>
        <w:pageBreakBefore w:val="0"/>
        <w:widowControl/>
        <w:numPr>
          <w:ilvl w:val="0"/>
          <w:numId w:val="13"/>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除未下达资金外，基本完成了绩效目标任务。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我局2022绩效评价考核自查情况总体良好，部门认真履职，项目认真落实，效果明显，群众满意度高，评价好。财务管理健全规范，没有发生违法违规现象，我局2022年的部门整体支出做到了使用规范、程序透明、达到预期绩效目标确保了机关的正常运行和各部室职能的正常履行，保证了目标任务的圆满完成。</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widowControl/>
        <w:numPr>
          <w:ilvl w:val="0"/>
          <w:numId w:val="14"/>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en-US" w:eastAsia="zh-CN"/>
        </w:rPr>
        <w:t>预算一体化系统需进一步优化</w:t>
      </w:r>
      <w:r>
        <w:rPr>
          <w:rFonts w:hint="eastAsia" w:ascii="楷体_GB2312" w:hAnsi="楷体_GB2312" w:eastAsia="楷体_GB2312" w:cs="楷体_GB2312"/>
          <w:b w:val="0"/>
          <w:bCs w:val="0"/>
          <w:color w:val="auto"/>
          <w:kern w:val="0"/>
          <w:sz w:val="32"/>
          <w:szCs w:val="32"/>
          <w:highlight w:val="none"/>
          <w:shd w:val="clear" w:color="auto" w:fill="FFFFFF"/>
          <w:lang w:val="en-US" w:eastAsia="zh-CN"/>
        </w:rPr>
        <w:t>。</w:t>
      </w:r>
    </w:p>
    <w:p>
      <w:pPr>
        <w:keepNext w:val="0"/>
        <w:keepLines w:val="0"/>
        <w:pageBreakBefore w:val="0"/>
        <w:widowControl/>
        <w:numPr>
          <w:ilvl w:val="0"/>
          <w:numId w:val="14"/>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outlineLvl w:val="9"/>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预算资金在年度内无法保障，导致预算与实际执行存在偏差，实际支出的项目资金累积，仅有预算不能按时进行支付。</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pStyle w:val="2"/>
        <w:numPr>
          <w:ilvl w:val="0"/>
          <w:numId w:val="0"/>
        </w:numPr>
        <w:ind w:leftChars="200" w:firstLine="320" w:firstLineChars="100"/>
        <w:rPr>
          <w:rFonts w:hint="eastAsia" w:ascii="仿宋" w:hAnsi="仿宋" w:eastAsia="仿宋" w:cs="仿宋"/>
          <w:sz w:val="32"/>
          <w:szCs w:val="32"/>
          <w:lang w:val="zh-CN" w:eastAsia="zh-CN"/>
        </w:rPr>
      </w:pPr>
      <w:r>
        <w:rPr>
          <w:rFonts w:hint="eastAsia" w:ascii="仿宋" w:hAnsi="仿宋" w:eastAsia="仿宋" w:cs="仿宋"/>
          <w:i w:val="0"/>
          <w:iCs w:val="0"/>
          <w:caps w:val="0"/>
          <w:color w:val="333333"/>
          <w:spacing w:val="0"/>
          <w:sz w:val="32"/>
          <w:szCs w:val="32"/>
          <w:shd w:val="clear" w:fill="FFFFFF"/>
          <w:lang w:val="en-US" w:eastAsia="zh-CN"/>
        </w:rPr>
        <w:t>为了</w:t>
      </w:r>
      <w:r>
        <w:rPr>
          <w:rFonts w:hint="eastAsia" w:ascii="仿宋" w:hAnsi="仿宋" w:eastAsia="仿宋" w:cs="仿宋"/>
          <w:i w:val="0"/>
          <w:iCs w:val="0"/>
          <w:caps w:val="0"/>
          <w:color w:val="333333"/>
          <w:spacing w:val="0"/>
          <w:sz w:val="32"/>
          <w:szCs w:val="32"/>
          <w:shd w:val="clear" w:fill="FFFFFF"/>
        </w:rPr>
        <w:t>提高资金使用效益，尽早尽快安排预算内资金的拨付进度</w:t>
      </w:r>
      <w:r>
        <w:rPr>
          <w:rFonts w:hint="eastAsia" w:ascii="仿宋" w:hAnsi="仿宋" w:eastAsia="仿宋" w:cs="仿宋"/>
          <w:i w:val="0"/>
          <w:iCs w:val="0"/>
          <w:caps w:val="0"/>
          <w:color w:val="333333"/>
          <w:spacing w:val="0"/>
          <w:sz w:val="32"/>
          <w:szCs w:val="32"/>
          <w:shd w:val="clear" w:fill="FFFFFF"/>
          <w:lang w:eastAsia="zh-CN"/>
        </w:rPr>
        <w:t>。</w:t>
      </w: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after="0" w:line="240" w:lineRule="auto"/>
        <w:jc w:val="lef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after="0" w:line="240" w:lineRule="auto"/>
        <w:jc w:val="left"/>
        <w:textAlignment w:val="auto"/>
        <w:rPr>
          <w:rFonts w:hint="eastAsia" w:hAnsi="Times New Roman" w:cs="Times New Roman"/>
          <w:color w:val="auto"/>
          <w:sz w:val="32"/>
          <w:szCs w:val="32"/>
          <w:highlight w:val="none"/>
          <w:lang w:val="zh-CN" w:eastAsia="zh-CN"/>
        </w:rPr>
      </w:pPr>
      <w:bookmarkStart w:id="101" w:name="_GoBack"/>
      <w:r>
        <w:rPr>
          <w:rFonts w:hint="eastAsia" w:hAnsi="Times New Roman" w:cs="Times New Roman"/>
          <w:color w:val="auto"/>
          <w:sz w:val="32"/>
          <w:szCs w:val="32"/>
          <w:highlight w:val="none"/>
          <w:lang w:val="zh-CN" w:eastAsia="zh-CN"/>
        </w:rPr>
        <w:drawing>
          <wp:inline distT="0" distB="0" distL="114300" distR="114300">
            <wp:extent cx="5267960" cy="7546975"/>
            <wp:effectExtent l="0" t="0" r="8890" b="15875"/>
            <wp:docPr id="8" name="图片 8" descr="2023-10-27-09-45-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3-10-27-09-45-19-01"/>
                    <pic:cNvPicPr>
                      <a:picLocks noChangeAspect="1"/>
                    </pic:cNvPicPr>
                  </pic:nvPicPr>
                  <pic:blipFill>
                    <a:blip r:embed="rId13"/>
                    <a:stretch>
                      <a:fillRect/>
                    </a:stretch>
                  </pic:blipFill>
                  <pic:spPr>
                    <a:xfrm>
                      <a:off x="0" y="0"/>
                      <a:ext cx="5267960" cy="7546975"/>
                    </a:xfrm>
                    <a:prstGeom prst="rect">
                      <a:avLst/>
                    </a:prstGeom>
                  </pic:spPr>
                </pic:pic>
              </a:graphicData>
            </a:graphic>
          </wp:inline>
        </w:drawing>
      </w:r>
      <w:bookmarkEnd w:id="101"/>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2"/>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object>
          <v:shape id="_x0000_i1025" o:spt="75" type="#_x0000_t75" style="height:656.25pt;width:455.4pt;" o:ole="t" filled="f" o:preferrelative="t" stroked="f" coordsize="21600,21600">
            <v:path/>
            <v:fill on="f" focussize="0,0"/>
            <v:stroke on="f"/>
            <v:imagedata r:id="rId14" o:title=""/>
            <o:lock v:ext="edit" aspectratio="t"/>
            <w10:wrap type="none"/>
            <w10:anchorlock/>
          </v:shape>
          <o:OLEObject Type="Link" ProgID="Excel.Sheet.12" ShapeID="_x0000_i1025" UpdateMode="Always" DrawAspect="Content" ObjectID="_1468075725" r:id="rId15">
            <o:LinkType>EnhancedMetaFile</o:LinkType>
            <o:LockedField>false</o:LockedField>
          </o:OLEObject>
        </w:object>
      </w:r>
    </w:p>
    <w:p>
      <w:pPr>
        <w:pStyle w:val="2"/>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object>
          <v:shape id="_x0000_i1026" o:spt="75" type="#_x0000_t75" style="height:644.25pt;width:443.2pt;" o:ole="t" filled="f" o:preferrelative="t" stroked="f" coordsize="21600,21600">
            <v:path/>
            <v:fill on="f" focussize="0,0"/>
            <v:stroke on="f"/>
            <v:imagedata r:id="rId16" o:title=""/>
            <o:lock v:ext="edit" aspectratio="t"/>
            <w10:wrap type="none"/>
            <w10:anchorlock/>
          </v:shape>
          <o:OLEObject Type="Link" ProgID="Excel.Sheet.12" ShapeID="_x0000_i1026" UpdateMode="Always" DrawAspect="Content" ObjectID="_1468075726" r:id="rId17">
            <o:LinkType>EnhancedMetaFile</o:LinkType>
            <o:LockedField>false</o:LockedField>
          </o:OLEObject>
        </w:object>
      </w:r>
      <w:r>
        <w:rPr>
          <w:rFonts w:hint="eastAsia" w:hAnsi="宋体" w:cs="宋体"/>
          <w:color w:val="auto"/>
          <w:kern w:val="0"/>
          <w:sz w:val="32"/>
          <w:szCs w:val="32"/>
          <w:highlight w:val="none"/>
          <w:shd w:val="clear" w:color="auto" w:fill="FFFFFF"/>
          <w:lang w:val="zh-CN"/>
        </w:rPr>
        <w:object>
          <v:shape id="_x0000_i1027" o:spt="75" type="#_x0000_t75" style="height:663.1pt;width:444.7pt;" o:ole="t" filled="f" o:preferrelative="t" stroked="f" coordsize="21600,21600">
            <v:path/>
            <v:fill on="f" focussize="0,0"/>
            <v:stroke on="f"/>
            <v:imagedata r:id="rId18" o:title=""/>
            <o:lock v:ext="edit" aspectratio="t"/>
            <w10:wrap type="none"/>
            <w10:anchorlock/>
          </v:shape>
          <o:OLEObject Type="Link" ProgID="Excel.Sheet.12" ShapeID="_x0000_i1027" UpdateMode="Always" DrawAspect="Content" ObjectID="_1468075727" r:id="rId19">
            <o:LinkType>EnhancedMetaFile</o:LinkType>
            <o:LockedField>false</o:LockedField>
          </o:OLEObject>
        </w:object>
      </w:r>
    </w:p>
    <w:p>
      <w:pPr>
        <w:pStyle w:val="2"/>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object>
          <v:shape id="_x0000_i1028" o:spt="75" type="#_x0000_t75" style="height:642.95pt;width:445.55pt;" o:ole="t" filled="f" o:preferrelative="t" stroked="f" coordsize="21600,21600">
            <v:path/>
            <v:fill on="f" focussize="0,0"/>
            <v:stroke on="f"/>
            <v:imagedata r:id="rId20" o:title=""/>
            <o:lock v:ext="edit" aspectratio="t"/>
            <w10:wrap type="none"/>
            <w10:anchorlock/>
          </v:shape>
          <o:OLEObject Type="Link" ProgID="Excel.Sheet.12" ShapeID="_x0000_i1028" UpdateMode="Always" DrawAspect="Content" ObjectID="_1468075728" r:id="rId21">
            <o:LinkType>EnhancedMetaFile</o:LinkType>
            <o:LockedField>false</o:LockedField>
          </o:OLEObject>
        </w:object>
      </w:r>
    </w:p>
    <w:p>
      <w:pPr>
        <w:pStyle w:val="2"/>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object>
          <v:shape id="_x0000_i1029" o:spt="75" type="#_x0000_t75" style="height:678pt;width:448.4pt;" o:ole="t" filled="f" o:preferrelative="t" stroked="f" coordsize="21600,21600">
            <v:path/>
            <v:fill on="f" focussize="0,0"/>
            <v:stroke on="f"/>
            <v:imagedata r:id="rId22" o:title=""/>
            <o:lock v:ext="edit" aspectratio="t"/>
            <w10:wrap type="none"/>
            <w10:anchorlock/>
          </v:shape>
          <o:OLEObject Type="Link" ProgID="Excel.Sheet.12" ShapeID="_x0000_i1029" UpdateMode="Always" DrawAspect="Content" ObjectID="_1468075729" r:id="rId23">
            <o:LinkType>EnhancedMetaFile</o:LinkType>
            <o:LockedField>false</o:LockedField>
          </o:OLEObject>
        </w:object>
      </w:r>
      <w:r>
        <w:rPr>
          <w:rFonts w:hint="eastAsia" w:hAnsi="宋体" w:cs="宋体"/>
          <w:color w:val="auto"/>
          <w:kern w:val="0"/>
          <w:sz w:val="32"/>
          <w:szCs w:val="32"/>
          <w:highlight w:val="none"/>
          <w:shd w:val="clear" w:color="auto" w:fill="FFFFFF"/>
          <w:lang w:val="zh-CN"/>
        </w:rPr>
        <w:object>
          <v:shape id="_x0000_i1030" o:spt="75" type="#_x0000_t75" style="height:658.5pt;width:446.4pt;" o:ole="t" filled="f" o:preferrelative="t" stroked="f" coordsize="21600,21600">
            <v:path/>
            <v:fill on="f" focussize="0,0"/>
            <v:stroke on="f"/>
            <v:imagedata r:id="rId24" o:title=""/>
            <o:lock v:ext="edit" aspectratio="t"/>
            <w10:wrap type="none"/>
            <w10:anchorlock/>
          </v:shape>
          <o:OLEObject Type="Link" ProgID="Excel.Sheet.12" ShapeID="_x0000_i1030" UpdateMode="Always" DrawAspect="Content" ObjectID="_1468075730" r:id="rId25">
            <o:LinkType>EnhancedMetaFile</o:LinkType>
            <o:LockedField>false</o:LockedField>
          </o:OLEObject>
        </w:object>
      </w:r>
    </w:p>
    <w:p>
      <w:pPr>
        <w:pStyle w:val="2"/>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object>
          <v:shape id="_x0000_i1031" o:spt="75" type="#_x0000_t75" style="height:663.05pt;width:447.65pt;" o:ole="t" filled="f" o:preferrelative="t" stroked="f" coordsize="21600,21600">
            <v:path/>
            <v:fill on="f" focussize="0,0"/>
            <v:stroke on="f"/>
            <v:imagedata r:id="rId26" o:title=""/>
            <o:lock v:ext="edit" aspectratio="t"/>
            <w10:wrap type="none"/>
            <w10:anchorlock/>
          </v:shape>
          <o:OLEObject Type="Link" ProgID="Excel.Sheet.12" ShapeID="_x0000_i1031" UpdateMode="Always" DrawAspect="Content" ObjectID="_1468075731" r:id="rId27">
            <o:LinkType>EnhancedMetaFile</o:LinkType>
            <o:LockedField>false</o:LockedField>
          </o:OLEObject>
        </w:object>
      </w:r>
    </w:p>
    <w:p>
      <w:pPr>
        <w:pStyle w:val="2"/>
        <w:rPr>
          <w:rFonts w:hint="eastAsia" w:hAnsi="宋体" w:cs="宋体"/>
          <w:color w:val="auto"/>
          <w:kern w:val="0"/>
          <w:sz w:val="32"/>
          <w:szCs w:val="32"/>
          <w:highlight w:val="none"/>
          <w:shd w:val="clear" w:color="auto" w:fill="FFFFFF"/>
          <w:lang w:val="zh-CN"/>
        </w:rPr>
      </w:pPr>
    </w:p>
    <w:p>
      <w:pPr>
        <w:spacing w:line="600" w:lineRule="exact"/>
        <w:jc w:val="center"/>
        <w:outlineLvl w:val="0"/>
        <w:rPr>
          <w:rFonts w:hint="eastAsia" w:ascii="仿宋" w:hAnsi="仿宋" w:eastAsia="仿宋"/>
          <w:b w:val="0"/>
          <w:color w:val="auto"/>
          <w:highlight w:val="none"/>
        </w:rPr>
      </w:pPr>
      <w:bookmarkStart w:id="73" w:name="_Toc15396618"/>
      <w:bookmarkStart w:id="74" w:name="_Toc24983"/>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68"/>
      <w:bookmarkEnd w:id="73"/>
      <w:bookmarkEnd w:id="74"/>
      <w:bookmarkStart w:id="75" w:name="_Toc15396619"/>
    </w:p>
    <w:p>
      <w:pPr>
        <w:pStyle w:val="4"/>
        <w:rPr>
          <w:rFonts w:ascii="仿宋" w:hAnsi="仿宋" w:eastAsia="仿宋"/>
          <w:color w:val="auto"/>
          <w:highlight w:val="none"/>
        </w:rPr>
      </w:pPr>
      <w:bookmarkStart w:id="76" w:name="_Toc1770"/>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75"/>
      <w:bookmarkEnd w:id="76"/>
    </w:p>
    <w:p>
      <w:pPr>
        <w:pStyle w:val="4"/>
        <w:rPr>
          <w:rFonts w:ascii="仿宋" w:hAnsi="仿宋" w:eastAsia="仿宋"/>
          <w:color w:val="auto"/>
          <w:highlight w:val="none"/>
        </w:rPr>
      </w:pPr>
      <w:bookmarkStart w:id="77" w:name="_Toc15396620"/>
      <w:bookmarkStart w:id="78" w:name="_Toc18123"/>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77"/>
      <w:bookmarkEnd w:id="78"/>
    </w:p>
    <w:p>
      <w:pPr>
        <w:pStyle w:val="4"/>
        <w:rPr>
          <w:rFonts w:ascii="仿宋" w:hAnsi="仿宋" w:eastAsia="仿宋"/>
          <w:color w:val="auto"/>
          <w:highlight w:val="none"/>
        </w:rPr>
      </w:pPr>
      <w:bookmarkStart w:id="79" w:name="_Toc9099"/>
      <w:bookmarkStart w:id="80"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79"/>
      <w:bookmarkEnd w:id="80"/>
    </w:p>
    <w:p>
      <w:pPr>
        <w:pStyle w:val="4"/>
        <w:rPr>
          <w:rFonts w:ascii="仿宋" w:hAnsi="仿宋" w:eastAsia="仿宋"/>
          <w:b w:val="0"/>
          <w:color w:val="auto"/>
          <w:highlight w:val="none"/>
        </w:rPr>
      </w:pPr>
      <w:bookmarkStart w:id="81" w:name="_Toc29781"/>
      <w:bookmarkStart w:id="82" w:name="_Toc1539662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81"/>
      <w:bookmarkEnd w:id="82"/>
    </w:p>
    <w:p>
      <w:pPr>
        <w:pStyle w:val="4"/>
        <w:rPr>
          <w:rStyle w:val="21"/>
          <w:rFonts w:ascii="仿宋" w:hAnsi="仿宋" w:eastAsia="仿宋"/>
          <w:b w:val="0"/>
          <w:bCs w:val="0"/>
          <w:color w:val="auto"/>
          <w:highlight w:val="none"/>
        </w:rPr>
      </w:pPr>
      <w:bookmarkStart w:id="83" w:name="_Toc15396623"/>
      <w:bookmarkStart w:id="84" w:name="_Toc22595"/>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83"/>
      <w:bookmarkEnd w:id="84"/>
      <w:bookmarkStart w:id="85" w:name="_Toc15396624"/>
    </w:p>
    <w:p>
      <w:pPr>
        <w:pStyle w:val="4"/>
        <w:rPr>
          <w:rFonts w:ascii="仿宋" w:hAnsi="仿宋" w:eastAsia="仿宋"/>
          <w:color w:val="auto"/>
          <w:highlight w:val="none"/>
        </w:rPr>
      </w:pPr>
      <w:bookmarkStart w:id="86" w:name="_Toc18246"/>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85"/>
      <w:bookmarkEnd w:id="86"/>
    </w:p>
    <w:p>
      <w:pPr>
        <w:pStyle w:val="4"/>
        <w:rPr>
          <w:rFonts w:ascii="仿宋" w:hAnsi="仿宋" w:eastAsia="仿宋"/>
          <w:color w:val="auto"/>
          <w:highlight w:val="none"/>
        </w:rPr>
      </w:pPr>
      <w:bookmarkStart w:id="87" w:name="_Toc4294"/>
      <w:bookmarkStart w:id="88" w:name="_Toc1539662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87"/>
      <w:bookmarkEnd w:id="88"/>
    </w:p>
    <w:p>
      <w:pPr>
        <w:pStyle w:val="4"/>
        <w:rPr>
          <w:rFonts w:ascii="仿宋" w:hAnsi="仿宋" w:eastAsia="仿宋"/>
          <w:color w:val="auto"/>
          <w:highlight w:val="none"/>
        </w:rPr>
      </w:pPr>
      <w:bookmarkStart w:id="89" w:name="_Toc15396626"/>
      <w:bookmarkStart w:id="90" w:name="_Toc31708"/>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89"/>
      <w:bookmarkEnd w:id="90"/>
    </w:p>
    <w:p>
      <w:pPr>
        <w:pStyle w:val="4"/>
        <w:rPr>
          <w:rFonts w:ascii="仿宋" w:hAnsi="仿宋" w:eastAsia="仿宋"/>
          <w:color w:val="auto"/>
          <w:highlight w:val="none"/>
        </w:rPr>
      </w:pPr>
      <w:bookmarkStart w:id="91" w:name="_Toc588"/>
      <w:bookmarkStart w:id="92"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91"/>
      <w:bookmarkEnd w:id="92"/>
    </w:p>
    <w:p>
      <w:pPr>
        <w:pStyle w:val="4"/>
        <w:rPr>
          <w:rFonts w:ascii="仿宋" w:hAnsi="仿宋" w:eastAsia="仿宋"/>
          <w:color w:val="auto"/>
          <w:highlight w:val="none"/>
        </w:rPr>
      </w:pPr>
      <w:bookmarkStart w:id="93" w:name="_Toc15396628"/>
      <w:bookmarkStart w:id="94" w:name="_Toc31894"/>
      <w:r>
        <w:rPr>
          <w:rStyle w:val="21"/>
          <w:rFonts w:hint="eastAsia" w:ascii="仿宋" w:hAnsi="仿宋" w:eastAsia="仿宋"/>
          <w:b w:val="0"/>
          <w:bCs w:val="0"/>
          <w:color w:val="auto"/>
          <w:highlight w:val="none"/>
        </w:rPr>
        <w:t>十、</w:t>
      </w:r>
      <w:bookmarkEnd w:id="93"/>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94"/>
    </w:p>
    <w:p>
      <w:pPr>
        <w:pStyle w:val="4"/>
        <w:rPr>
          <w:rFonts w:ascii="仿宋" w:hAnsi="仿宋" w:eastAsia="仿宋"/>
          <w:color w:val="auto"/>
          <w:highlight w:val="none"/>
        </w:rPr>
      </w:pPr>
      <w:bookmarkStart w:id="95" w:name="_Toc15396629"/>
      <w:bookmarkStart w:id="96" w:name="_Toc30423"/>
      <w:r>
        <w:rPr>
          <w:rStyle w:val="21"/>
          <w:rFonts w:hint="eastAsia" w:ascii="仿宋" w:hAnsi="仿宋" w:eastAsia="仿宋"/>
          <w:b w:val="0"/>
          <w:bCs w:val="0"/>
          <w:color w:val="auto"/>
          <w:highlight w:val="none"/>
        </w:rPr>
        <w:t>十一、</w:t>
      </w:r>
      <w:bookmarkEnd w:id="95"/>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96"/>
    </w:p>
    <w:p>
      <w:pPr>
        <w:pStyle w:val="4"/>
        <w:rPr>
          <w:rFonts w:ascii="仿宋" w:hAnsi="仿宋" w:eastAsia="仿宋"/>
          <w:color w:val="auto"/>
          <w:highlight w:val="none"/>
        </w:rPr>
      </w:pPr>
      <w:bookmarkStart w:id="97" w:name="_Toc15396630"/>
      <w:bookmarkStart w:id="98" w:name="_Toc22252"/>
      <w:r>
        <w:rPr>
          <w:rStyle w:val="21"/>
          <w:rFonts w:hint="eastAsia" w:ascii="仿宋" w:hAnsi="仿宋" w:eastAsia="仿宋"/>
          <w:b w:val="0"/>
          <w:bCs w:val="0"/>
          <w:color w:val="auto"/>
          <w:highlight w:val="none"/>
        </w:rPr>
        <w:t>十二、</w:t>
      </w:r>
      <w:bookmarkEnd w:id="97"/>
      <w:r>
        <w:rPr>
          <w:rStyle w:val="21"/>
          <w:rFonts w:hint="eastAsia" w:ascii="仿宋" w:hAnsi="仿宋" w:eastAsia="仿宋"/>
          <w:b w:val="0"/>
          <w:bCs w:val="0"/>
          <w:color w:val="auto"/>
          <w:highlight w:val="none"/>
          <w:lang w:eastAsia="zh-CN"/>
        </w:rPr>
        <w:t>国有资本经营预算财政拨款支出决算表</w:t>
      </w:r>
      <w:bookmarkEnd w:id="98"/>
    </w:p>
    <w:p>
      <w:pPr>
        <w:pStyle w:val="4"/>
        <w:rPr>
          <w:rFonts w:hint="eastAsia" w:eastAsia="仿宋"/>
          <w:color w:val="auto"/>
          <w:highlight w:val="none"/>
          <w:lang w:eastAsia="zh-CN"/>
        </w:rPr>
      </w:pPr>
      <w:bookmarkStart w:id="99" w:name="_Toc15396631"/>
      <w:bookmarkStart w:id="100" w:name="_Toc27535"/>
      <w:r>
        <w:rPr>
          <w:rStyle w:val="21"/>
          <w:rFonts w:hint="eastAsia" w:ascii="仿宋" w:hAnsi="仿宋" w:eastAsia="仿宋"/>
          <w:b w:val="0"/>
          <w:bCs w:val="0"/>
          <w:color w:val="auto"/>
          <w:highlight w:val="none"/>
        </w:rPr>
        <w:t>十三、</w:t>
      </w:r>
      <w:bookmarkEnd w:id="99"/>
      <w:r>
        <w:rPr>
          <w:rStyle w:val="21"/>
          <w:rFonts w:hint="eastAsia" w:ascii="仿宋" w:hAnsi="仿宋" w:eastAsia="仿宋"/>
          <w:b w:val="0"/>
          <w:bCs w:val="0"/>
          <w:color w:val="auto"/>
          <w:highlight w:val="none"/>
          <w:lang w:eastAsia="zh-CN"/>
        </w:rPr>
        <w:t>财政拨款“三公”经费支出决算表</w:t>
      </w:r>
      <w:bookmarkEnd w:id="100"/>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7F500"/>
    <w:multiLevelType w:val="singleLevel"/>
    <w:tmpl w:val="8E97F500"/>
    <w:lvl w:ilvl="0" w:tentative="0">
      <w:start w:val="6"/>
      <w:numFmt w:val="decimal"/>
      <w:lvlText w:val="%1."/>
      <w:lvlJc w:val="left"/>
      <w:pPr>
        <w:tabs>
          <w:tab w:val="left" w:pos="312"/>
        </w:tabs>
        <w:ind w:left="-13"/>
      </w:pPr>
    </w:lvl>
  </w:abstractNum>
  <w:abstractNum w:abstractNumId="1">
    <w:nsid w:val="AAC306DC"/>
    <w:multiLevelType w:val="singleLevel"/>
    <w:tmpl w:val="AAC306DC"/>
    <w:lvl w:ilvl="0" w:tentative="0">
      <w:start w:val="1"/>
      <w:numFmt w:val="decimal"/>
      <w:lvlText w:val="%1."/>
      <w:lvlJc w:val="left"/>
      <w:pPr>
        <w:tabs>
          <w:tab w:val="left" w:pos="312"/>
        </w:tabs>
      </w:pPr>
    </w:lvl>
  </w:abstractNum>
  <w:abstractNum w:abstractNumId="2">
    <w:nsid w:val="CD2FF81D"/>
    <w:multiLevelType w:val="singleLevel"/>
    <w:tmpl w:val="CD2FF81D"/>
    <w:lvl w:ilvl="0" w:tentative="0">
      <w:start w:val="2"/>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48F804"/>
    <w:multiLevelType w:val="singleLevel"/>
    <w:tmpl w:val="E248F804"/>
    <w:lvl w:ilvl="0" w:tentative="0">
      <w:start w:val="1"/>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FB521DF0"/>
    <w:multiLevelType w:val="singleLevel"/>
    <w:tmpl w:val="FB521DF0"/>
    <w:lvl w:ilvl="0" w:tentative="0">
      <w:start w:val="17"/>
      <w:numFmt w:val="decimal"/>
      <w:lvlText w:val="%1."/>
      <w:lvlJc w:val="left"/>
      <w:pPr>
        <w:tabs>
          <w:tab w:val="left" w:pos="312"/>
        </w:tabs>
      </w:pPr>
      <w:rPr>
        <w:rFonts w:hint="default" w:ascii="仿宋_GB2312" w:hAnsi="仿宋_GB2312" w:eastAsia="仿宋_GB2312" w:cs="仿宋_GB2312"/>
        <w:sz w:val="32"/>
        <w:szCs w:val="32"/>
      </w:rPr>
    </w:lvl>
  </w:abstractNum>
  <w:abstractNum w:abstractNumId="8">
    <w:nsid w:val="FFF674BC"/>
    <w:multiLevelType w:val="singleLevel"/>
    <w:tmpl w:val="FFF674BC"/>
    <w:lvl w:ilvl="0" w:tentative="0">
      <w:start w:val="1"/>
      <w:numFmt w:val="chineseCounting"/>
      <w:suff w:val="nothing"/>
      <w:lvlText w:val="%1、"/>
      <w:lvlJc w:val="left"/>
      <w:pPr>
        <w:ind w:left="-10"/>
      </w:pPr>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643E8FF"/>
    <w:multiLevelType w:val="singleLevel"/>
    <w:tmpl w:val="2643E8FF"/>
    <w:lvl w:ilvl="0" w:tentative="0">
      <w:start w:val="1"/>
      <w:numFmt w:val="chineseCounting"/>
      <w:suff w:val="nothing"/>
      <w:lvlText w:val="%1、"/>
      <w:lvlJc w:val="left"/>
      <w:rPr>
        <w:rFonts w:hint="eastAsia"/>
      </w:rPr>
    </w:lvl>
  </w:abstractNum>
  <w:abstractNum w:abstractNumId="11">
    <w:nsid w:val="39E610D9"/>
    <w:multiLevelType w:val="singleLevel"/>
    <w:tmpl w:val="39E610D9"/>
    <w:lvl w:ilvl="0" w:tentative="0">
      <w:start w:val="1"/>
      <w:numFmt w:val="decimal"/>
      <w:lvlText w:val="%1."/>
      <w:lvlJc w:val="left"/>
      <w:pPr>
        <w:tabs>
          <w:tab w:val="left" w:pos="312"/>
        </w:tabs>
      </w:pPr>
    </w:lvl>
  </w:abstractNum>
  <w:abstractNum w:abstractNumId="12">
    <w:nsid w:val="55BF94D5"/>
    <w:multiLevelType w:val="singleLevel"/>
    <w:tmpl w:val="55BF94D5"/>
    <w:lvl w:ilvl="0" w:tentative="0">
      <w:start w:val="1"/>
      <w:numFmt w:val="decimal"/>
      <w:lvlText w:val="%1."/>
      <w:lvlJc w:val="left"/>
      <w:pPr>
        <w:tabs>
          <w:tab w:val="left" w:pos="312"/>
        </w:tabs>
        <w:ind w:left="-13"/>
      </w:pPr>
    </w:lvl>
  </w:abstractNum>
  <w:abstractNum w:abstractNumId="13">
    <w:nsid w:val="7E1583B5"/>
    <w:multiLevelType w:val="singleLevel"/>
    <w:tmpl w:val="7E1583B5"/>
    <w:lvl w:ilvl="0" w:tentative="0">
      <w:start w:val="5"/>
      <w:numFmt w:val="decimal"/>
      <w:lvlText w:val="%1."/>
      <w:lvlJc w:val="left"/>
      <w:pPr>
        <w:tabs>
          <w:tab w:val="left" w:pos="312"/>
        </w:tabs>
      </w:pPr>
    </w:lvl>
  </w:abstractNum>
  <w:num w:numId="1">
    <w:abstractNumId w:val="10"/>
  </w:num>
  <w:num w:numId="2">
    <w:abstractNumId w:val="9"/>
  </w:num>
  <w:num w:numId="3">
    <w:abstractNumId w:val="12"/>
  </w:num>
  <w:num w:numId="4">
    <w:abstractNumId w:val="13"/>
  </w:num>
  <w:num w:numId="5">
    <w:abstractNumId w:val="0"/>
  </w:num>
  <w:num w:numId="6">
    <w:abstractNumId w:val="3"/>
  </w:num>
  <w:num w:numId="7">
    <w:abstractNumId w:val="6"/>
  </w:num>
  <w:num w:numId="8">
    <w:abstractNumId w:val="1"/>
  </w:num>
  <w:num w:numId="9">
    <w:abstractNumId w:val="8"/>
  </w:num>
  <w:num w:numId="10">
    <w:abstractNumId w:val="5"/>
  </w:num>
  <w:num w:numId="11">
    <w:abstractNumId w:val="7"/>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ZTI3ODk2YzU4OGZlY2I5NTU3NTkyNGNlMWYyYTEifQ=="/>
  </w:docVars>
  <w:rsids>
    <w:rsidRoot w:val="044805FB"/>
    <w:rsid w:val="044805FB"/>
    <w:rsid w:val="04BC208B"/>
    <w:rsid w:val="05850837"/>
    <w:rsid w:val="05D400DA"/>
    <w:rsid w:val="0926757C"/>
    <w:rsid w:val="09F1085E"/>
    <w:rsid w:val="125F08AF"/>
    <w:rsid w:val="1A714A69"/>
    <w:rsid w:val="1A826E43"/>
    <w:rsid w:val="1E6F0352"/>
    <w:rsid w:val="1EC94745"/>
    <w:rsid w:val="1F2153A3"/>
    <w:rsid w:val="20626519"/>
    <w:rsid w:val="21E52A0E"/>
    <w:rsid w:val="22E85FCD"/>
    <w:rsid w:val="28FF3A59"/>
    <w:rsid w:val="297452C9"/>
    <w:rsid w:val="2C5F11A5"/>
    <w:rsid w:val="31382C1E"/>
    <w:rsid w:val="38FF5082"/>
    <w:rsid w:val="3C961D78"/>
    <w:rsid w:val="3D2A3AB3"/>
    <w:rsid w:val="3F581EC6"/>
    <w:rsid w:val="401C4AD3"/>
    <w:rsid w:val="429B4945"/>
    <w:rsid w:val="4F5C0CAC"/>
    <w:rsid w:val="4F6B522B"/>
    <w:rsid w:val="518F7E35"/>
    <w:rsid w:val="562B6FE0"/>
    <w:rsid w:val="566C201F"/>
    <w:rsid w:val="5A5844E5"/>
    <w:rsid w:val="646619F8"/>
    <w:rsid w:val="688659D7"/>
    <w:rsid w:val="6ADF7DE7"/>
    <w:rsid w:val="6BE453CA"/>
    <w:rsid w:val="6FDC649C"/>
    <w:rsid w:val="76DE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Normal Indent"/>
    <w:basedOn w:val="1"/>
    <w:qFormat/>
    <w:uiPriority w:val="0"/>
    <w:pPr>
      <w:ind w:firstLine="420" w:firstLineChars="200"/>
    </w:pPr>
    <w:rPr>
      <w:rFonts w:ascii="Calibri" w:hAnsi="Calibri" w:eastAsia="仿宋_GB2312"/>
      <w:sz w:val="24"/>
    </w:rPr>
  </w:style>
  <w:style w:type="paragraph" w:styleId="6">
    <w:name w:val="Body Text Indent"/>
    <w:basedOn w:val="1"/>
    <w:qFormat/>
    <w:uiPriority w:val="0"/>
    <w:pPr>
      <w:spacing w:after="120"/>
      <w:ind w:leftChars="200"/>
    </w:pPr>
    <w:rPr>
      <w:rFonts w:ascii="仿宋_GB2312"/>
      <w:szCs w:val="32"/>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Emphasis"/>
    <w:basedOn w:val="16"/>
    <w:qFormat/>
    <w:uiPriority w:val="0"/>
    <w:rPr>
      <w:i/>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customStyle="1" w:styleId="20">
    <w:name w:val="标题 1 Char"/>
    <w:basedOn w:val="16"/>
    <w:link w:val="3"/>
    <w:qFormat/>
    <w:uiPriority w:val="9"/>
    <w:rPr>
      <w:b/>
      <w:bCs/>
      <w:kern w:val="44"/>
      <w:sz w:val="44"/>
      <w:szCs w:val="44"/>
    </w:rPr>
  </w:style>
  <w:style w:type="character" w:customStyle="1" w:styleId="21">
    <w:name w:val="标题 2 Char"/>
    <w:basedOn w:val="16"/>
    <w:link w:val="4"/>
    <w:qFormat/>
    <w:uiPriority w:val="9"/>
    <w:rPr>
      <w:rFonts w:asciiTheme="majorHAnsi" w:hAnsiTheme="majorHAnsi" w:eastAsiaTheme="majorEastAsia" w:cstheme="majorBidi"/>
      <w:b/>
      <w:bCs/>
      <w:sz w:val="32"/>
      <w:szCs w:val="32"/>
    </w:rPr>
  </w:style>
  <w:style w:type="paragraph" w:styleId="22">
    <w:name w:val="List Paragraph"/>
    <w:basedOn w:val="1"/>
    <w:qFormat/>
    <w:uiPriority w:val="34"/>
    <w:pPr>
      <w:ind w:firstLine="420" w:firstLineChars="200"/>
    </w:p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四号正文"/>
    <w:basedOn w:val="1"/>
    <w:qFormat/>
    <w:uiPriority w:val="0"/>
    <w:pPr>
      <w:spacing w:line="360" w:lineRule="auto"/>
    </w:pPr>
    <w:rPr>
      <w:rFonts w:ascii="??" w:hAnsi="??" w:eastAsia="宋体"/>
      <w:color w:val="000000"/>
      <w:kern w:val="0"/>
      <w:sz w:val="28"/>
      <w:szCs w:val="21"/>
      <w:lang w:val="zh-CN" w:eastAsia="zh-CN"/>
    </w:rPr>
  </w:style>
  <w:style w:type="paragraph" w:styleId="25">
    <w:name w:val="Quote"/>
    <w:basedOn w:val="1"/>
    <w:next w:val="1"/>
    <w:qFormat/>
    <w:uiPriority w:val="29"/>
    <w:rPr>
      <w:i/>
      <w:iCs/>
      <w:color w:val="000000"/>
    </w:rPr>
  </w:style>
  <w:style w:type="character" w:customStyle="1" w:styleId="26">
    <w:name w:val="NormalCharacter"/>
    <w:link w:val="27"/>
    <w:qFormat/>
    <w:uiPriority w:val="0"/>
  </w:style>
  <w:style w:type="paragraph" w:customStyle="1" w:styleId="27">
    <w:name w:val="UserStyle_4"/>
    <w:basedOn w:val="28"/>
    <w:next w:val="28"/>
    <w:link w:val="26"/>
    <w:qFormat/>
    <w:uiPriority w:val="0"/>
    <w:pPr>
      <w:spacing w:line="240" w:lineRule="atLeast"/>
      <w:ind w:left="420" w:firstLine="420"/>
      <w:jc w:val="left"/>
    </w:pPr>
  </w:style>
  <w:style w:type="paragraph" w:customStyle="1" w:styleId="28">
    <w:name w:val="UserStyle_5"/>
    <w:qFormat/>
    <w:uiPriority w:val="0"/>
    <w:pPr>
      <w:jc w:val="both"/>
      <w:textAlignment w:val="baseline"/>
    </w:pPr>
    <w:rPr>
      <w:rFonts w:ascii="Calibri" w:hAnsi="Calibri" w:eastAsia="宋体" w:cs="黑体"/>
      <w:kern w:val="2"/>
      <w:sz w:val="21"/>
      <w:szCs w:val="24"/>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oleObject" Target="file:///J:\2022&#24180;&#24230;&#37096;&#38376;&#20915;&#31639;&#20844;&#24320;\&#37096;&#38376;&#39044;&#31639;&#39033;&#30446;&#25903;&#20986;&#32489;&#25928;&#33258;&#35780;&#34920;(1).xlsx!&#33258;&#35780;&#34920;!R168C1:R189C11" TargetMode="External"/><Relationship Id="rId26" Type="http://schemas.openxmlformats.org/officeDocument/2006/relationships/image" Target="media/image8.emf"/><Relationship Id="rId25" Type="http://schemas.openxmlformats.org/officeDocument/2006/relationships/oleObject" Target="file:///J:\2022&#24180;&#24230;&#37096;&#38376;&#20915;&#31639;&#20844;&#24320;\&#37096;&#38376;&#39044;&#31639;&#39033;&#30446;&#25903;&#20986;&#32489;&#25928;&#33258;&#35780;&#34920;(1).xlsx!&#33258;&#35780;&#34920;!R141C1:R167C11" TargetMode="External"/><Relationship Id="rId24" Type="http://schemas.openxmlformats.org/officeDocument/2006/relationships/image" Target="media/image7.emf"/><Relationship Id="rId23" Type="http://schemas.openxmlformats.org/officeDocument/2006/relationships/oleObject" Target="file:///J:\2022&#24180;&#24230;&#37096;&#38376;&#20915;&#31639;&#20844;&#24320;\&#37096;&#38376;&#39044;&#31639;&#39033;&#30446;&#25903;&#20986;&#32489;&#25928;&#33258;&#35780;&#34920;(1).xlsx!&#33258;&#35780;&#34920;!R103C1:R140C11" TargetMode="External"/><Relationship Id="rId22" Type="http://schemas.openxmlformats.org/officeDocument/2006/relationships/image" Target="media/image6.emf"/><Relationship Id="rId21" Type="http://schemas.openxmlformats.org/officeDocument/2006/relationships/oleObject" Target="file:///J:\2022&#24180;&#24230;&#37096;&#38376;&#20915;&#31639;&#20844;&#24320;\&#37096;&#38376;&#39044;&#31639;&#39033;&#30446;&#25903;&#20986;&#32489;&#25928;&#33258;&#35780;&#34920;(1).xlsx!&#33258;&#35780;&#34920;!R83C1:R102C11" TargetMode="External"/><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file:///J:\2022&#24180;&#24230;&#37096;&#38376;&#20915;&#31639;&#20844;&#24320;\&#37096;&#38376;&#39044;&#31639;&#39033;&#30446;&#25903;&#20986;&#32489;&#25928;&#33258;&#35780;&#34920;(1).xlsx!&#33258;&#35780;&#34920;!R57C1:R82C11" TargetMode="External"/><Relationship Id="rId18" Type="http://schemas.openxmlformats.org/officeDocument/2006/relationships/image" Target="media/image4.emf"/><Relationship Id="rId17" Type="http://schemas.openxmlformats.org/officeDocument/2006/relationships/oleObject" Target="file:///J:\2022&#24180;&#24230;&#37096;&#38376;&#20915;&#31639;&#20844;&#24320;\&#37096;&#38376;&#39044;&#31639;&#39033;&#30446;&#25903;&#20986;&#32489;&#25928;&#33258;&#35780;&#34920;(1).xlsx!&#33258;&#35780;&#34920;!R28C1:R56C11" TargetMode="External"/><Relationship Id="rId16" Type="http://schemas.openxmlformats.org/officeDocument/2006/relationships/image" Target="media/image3.emf"/><Relationship Id="rId15" Type="http://schemas.openxmlformats.org/officeDocument/2006/relationships/oleObject" Target="file:///J:\2022&#24180;&#24230;&#37096;&#38376;&#20915;&#31639;&#20844;&#24320;\&#37096;&#38376;&#39044;&#31639;&#39033;&#30446;&#25903;&#20986;&#32489;&#25928;&#33258;&#35780;&#34920;(1).xlsx!&#33258;&#35780;&#34920;!R2C1:R27C11" TargetMode="External"/><Relationship Id="rId14" Type="http://schemas.openxmlformats.org/officeDocument/2006/relationships/image" Target="media/image2.emf"/><Relationship Id="rId13" Type="http://schemas.openxmlformats.org/officeDocument/2006/relationships/image" Target="media/image1.jpe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收、支决算总计变动情况图（万元）</a:t>
            </a:r>
          </a:p>
        </c:rich>
      </c:tx>
      <c:layout/>
      <c:overlay val="0"/>
      <c:spPr>
        <a:noFill/>
        <a:ln>
          <a:noFill/>
        </a:ln>
        <a:effectLst/>
      </c:spPr>
    </c:title>
    <c:autoTitleDeleted val="0"/>
    <c:plotArea>
      <c:layout>
        <c:manualLayout>
          <c:layoutTarget val="inner"/>
          <c:xMode val="edge"/>
          <c:yMode val="edge"/>
          <c:x val="0.0870500120802126"/>
          <c:y val="0.159796005099872"/>
          <c:w val="0.886373520173955"/>
          <c:h val="0.735741606459839"/>
        </c:manualLayout>
      </c:layout>
      <c:barChart>
        <c:barDir val="col"/>
        <c:grouping val="clustered"/>
        <c:varyColors val="0"/>
        <c:ser>
          <c:idx val="0"/>
          <c:order val="0"/>
          <c:tx>
            <c:strRef>
              <c:f>Sheet1!$B$1</c:f>
              <c:strCache>
                <c:ptCount val="1"/>
                <c:pt idx="0">
                  <c:v>2021年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13022.92</c:v>
                </c:pt>
                <c:pt idx="1">
                  <c:v>13022.92</c:v>
                </c:pt>
              </c:numCache>
            </c:numRef>
          </c:val>
        </c:ser>
        <c:ser>
          <c:idx val="1"/>
          <c:order val="1"/>
          <c:tx>
            <c:strRef>
              <c:f>Sheet1!$C$1</c:f>
              <c:strCache>
                <c:ptCount val="1"/>
                <c:pt idx="0">
                  <c:v>2022年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11039.18</c:v>
                </c:pt>
                <c:pt idx="1">
                  <c:v>11039.18</c:v>
                </c:pt>
              </c:numCache>
            </c:numRef>
          </c:val>
        </c:ser>
        <c:ser>
          <c:idx val="2"/>
          <c:order val="2"/>
          <c:tx>
            <c:strRef>
              <c:f>Sheet1!#REF!</c:f>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delete val="1"/>
          </c:dLbls>
          <c:cat>
            <c:strRef>
              <c:f>Sheet1!$A$2:$A$3</c:f>
              <c:strCache>
                <c:ptCount val="2"/>
                <c:pt idx="0">
                  <c:v>总收入</c:v>
                </c:pt>
                <c:pt idx="1">
                  <c:v>总支出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330334769"/>
        <c:axId val="680092138"/>
      </c:barChart>
      <c:catAx>
        <c:axId val="33033476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092138"/>
        <c:crosses val="autoZero"/>
        <c:auto val="1"/>
        <c:lblAlgn val="ctr"/>
        <c:lblOffset val="100"/>
        <c:noMultiLvlLbl val="0"/>
      </c:catAx>
      <c:valAx>
        <c:axId val="680092138"/>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334769"/>
        <c:crosses val="autoZero"/>
        <c:crossBetween val="between"/>
      </c:valAx>
      <c:spPr>
        <a:noFill/>
        <a:ln>
          <a:noFill/>
        </a:ln>
        <a:effectLst/>
      </c:spPr>
    </c:plotArea>
    <c:legend>
      <c:legendPos val="r"/>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manualLayout>
          <c:xMode val="edge"/>
          <c:yMode val="edge"/>
          <c:x val="0.374377353905965"/>
          <c:y val="0.0345067160722557"/>
        </c:manualLayout>
      </c:layout>
      <c:overlay val="0"/>
      <c:spPr>
        <a:noFill/>
        <a:ln>
          <a:noFill/>
        </a:ln>
        <a:effectLst/>
      </c:spPr>
    </c:title>
    <c:autoTitleDeleted val="0"/>
    <c:plotArea>
      <c:layout>
        <c:manualLayout>
          <c:layoutTarget val="inner"/>
          <c:xMode val="edge"/>
          <c:yMode val="edge"/>
          <c:x val="0.13005710120277"/>
          <c:y val="0.220472440944882"/>
          <c:w val="0.405297047746325"/>
          <c:h val="0.772579898100973"/>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88</a:t>
                    </a:r>
                    <a:r>
                      <a:rPr lang="en-US" altLang="zh-CN"/>
                      <a:t>.13</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0503504138984726"/>
                  <c:y val="0.22971447672876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a:t>
                    </a:r>
                    <a:r>
                      <a:rPr lang="en-US" altLang="zh-CN"/>
                      <a:t>1.87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一般公共预算财政拨款收入5941.3万元</c:v>
                </c:pt>
                <c:pt idx="1">
                  <c:v>政府性基金预算财政拨款收入800.81万元</c:v>
                </c:pt>
              </c:strCache>
            </c:strRef>
          </c:cat>
          <c:val>
            <c:numRef>
              <c:f>Sheet1!$B$2:$B$3</c:f>
              <c:numCache>
                <c:formatCode>#,##0.00</c:formatCode>
                <c:ptCount val="2"/>
                <c:pt idx="0">
                  <c:v>5941.3</c:v>
                </c:pt>
                <c:pt idx="1" c:formatCode="General">
                  <c:v>800.81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manualLayout>
          <c:xMode val="edge"/>
          <c:yMode val="edge"/>
          <c:x val="0.374377353905965"/>
          <c:y val="0.0321908290875406"/>
        </c:manualLayout>
      </c:layout>
      <c:overlay val="0"/>
      <c:spPr>
        <a:noFill/>
        <a:ln>
          <a:noFill/>
        </a:ln>
        <a:effectLst/>
      </c:spPr>
    </c:title>
    <c:autoTitleDeleted val="0"/>
    <c:plotArea>
      <c:layout>
        <c:manualLayout>
          <c:layoutTarget val="inner"/>
          <c:xMode val="edge"/>
          <c:yMode val="edge"/>
          <c:x val="0.131272020410643"/>
          <c:y val="0.220472440944881"/>
          <c:w val="0.405297047746325"/>
          <c:h val="0.772579898100973"/>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365899943466905"/>
                  <c:y val="0.19759696313854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9.62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90</a:t>
                    </a:r>
                    <a:r>
                      <a:rPr lang="en-US" altLang="zh-CN"/>
                      <a:t>.38</a:t>
                    </a:r>
                    <a:r>
                      <a:t>%</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基本支出1,061.55万元</c:v>
                </c:pt>
                <c:pt idx="1">
                  <c:v>项目支出9,977.63万元</c:v>
                </c:pt>
              </c:strCache>
            </c:strRef>
          </c:cat>
          <c:val>
            <c:numRef>
              <c:f>Sheet1!$B$2:$B$3</c:f>
              <c:numCache>
                <c:formatCode>#,##0.00</c:formatCode>
                <c:ptCount val="2"/>
                <c:pt idx="0">
                  <c:v>1061.55</c:v>
                </c:pt>
                <c:pt idx="1">
                  <c:v>9977.63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6626169359738"/>
          <c:y val="0.1453219082908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#,##0.00</c:formatCode>
                <c:ptCount val="2"/>
                <c:pt idx="0">
                  <c:v>11039.18</c:v>
                </c:pt>
                <c:pt idx="1">
                  <c:v>11039.18</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13022.92</c:v>
                </c:pt>
                <c:pt idx="1">
                  <c:v>13022.92</c:v>
                </c:pt>
              </c:numCache>
            </c:numRef>
          </c:val>
        </c:ser>
        <c:dLbls>
          <c:showLegendKey val="0"/>
          <c:showVal val="1"/>
          <c:showCatName val="0"/>
          <c:showSerName val="0"/>
          <c:showPercent val="0"/>
          <c:showBubbleSize val="0"/>
        </c:dLbls>
        <c:gapWidth val="150"/>
        <c:overlap val="-25"/>
        <c:axId val="790328396"/>
        <c:axId val="919084943"/>
      </c:barChart>
      <c:catAx>
        <c:axId val="7903283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084943"/>
        <c:crosses val="autoZero"/>
        <c:auto val="1"/>
        <c:lblAlgn val="ctr"/>
        <c:lblOffset val="100"/>
        <c:noMultiLvlLbl val="0"/>
      </c:catAx>
      <c:valAx>
        <c:axId val="919084943"/>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032839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总支出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Sheet1!$B$2:$C$2</c:f>
              <c:numCache>
                <c:formatCode>General</c:formatCode>
                <c:ptCount val="2"/>
                <c:pt idx="0">
                  <c:v>4456.54</c:v>
                </c:pt>
                <c:pt idx="1" c:formatCode="#,##0.00">
                  <c:v>11039.18</c:v>
                </c:pt>
              </c:numCache>
            </c:numRef>
          </c:val>
        </c:ser>
        <c:ser>
          <c:idx val="1"/>
          <c:order val="1"/>
          <c:tx>
            <c:strRef>
              <c:f>Sheet1!$A$3</c:f>
              <c:strCache>
                <c:ptCount val="1"/>
                <c:pt idx="0">
                  <c:v>一般公共预算财政拨款支出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Sheet1!$B$3:$C$3</c:f>
              <c:numCache>
                <c:formatCode>General</c:formatCode>
                <c:ptCount val="2"/>
                <c:pt idx="0">
                  <c:v>3594.48</c:v>
                </c:pt>
                <c:pt idx="1" c:formatCode="#,##0.00">
                  <c:v>10110.116752</c:v>
                </c:pt>
              </c:numCache>
            </c:numRef>
          </c:val>
        </c:ser>
        <c:dLbls>
          <c:showLegendKey val="0"/>
          <c:showVal val="1"/>
          <c:showCatName val="0"/>
          <c:showSerName val="0"/>
          <c:showPercent val="0"/>
          <c:showBubbleSize val="0"/>
        </c:dLbls>
        <c:gapWidth val="246"/>
        <c:overlap val="-28"/>
        <c:axId val="742397035"/>
        <c:axId val="999994022"/>
      </c:barChart>
      <c:catAx>
        <c:axId val="74239703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9994022"/>
        <c:crosses val="autoZero"/>
        <c:auto val="1"/>
        <c:lblAlgn val="ctr"/>
        <c:lblOffset val="100"/>
        <c:noMultiLvlLbl val="0"/>
      </c:catAx>
      <c:valAx>
        <c:axId val="999994022"/>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3970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160000" scaled="1"/>
                </a:gradFill>
              </a:ln>
              <a:effectLst/>
            </c:spPr>
          </c:dPt>
          <c:dPt>
            <c:idx val="1"/>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160000" scaled="1"/>
                </a:gradFill>
              </a:ln>
              <a:effectLst/>
            </c:spPr>
          </c:dPt>
          <c:dPt>
            <c:idx val="2"/>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Pt>
            <c:idx val="3"/>
            <c:bubble3D val="0"/>
            <c:spPr>
              <a:gradFill>
                <a:gsLst>
                  <a:gs pos="0">
                    <a:schemeClr val="accent6">
                      <a:lumMod val="60000"/>
                      <a:hueOff val="-1670000"/>
                    </a:schemeClr>
                  </a:gs>
                  <a:gs pos="100000">
                    <a:schemeClr val="accent6">
                      <a:lumMod val="60000"/>
                    </a:schemeClr>
                  </a:gs>
                </a:gsLst>
                <a:lin ang="5400000" scaled="0"/>
              </a:gradFill>
              <a:ln>
                <a:gradFill>
                  <a:gsLst>
                    <a:gs pos="0">
                      <a:schemeClr val="accent6">
                        <a:lumMod val="60000"/>
                        <a:lumMod val="75000"/>
                        <a:hueOff val="-1670000"/>
                      </a:schemeClr>
                    </a:gs>
                    <a:gs pos="100000">
                      <a:schemeClr val="accent6">
                        <a:lumMod val="60000"/>
                        <a:lumMod val="75000"/>
                      </a:schemeClr>
                    </a:gs>
                  </a:gsLst>
                  <a:lin ang="5160000" scaled="1"/>
                </a:gradFill>
              </a:ln>
              <a:effectLst/>
            </c:spPr>
          </c:dPt>
          <c:dLbls>
            <c:dLbl>
              <c:idx val="0"/>
              <c:layout>
                <c:manualLayout>
                  <c:x val="0.0572596497466024"/>
                  <c:y val="0.10913205537680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a:t>
                    </a:r>
                    <a:r>
                      <a:rPr lang="en-US" altLang="zh-CN"/>
                      <a:t>.02</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0560527445515372"/>
                  <c:y val="0.29479055732923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0.28</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373284150033372"/>
                  <c:y val="0.15386048988159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98</a:t>
                    </a:r>
                    <a:r>
                      <a:rPr lang="en-US" altLang="zh-CN"/>
                      <a:t>.01</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3"/>
              <c:layout>
                <c:manualLayout>
                  <c:x val="0.0525483668280231"/>
                  <c:y val="0.17444976925681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0.69</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社会保障和就业支出103.51万元</c:v>
                </c:pt>
                <c:pt idx="1">
                  <c:v>卫生健康支出28.04万元</c:v>
                </c:pt>
                <c:pt idx="2">
                  <c:v>农林水支出支出9909.03万元</c:v>
                </c:pt>
                <c:pt idx="3">
                  <c:v>住房保障支出69.54万元</c:v>
                </c:pt>
              </c:strCache>
            </c:strRef>
          </c:cat>
          <c:val>
            <c:numRef>
              <c:f>Sheet1!$B$2:$B$5</c:f>
              <c:numCache>
                <c:formatCode>General</c:formatCode>
                <c:ptCount val="4"/>
                <c:pt idx="0">
                  <c:v>103.51</c:v>
                </c:pt>
                <c:pt idx="1">
                  <c:v>28.04</c:v>
                </c:pt>
                <c:pt idx="2">
                  <c:v>9909.03</c:v>
                </c:pt>
                <c:pt idx="3">
                  <c:v>69.54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chemeClr val="accent6"/>
              </a:solidFill>
              <a:ln>
                <a:noFill/>
              </a:ln>
              <a:effectLst>
                <a:outerShdw blurRad="254000" sx="102000" sy="102000" algn="ctr" rotWithShape="0">
                  <a:prstClr val="black">
                    <a:alpha val="20000"/>
                  </a:prstClr>
                </a:outerShdw>
              </a:effectLst>
            </c:spPr>
          </c:dPt>
          <c:dLbls>
            <c:dLbl>
              <c:idx val="2"/>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4.34万元, 100%</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4.34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72000">
          <a:srgbClr val="DFDFDF">
            <a:alpha val="100000"/>
          </a:srgbClr>
        </a:gs>
        <a:gs pos="19000">
          <a:srgbClr val="FFFFFF">
            <a:alpha val="100000"/>
          </a:srgbClr>
        </a:gs>
        <a:gs pos="0">
          <a:schemeClr val="lt1"/>
        </a:gs>
        <a:gs pos="39000">
          <a:schemeClr val="lt1"/>
        </a:gs>
        <a:gs pos="88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天马/ws行空</cp:lastModifiedBy>
  <cp:lastPrinted>2023-10-20T03:32:00Z</cp:lastPrinted>
  <dcterms:modified xsi:type="dcterms:W3CDTF">2023-10-27T01:49:35Z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EF52C4BA0BA74CECB3B4FA0B75C44F77</vt:lpwstr>
  </property>
</Properties>
</file>