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FB1F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峨边恒安矿业有限公司 </w:t>
      </w:r>
    </w:p>
    <w:p w14:paraId="52AB3AC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“7・21”爆破事故一般生产安全事故</w:t>
      </w:r>
    </w:p>
    <w:p w14:paraId="4F3AD6BD">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评估报告</w:t>
      </w:r>
    </w:p>
    <w:p w14:paraId="7B52398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548462BD">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依据四川省安委办《关于印发四川省安全生产事故防范和整改措施落实情况评估实施办法的通知》（川安委〔2021〕11号）有关规定，峨边彝族自治县安委办牵头成立评估组，对2025年峨边恒安矿业有限公司“7・21”爆破事故一般生产安全事故防范和整改措施落实情况进行评估，现报告如下。</w:t>
      </w:r>
    </w:p>
    <w:p w14:paraId="1E23AD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一、总体情况</w:t>
      </w:r>
    </w:p>
    <w:p w14:paraId="09ACC7E5">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2025年7月21日，峨边恒安矿业有限公司五渡长石矿</w:t>
      </w:r>
      <w:bookmarkStart w:id="0" w:name="_GoBack"/>
      <w:bookmarkEnd w:id="0"/>
      <w:r>
        <w:rPr>
          <w:rFonts w:hint="eastAsia" w:ascii="仿宋_GB2312" w:hAnsi="仿宋_GB2312" w:eastAsia="仿宋_GB2312" w:cs="仿宋_GB2312"/>
          <w:kern w:val="2"/>
          <w:sz w:val="32"/>
          <w:szCs w:val="28"/>
          <w:lang w:val="en-US" w:eastAsia="zh-CN" w:bidi="ar-SA"/>
        </w:rPr>
        <w:t>+675m平台工作面发生爆破事故，造成1人死亡。事故发生后，峨边彝族自治县人民政府依法组成事故调查组开展事故调查，事故调查报告经县政府批复后依法进行了公开。近期，峨边彝族自治县安委会办公室成立由县应急管理局、相关部门工作人员组成的评估组，对照该起事故调查报告，评估组采取查阅相关文件资料、现场检查、走访核查和听取汇报等方式，对事故责任追究落实情况、事故防范措施落实情况进行了综合评估。</w:t>
      </w:r>
    </w:p>
    <w:p w14:paraId="3408AF8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二、责任追究落实情况</w:t>
      </w:r>
    </w:p>
    <w:p w14:paraId="585595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（一）事故相关企业责任追究落实情况。</w:t>
      </w:r>
    </w:p>
    <w:p w14:paraId="51F505D5">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1.峨边彝族自治县应急管理局依据《中华人民共和国安全生产法》对乐山市沙湾区昌平爆破工程有限公司峨边分公司处人民币500000元（大写：伍拾万元整）罚款的行政处罚。</w:t>
      </w:r>
    </w:p>
    <w:p w14:paraId="3AB4B277">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2.峨边彝族自治县应急管理局依据《中华人民共和国安全生产法》对峨边恒安矿业有限公司处人民币300000元（大写：叁拾万元整）罚款的行政处罚。</w:t>
      </w:r>
    </w:p>
    <w:p w14:paraId="177555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（二）事故相关人员责任追究落实情况。</w:t>
      </w:r>
    </w:p>
    <w:p w14:paraId="10ED9DC0">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峨边彝族自治县应急管理局依据《中华人民共和国安全生产法》对昌平爆破峨边分公司法定代表人刘李惠、安全员艾治明、郑建，恒安矿业主要负责人曾洪、矿长夏利刚分别处以相应罚款。</w:t>
      </w:r>
    </w:p>
    <w:p w14:paraId="03F72A0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三、事故防范和整改措施落实情况</w:t>
      </w:r>
    </w:p>
    <w:p w14:paraId="200EBA74">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（一）深入开展保安全促发展攻坚月行动。</w:t>
      </w:r>
      <w:r>
        <w:rPr>
          <w:rFonts w:hint="eastAsia" w:ascii="仿宋_GB2312" w:hAnsi="仿宋_GB2312" w:eastAsia="仿宋_GB2312" w:cs="仿宋_GB2312"/>
          <w:kern w:val="2"/>
          <w:sz w:val="32"/>
          <w:szCs w:val="28"/>
          <w:lang w:val="en-US" w:eastAsia="zh-CN" w:bidi="ar-SA"/>
        </w:rPr>
        <w:t>县安办牵头开展“保安全促发展攻坚月”行动，对全县矿山、民爆企业全面开展安全隐患排查治理，构建全链条安全责任体系，确保隐患整改闭环。</w:t>
      </w:r>
    </w:p>
    <w:p w14:paraId="6FE1EB17">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（二）加强爆破作业安全管理。</w:t>
      </w:r>
      <w:r>
        <w:rPr>
          <w:rFonts w:hint="eastAsia" w:ascii="仿宋_GB2312" w:hAnsi="仿宋_GB2312" w:eastAsia="仿宋_GB2312" w:cs="仿宋_GB2312"/>
          <w:kern w:val="2"/>
          <w:sz w:val="32"/>
          <w:szCs w:val="28"/>
          <w:lang w:val="en-US" w:eastAsia="zh-CN" w:bidi="ar-SA"/>
        </w:rPr>
        <w:t>县公安局加强矿山爆破作业现场监管，严格监控民爆物品流向，督促涉爆单位落实警戒、清场、起爆确认等爆破安全规程，严查违规爆破行为。</w:t>
      </w:r>
    </w:p>
    <w:p w14:paraId="60B41BC0">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（三）加强警示教育，筑牢安全思想防线。</w:t>
      </w:r>
      <w:r>
        <w:rPr>
          <w:rFonts w:hint="eastAsia" w:ascii="仿宋_GB2312" w:hAnsi="仿宋_GB2312" w:eastAsia="仿宋_GB2312" w:cs="仿宋_GB2312"/>
          <w:kern w:val="2"/>
          <w:sz w:val="32"/>
          <w:szCs w:val="28"/>
          <w:lang w:val="en-US" w:eastAsia="zh-CN" w:bidi="ar-SA"/>
        </w:rPr>
        <w:t>县安办在全县矿山、民爆领域通报该起事故，组织企业开展警示教育大会，深入剖析事故原因，全面排查爆破作业安全隐患，杜绝同类事故重复发生。</w:t>
      </w:r>
    </w:p>
    <w:p w14:paraId="72663F62">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（四）加大外包工程安全管理力度。</w:t>
      </w:r>
      <w:r>
        <w:rPr>
          <w:rFonts w:hint="eastAsia" w:ascii="仿宋_GB2312" w:hAnsi="仿宋_GB2312" w:eastAsia="仿宋_GB2312" w:cs="仿宋_GB2312"/>
          <w:kern w:val="2"/>
          <w:sz w:val="32"/>
          <w:szCs w:val="28"/>
          <w:lang w:val="en-US" w:eastAsia="zh-CN" w:bidi="ar-SA"/>
        </w:rPr>
        <w:t>县安办督促全县矿山企业落实外包安全管理主体责任，将爆破、劳务等外包单位纳入统一管理，开展外包工程安全专项检查，及时整改安全管理漏洞。</w:t>
      </w:r>
    </w:p>
    <w:p w14:paraId="561B21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四、评估组意见</w:t>
      </w:r>
    </w:p>
    <w:p w14:paraId="028DFF8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评估组经综合评估后一致认为，各单位按照县政府批复意见，对有关责任单位及责任人员作出相关处理；事故企业及有关单位汲取事故教训，基本落实了事故调查报告提出的事故防范措施。</w:t>
      </w:r>
    </w:p>
    <w:p w14:paraId="2C6C93D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五、工作建议</w:t>
      </w:r>
    </w:p>
    <w:p w14:paraId="65F4CAAF">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（一）规范外包工程安全管控。</w:t>
      </w:r>
      <w:r>
        <w:rPr>
          <w:rFonts w:hint="eastAsia" w:ascii="仿宋_GB2312" w:hAnsi="仿宋_GB2312" w:eastAsia="仿宋_GB2312" w:cs="仿宋_GB2312"/>
          <w:kern w:val="2"/>
          <w:sz w:val="32"/>
          <w:szCs w:val="28"/>
          <w:lang w:val="en-US" w:eastAsia="zh-CN" w:bidi="ar-SA"/>
        </w:rPr>
        <w:t>督促企业将所有外包单位纳入本单位安全管理体系，实行统一协调、统一培训、统一检查。</w:t>
      </w:r>
    </w:p>
    <w:p w14:paraId="6439310E">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（二）抓实安全培训落地见效。</w:t>
      </w:r>
      <w:r>
        <w:rPr>
          <w:rFonts w:hint="eastAsia" w:ascii="仿宋_GB2312" w:hAnsi="仿宋_GB2312" w:eastAsia="仿宋_GB2312" w:cs="仿宋_GB2312"/>
          <w:kern w:val="2"/>
          <w:sz w:val="32"/>
          <w:szCs w:val="28"/>
          <w:lang w:val="en-US" w:eastAsia="zh-CN" w:bidi="ar-SA"/>
        </w:rPr>
        <w:t>督促企业提升安全培训实效性，重点强化爆破作业人员专业技能培训，将劳务派遣人员全员纳入三级安全教育培训。</w:t>
      </w:r>
    </w:p>
    <w:p w14:paraId="058FC744">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（三）健全协同监管工作机制。</w:t>
      </w:r>
      <w:r>
        <w:rPr>
          <w:rFonts w:hint="eastAsia" w:ascii="仿宋_GB2312" w:hAnsi="仿宋_GB2312" w:eastAsia="仿宋_GB2312" w:cs="仿宋_GB2312"/>
          <w:kern w:val="2"/>
          <w:sz w:val="32"/>
          <w:szCs w:val="28"/>
          <w:lang w:val="en-US" w:eastAsia="zh-CN" w:bidi="ar-SA"/>
        </w:rPr>
        <w:t>督促属地和行业部门压实非煤矿山、民爆物品监管责任，加大现场检查频次，及时消除监管盲区。</w:t>
      </w:r>
    </w:p>
    <w:p w14:paraId="70ED02A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kern w:val="2"/>
          <w:sz w:val="32"/>
          <w:szCs w:val="28"/>
          <w:lang w:val="en-US" w:eastAsia="zh-CN" w:bidi="ar-SA"/>
        </w:rPr>
      </w:pPr>
    </w:p>
    <w:p w14:paraId="5DDEAFB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kern w:val="2"/>
          <w:sz w:val="32"/>
          <w:szCs w:val="28"/>
          <w:lang w:val="en-US" w:eastAsia="zh-CN" w:bidi="ar-SA"/>
        </w:rPr>
      </w:pPr>
    </w:p>
    <w:p w14:paraId="169F5910">
      <w:pPr>
        <w:ind w:firstLine="640" w:firstLineChars="200"/>
        <w:jc w:val="both"/>
        <w:rPr>
          <w:rFonts w:hint="eastAsia" w:ascii="仿宋_GB2312" w:hAnsi="仿宋_GB2312" w:eastAsia="仿宋_GB2312" w:cs="仿宋_GB2312"/>
          <w:kern w:val="2"/>
          <w:sz w:val="32"/>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82C11"/>
    <w:rsid w:val="03E91761"/>
    <w:rsid w:val="069411E8"/>
    <w:rsid w:val="18B65BCE"/>
    <w:rsid w:val="1A6D1019"/>
    <w:rsid w:val="1B582C11"/>
    <w:rsid w:val="33715CFC"/>
    <w:rsid w:val="36371956"/>
    <w:rsid w:val="37636BAA"/>
    <w:rsid w:val="417948DA"/>
    <w:rsid w:val="44B0581C"/>
    <w:rsid w:val="4BF0746F"/>
    <w:rsid w:val="4CA4577B"/>
    <w:rsid w:val="51870AAC"/>
    <w:rsid w:val="538416CB"/>
    <w:rsid w:val="5AD71099"/>
    <w:rsid w:val="67C60008"/>
    <w:rsid w:val="7E7838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 w:type="paragraph" w:customStyle="1" w:styleId="8">
    <w:name w:val="BodyText1I2"/>
    <w:basedOn w:val="9"/>
    <w:qFormat/>
    <w:uiPriority w:val="0"/>
    <w:pPr>
      <w:ind w:firstLine="420" w:firstLineChars="200"/>
    </w:pPr>
  </w:style>
  <w:style w:type="paragraph" w:customStyle="1" w:styleId="9">
    <w:name w:val="BodyTextIndent"/>
    <w:basedOn w:val="1"/>
    <w:next w:val="10"/>
    <w:qFormat/>
    <w:uiPriority w:val="0"/>
    <w:pPr>
      <w:spacing w:after="120"/>
      <w:ind w:left="420" w:leftChars="200"/>
      <w:textAlignment w:val="baseline"/>
    </w:pPr>
    <w:rPr>
      <w:rFonts w:ascii="Calibri" w:hAnsi="Calibri" w:eastAsia="宋体"/>
      <w:szCs w:val="22"/>
    </w:rPr>
  </w:style>
  <w:style w:type="paragraph" w:customStyle="1" w:styleId="10">
    <w:name w:val="NormalIndent"/>
    <w:basedOn w:val="1"/>
    <w:qFormat/>
    <w:uiPriority w:val="0"/>
    <w:pPr>
      <w:ind w:firstLine="420" w:firstLineChars="200"/>
      <w:jc w:val="both"/>
      <w:textAlignment w:val="baseline"/>
    </w:pPr>
    <w:rPr>
      <w:rFonts w:ascii="Calibri" w:hAnsi="Calibri" w:eastAsia="仿宋"/>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501903f8-fdc8-4be4-9944-601ec84a0c03</errorID>
      <errorWord>“7 21”</errorWord>
      <group>L1_Other</group>
      <groupName>其他问题</groupName>
      <ability>L2_Consistency</ability>
      <abilityName>一致性检查</abilityName>
      <candidateList>
        <item>“7・21”</item>
      </candidateList>
      <explain>数字一致性错误，原文事故名称统一为“7・21”，此处表述不一致</explain>
      <paraID>548462BD</paraID>
      <start>96</start>
      <end>102</end>
      <status>modified</status>
      <modifiedWord>“7・21”</modifiedWord>
      <trackRevisions>false</trackRevisions>
    </reviewItem>
  </reviewItems>
  <config/>
</contractReview>
</file>

<file path=customXml/itemProps1.xml><?xml version="1.0" encoding="utf-8"?>
<ds:datastoreItem xmlns:ds="http://schemas.openxmlformats.org/officeDocument/2006/customXml" ds:itemID="{97c2eb26-3ff9-4ec5-93b2-eee3c40fff8b}">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1267</Words>
  <Characters>1296</Characters>
  <Lines>0</Lines>
  <Paragraphs>0</Paragraphs>
  <TotalTime>6</TotalTime>
  <ScaleCrop>false</ScaleCrop>
  <LinksUpToDate>false</LinksUpToDate>
  <CharactersWithSpaces>1297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2026-04-20T02:59:00Z</dcterms:created>
  <dc:creator>一只婷仔</dc:creator>
  <cp:lastModifiedBy>碧云天</cp:lastModifiedBy>
  <dcterms:modified xsi:type="dcterms:W3CDTF">2026-09-11T02:56:30Z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B0ECB38AC7F6429F97E17BCE82B567ED_13</vt:lpwstr>
  </property>
  <property fmtid="{D5CDD505-2E9C-101B-9397-08002B2CF9AE}" pid="4" name="KSOTemplateDocerSaveRecord">
    <vt:lpwstr>eyJoZGlkIjoiNzI2ZGI0OGUzMDAzMzk0YmE1OTYyMDVlZGMwMmYyODYiLCJ1c2VySWQiOiIxMTM5NjM2MTk5In0=</vt:lpwstr>
  </property>
</Properties>
</file>