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3AE4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峨边骏鑫矿业有限责任公司“9</w:t>
      </w:r>
      <w:bookmarkStart w:id="0" w:name="_GoBack"/>
      <w:r>
        <w:rPr>
          <w:rFonts w:hint="eastAsia" w:ascii="方正小标宋简体" w:hAnsi="方正小标宋简体" w:eastAsia="方正小标宋简体" w:cs="方正小标宋简体"/>
          <w:sz w:val="44"/>
          <w:szCs w:val="44"/>
          <w:lang w:val="en-US" w:eastAsia="zh-CN"/>
        </w:rPr>
        <w:t>·</w:t>
      </w:r>
      <w:bookmarkEnd w:id="0"/>
      <w:r>
        <w:rPr>
          <w:rFonts w:hint="eastAsia" w:ascii="方正小标宋简体" w:hAnsi="方正小标宋简体" w:eastAsia="方正小标宋简体" w:cs="方正小标宋简体"/>
          <w:sz w:val="44"/>
          <w:szCs w:val="44"/>
          <w:lang w:val="en-US" w:eastAsia="zh-CN"/>
        </w:rPr>
        <w:t>14”一般生产安全事故评估报告</w:t>
      </w:r>
    </w:p>
    <w:p w14:paraId="03315F2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方正小标宋简体" w:hAnsi="方正小标宋简体" w:eastAsia="方正小标宋简体" w:cs="方正小标宋简体"/>
          <w:sz w:val="44"/>
          <w:szCs w:val="44"/>
          <w:lang w:val="en-US" w:eastAsia="zh-CN"/>
        </w:rPr>
      </w:pPr>
    </w:p>
    <w:p w14:paraId="548462BD">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依据四川省安委办《关于印发四川省安全生产事故防范和整改措施落实情况评估实施办法的通知》（川安委〔2021〕11号）有关规定，峨边彝族自治县安委办牵头成立评估工作小组，对2023年峨边骏鑫矿业有限责任公司“9·14”一般生产安全事故防范和整改措施落实情况进行评估，现报告如下。</w:t>
      </w:r>
    </w:p>
    <w:p w14:paraId="313A8F6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总体情况</w:t>
      </w:r>
    </w:p>
    <w:p w14:paraId="26C478F0">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default" w:ascii="仿宋_GB2312" w:hAnsi="仿宋_GB2312" w:eastAsia="仿宋_GB2312" w:cs="仿宋_GB2312"/>
          <w:kern w:val="2"/>
          <w:sz w:val="32"/>
          <w:szCs w:val="28"/>
          <w:lang w:val="en-US" w:eastAsia="zh-CN" w:bidi="ar-SA"/>
        </w:rPr>
        <w:t>2023年9月14日凌晨3点16分许，峨边骏鑫矿业有限责任公司二号生产线发生一起机械伤害事故，事故造</w:t>
      </w:r>
      <w:r>
        <w:rPr>
          <w:rFonts w:hint="eastAsia" w:ascii="仿宋_GB2312" w:hAnsi="仿宋_GB2312" w:eastAsia="仿宋_GB2312" w:cs="仿宋_GB2312"/>
          <w:kern w:val="2"/>
          <w:sz w:val="32"/>
          <w:szCs w:val="28"/>
          <w:lang w:val="en-US" w:eastAsia="zh-CN" w:bidi="ar-SA"/>
        </w:rPr>
        <w:tab/>
      </w:r>
      <w:r>
        <w:rPr>
          <w:rFonts w:hint="default" w:ascii="仿宋_GB2312" w:hAnsi="仿宋_GB2312" w:eastAsia="仿宋_GB2312" w:cs="仿宋_GB2312"/>
          <w:kern w:val="2"/>
          <w:sz w:val="32"/>
          <w:szCs w:val="28"/>
          <w:lang w:val="en-US" w:eastAsia="zh-CN" w:bidi="ar-SA"/>
        </w:rPr>
        <w:t>成1人死亡</w:t>
      </w:r>
      <w:r>
        <w:rPr>
          <w:rFonts w:hint="eastAsia" w:ascii="仿宋_GB2312" w:hAnsi="仿宋_GB2312" w:eastAsia="仿宋_GB2312" w:cs="仿宋_GB2312"/>
          <w:kern w:val="2"/>
          <w:sz w:val="32"/>
          <w:szCs w:val="28"/>
          <w:lang w:val="en-US" w:eastAsia="zh-CN" w:bidi="ar-SA"/>
        </w:rPr>
        <w:t>。事故发生后，峨边彝族自治县人民政府依法组成事故调查组开展事故调查，事故调查报告经县政府批复后依法进行了公开。近期，峨边彝族自治县安委会办公室成立由县应急管理局、相关部门工作人员组成的评估组，对照该起事故调查报告，评估组采取查阅相关文件资料、现场检查、走访核查和听取汇报等方式，对事故责任追究落实情况、事故防范措施落实情况进行了综合评估。</w:t>
      </w:r>
    </w:p>
    <w:p w14:paraId="58EAEAB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二、责任追究落实情况</w:t>
      </w:r>
    </w:p>
    <w:p w14:paraId="585595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（一）事故相关企业责任追究落实情况。</w:t>
      </w:r>
    </w:p>
    <w:p w14:paraId="2429F901">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峨边彝族自治县应急管理局依据《中华人民共和国安全生产法》对峨边骏鑫矿业有限责任公司处人民币300000元（大写：叁拾万元整）罚款的行政处罚。</w:t>
      </w:r>
    </w:p>
    <w:p w14:paraId="177555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（二）事故相关人员责任追究落实情况。</w:t>
      </w:r>
    </w:p>
    <w:p w14:paraId="10A26446">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峨边彝族自治县应急管理局依据《中华人民共和国安全生产法》对峨边骏鑫矿业有限责任公司主要负责人李冲处人民币19200元（大写：壹万玖仟贰佰元整）罚款的行政处罚。</w:t>
      </w:r>
    </w:p>
    <w:p w14:paraId="22A669C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三、事故防范和整改措施落实情况</w:t>
      </w:r>
    </w:p>
    <w:p w14:paraId="7ADACB92">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kern w:val="2"/>
          <w:sz w:val="32"/>
          <w:szCs w:val="28"/>
          <w:lang w:val="en-US" w:eastAsia="zh-CN" w:bidi="ar-SA"/>
        </w:rPr>
      </w:pPr>
      <w:r>
        <w:rPr>
          <w:rFonts w:hint="eastAsia" w:ascii="楷体_GB2312" w:hAnsi="楷体_GB2312" w:eastAsia="楷体_GB2312" w:cs="楷体_GB2312"/>
          <w:color w:val="auto"/>
          <w:sz w:val="32"/>
          <w:szCs w:val="32"/>
          <w:lang w:val="en-US" w:eastAsia="zh-CN"/>
        </w:rPr>
        <w:t>（一）通报事故，警示教育。 </w:t>
      </w:r>
      <w:r>
        <w:rPr>
          <w:rFonts w:hint="eastAsia" w:ascii="仿宋_GB2312" w:hAnsi="仿宋_GB2312" w:eastAsia="仿宋_GB2312" w:cs="仿宋_GB2312"/>
          <w:sz w:val="32"/>
          <w:szCs w:val="32"/>
          <w:lang w:val="en-US" w:eastAsia="zh-CN"/>
        </w:rPr>
        <w:t>要求辖区企业“举一反三”开展警示教育，并开展皮带输送装置安全隐患专项排查，重点检查危险部位防护装置、急停装置及《皮带输送机安全操作规程》制定与培训情况。县安办已在全县安全生产会议上通报，督促涉及企业建立台账、限期整改闭环。</w:t>
      </w:r>
    </w:p>
    <w:p w14:paraId="01995412">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kern w:val="2"/>
          <w:sz w:val="32"/>
          <w:szCs w:val="28"/>
          <w:lang w:val="en-US" w:eastAsia="zh-CN" w:bidi="ar-SA"/>
        </w:rPr>
      </w:pPr>
      <w:r>
        <w:rPr>
          <w:rFonts w:hint="eastAsia" w:ascii="楷体_GB2312" w:hAnsi="楷体_GB2312" w:eastAsia="楷体_GB2312" w:cs="楷体_GB2312"/>
          <w:color w:val="auto"/>
          <w:sz w:val="32"/>
          <w:szCs w:val="32"/>
          <w:lang w:val="en-US" w:eastAsia="zh-CN"/>
        </w:rPr>
        <w:t>（二）</w:t>
      </w:r>
      <w:r>
        <w:rPr>
          <w:rFonts w:hint="default" w:ascii="楷体_GB2312" w:hAnsi="楷体_GB2312" w:eastAsia="楷体_GB2312" w:cs="楷体_GB2312"/>
          <w:color w:val="auto"/>
          <w:sz w:val="32"/>
          <w:szCs w:val="32"/>
          <w:lang w:val="en-US" w:eastAsia="zh-CN"/>
        </w:rPr>
        <w:t>落实“双防控”，强化管控。</w:t>
      </w:r>
      <w:r>
        <w:rPr>
          <w:rFonts w:hint="default" w:ascii="仿宋_GB2312" w:hAnsi="仿宋_GB2312" w:eastAsia="仿宋_GB2312" w:cs="仿宋_GB2312"/>
          <w:kern w:val="2"/>
          <w:sz w:val="32"/>
          <w:szCs w:val="28"/>
          <w:lang w:val="en-US" w:eastAsia="zh-CN" w:bidi="ar-SA"/>
        </w:rPr>
        <w:t> 督促企业落实风险分析管控与隐患排查治理“双防控”机制，全面辨识生产工艺风险，制定针对性管控措施，对危险性较大设备工序制定《安全操作规程》《现场处置措施》，将隐患排查清单化，并加强培训演练。县安办督促企业建立双重预防机制，完成风险辨识与措施修订，组织全员培训考试合格。</w:t>
      </w:r>
    </w:p>
    <w:p w14:paraId="300AEB4D">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2"/>
          <w:sz w:val="32"/>
          <w:szCs w:val="28"/>
          <w:lang w:val="en-US" w:eastAsia="zh-CN" w:bidi="ar-SA"/>
        </w:rPr>
      </w:pPr>
      <w:r>
        <w:rPr>
          <w:rFonts w:hint="eastAsia" w:ascii="楷体_GB2312" w:hAnsi="楷体_GB2312" w:eastAsia="楷体_GB2312" w:cs="楷体_GB2312"/>
          <w:color w:val="auto"/>
          <w:sz w:val="32"/>
          <w:szCs w:val="32"/>
          <w:lang w:val="en-US" w:eastAsia="zh-CN"/>
        </w:rPr>
        <w:t>（三）优化劳动组织，落实巡检制度。</w:t>
      </w:r>
      <w:r>
        <w:rPr>
          <w:rFonts w:hint="eastAsia" w:ascii="仿宋_GB2312" w:hAnsi="仿宋_GB2312" w:eastAsia="仿宋_GB2312" w:cs="仿宋_GB2312"/>
          <w:kern w:val="2"/>
          <w:sz w:val="32"/>
          <w:szCs w:val="28"/>
          <w:lang w:val="en-US" w:eastAsia="zh-CN" w:bidi="ar-SA"/>
        </w:rPr>
        <w:t> 督促企业合理组织劳动生产，每班均落实1名以上经安全管理知识培训合格的安全生产巡检人员。县安办督促企业优化劳动组织方案，明确每班配置1名及以上经培训考核合格的安全管理人员在岗巡检，建立现场安全巡查记录制度，及时纠正违章作业行为。</w:t>
      </w:r>
    </w:p>
    <w:p w14:paraId="563A53BD">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kern w:val="2"/>
          <w:sz w:val="32"/>
          <w:szCs w:val="28"/>
          <w:lang w:val="en-US" w:eastAsia="zh-CN" w:bidi="ar-SA"/>
        </w:rPr>
      </w:pPr>
      <w:r>
        <w:rPr>
          <w:rFonts w:hint="eastAsia" w:ascii="楷体_GB2312" w:hAnsi="楷体_GB2312" w:eastAsia="楷体_GB2312" w:cs="楷体_GB2312"/>
          <w:color w:val="auto"/>
          <w:sz w:val="32"/>
          <w:szCs w:val="32"/>
          <w:lang w:val="en-US" w:eastAsia="zh-CN"/>
        </w:rPr>
        <w:t>（四）完善视频监控，确保运行有效。</w:t>
      </w:r>
      <w:r>
        <w:rPr>
          <w:rFonts w:hint="eastAsia" w:ascii="仿宋_GB2312" w:hAnsi="仿宋_GB2312" w:eastAsia="仿宋_GB2312" w:cs="仿宋_GB2312"/>
          <w:color w:val="auto"/>
          <w:kern w:val="2"/>
          <w:sz w:val="32"/>
          <w:szCs w:val="28"/>
          <w:lang w:val="en-US" w:eastAsia="zh-CN" w:bidi="ar-SA"/>
        </w:rPr>
        <w:t> 督促企业安装安全生产重点区域的视频监测监控系统，并严格开展该系统的日常运维，确保视频监测监控系统的正常运行。县安办督促企业完成安全生产重点区域视频监控系统检修升级，建立监控系统日常运维台账，落实监控室专人24小时值守制度，确保实时监控、及时发现异常并处置。</w:t>
      </w:r>
    </w:p>
    <w:p w14:paraId="561B217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四、评估组意见</w:t>
      </w:r>
    </w:p>
    <w:p w14:paraId="028DFF8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评估工作组经综合评估后一致认为，各单位按照县政府批复意见，对有关责任单位及责任人员作出相关处理；事故企业及有关单位汲取事故教训，基本落实了事故调查报告提出的事故防范措施。</w:t>
      </w:r>
    </w:p>
    <w:p w14:paraId="26C65F84">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w:t>
      </w:r>
      <w:r>
        <w:rPr>
          <w:rFonts w:hint="default" w:ascii="黑体" w:hAnsi="黑体" w:eastAsia="黑体" w:cs="黑体"/>
          <w:color w:val="auto"/>
          <w:sz w:val="32"/>
          <w:szCs w:val="32"/>
          <w:lang w:val="en-US" w:eastAsia="zh-CN"/>
        </w:rPr>
        <w:t>、</w:t>
      </w:r>
      <w:r>
        <w:rPr>
          <w:rFonts w:hint="eastAsia" w:ascii="黑体" w:hAnsi="黑体" w:eastAsia="黑体" w:cs="黑体"/>
          <w:color w:val="auto"/>
          <w:sz w:val="32"/>
          <w:szCs w:val="32"/>
          <w:lang w:val="en-US" w:eastAsia="zh-CN"/>
        </w:rPr>
        <w:t>工作建议</w:t>
      </w:r>
    </w:p>
    <w:p w14:paraId="78C3C2B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kern w:val="2"/>
          <w:sz w:val="32"/>
          <w:szCs w:val="28"/>
          <w:lang w:val="en-US" w:eastAsia="zh-CN" w:bidi="ar-SA"/>
        </w:rPr>
      </w:pPr>
      <w:r>
        <w:rPr>
          <w:rFonts w:hint="default" w:ascii="楷体_GB2312" w:hAnsi="楷体_GB2312" w:eastAsia="楷体_GB2312" w:cs="楷体_GB2312"/>
          <w:color w:val="auto"/>
          <w:sz w:val="32"/>
          <w:szCs w:val="32"/>
          <w:lang w:val="en-US" w:eastAsia="zh-CN"/>
        </w:rPr>
        <w:t>（一）强化双重预防，实施全周期管控。</w:t>
      </w:r>
      <w:r>
        <w:rPr>
          <w:rFonts w:hint="default" w:ascii="仿宋_GB2312" w:hAnsi="仿宋_GB2312" w:eastAsia="仿宋_GB2312" w:cs="仿宋_GB2312"/>
          <w:color w:val="auto"/>
          <w:kern w:val="2"/>
          <w:sz w:val="32"/>
          <w:szCs w:val="28"/>
          <w:lang w:val="en-US" w:eastAsia="zh-CN" w:bidi="ar-SA"/>
        </w:rPr>
        <w:t> 督促企业持续强化双重预防机制建设，对皮带输送等关键设备实施全生命周期风险管控，每季度更新风险清单，按国家标准配齐防护与急停装置。</w:t>
      </w:r>
    </w:p>
    <w:p w14:paraId="12AE571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kern w:val="2"/>
          <w:sz w:val="32"/>
          <w:szCs w:val="28"/>
          <w:lang w:val="en-US" w:eastAsia="zh-CN" w:bidi="ar-SA"/>
        </w:rPr>
      </w:pPr>
      <w:r>
        <w:rPr>
          <w:rFonts w:hint="default" w:ascii="楷体_GB2312" w:hAnsi="楷体_GB2312" w:eastAsia="楷体_GB2312" w:cs="楷体_GB2312"/>
          <w:color w:val="auto"/>
          <w:sz w:val="32"/>
          <w:szCs w:val="32"/>
          <w:lang w:val="en-US" w:eastAsia="zh-CN"/>
        </w:rPr>
        <w:t>（</w:t>
      </w:r>
      <w:r>
        <w:rPr>
          <w:rFonts w:hint="eastAsia" w:ascii="楷体_GB2312" w:hAnsi="楷体_GB2312" w:eastAsia="楷体_GB2312" w:cs="楷体_GB2312"/>
          <w:color w:val="auto"/>
          <w:sz w:val="32"/>
          <w:szCs w:val="32"/>
          <w:lang w:val="en-US" w:eastAsia="zh-CN"/>
        </w:rPr>
        <w:t>二</w:t>
      </w:r>
      <w:r>
        <w:rPr>
          <w:rFonts w:hint="default" w:ascii="楷体_GB2312" w:hAnsi="楷体_GB2312" w:eastAsia="楷体_GB2312" w:cs="楷体_GB2312"/>
          <w:color w:val="auto"/>
          <w:sz w:val="32"/>
          <w:szCs w:val="32"/>
          <w:lang w:val="en-US" w:eastAsia="zh-CN"/>
        </w:rPr>
        <w:t>）开展靶向培训，补齐班组短板。</w:t>
      </w:r>
      <w:r>
        <w:rPr>
          <w:rFonts w:hint="default" w:ascii="仿宋_GB2312" w:hAnsi="仿宋_GB2312" w:eastAsia="仿宋_GB2312" w:cs="仿宋_GB2312"/>
          <w:color w:val="auto"/>
          <w:kern w:val="2"/>
          <w:sz w:val="32"/>
          <w:szCs w:val="28"/>
          <w:lang w:val="en-US" w:eastAsia="zh-CN" w:bidi="ar-SA"/>
        </w:rPr>
        <w:t> 县安办及行业监管部门督促企业开展“靶向式”安全培训，重点强化设备实操、故障处置、安全规程等内容，补齐班组级培训短板。</w:t>
      </w:r>
      <w:r>
        <w:rPr>
          <w:rFonts w:hint="eastAsia" w:ascii="仿宋_GB2312" w:hAnsi="仿宋_GB2312" w:eastAsia="仿宋_GB2312" w:cs="仿宋_GB2312"/>
          <w:color w:val="auto"/>
          <w:kern w:val="2"/>
          <w:sz w:val="32"/>
          <w:szCs w:val="28"/>
          <w:lang w:val="en-US" w:eastAsia="zh-CN" w:bidi="ar-SA"/>
        </w:rPr>
        <w:t xml:space="preserve">  </w:t>
      </w:r>
    </w:p>
    <w:p w14:paraId="0180FCE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kern w:val="2"/>
          <w:sz w:val="32"/>
          <w:szCs w:val="28"/>
          <w:lang w:val="en-US" w:eastAsia="zh-CN" w:bidi="ar-SA"/>
        </w:rPr>
      </w:pPr>
      <w:r>
        <w:rPr>
          <w:rFonts w:hint="default" w:ascii="楷体_GB2312" w:hAnsi="楷体_GB2312" w:eastAsia="楷体_GB2312" w:cs="楷体_GB2312"/>
          <w:color w:val="auto"/>
          <w:sz w:val="32"/>
          <w:szCs w:val="32"/>
          <w:lang w:val="en-US" w:eastAsia="zh-CN"/>
        </w:rPr>
        <w:t>（</w:t>
      </w:r>
      <w:r>
        <w:rPr>
          <w:rFonts w:hint="eastAsia" w:ascii="楷体_GB2312" w:hAnsi="楷体_GB2312" w:eastAsia="楷体_GB2312" w:cs="楷体_GB2312"/>
          <w:color w:val="auto"/>
          <w:sz w:val="32"/>
          <w:szCs w:val="32"/>
          <w:lang w:val="en-US" w:eastAsia="zh-CN"/>
        </w:rPr>
        <w:t>三</w:t>
      </w:r>
      <w:r>
        <w:rPr>
          <w:rFonts w:hint="default" w:ascii="楷体_GB2312" w:hAnsi="楷体_GB2312" w:eastAsia="楷体_GB2312" w:cs="楷体_GB2312"/>
          <w:color w:val="auto"/>
          <w:sz w:val="32"/>
          <w:szCs w:val="32"/>
          <w:lang w:val="en-US" w:eastAsia="zh-CN"/>
        </w:rPr>
        <w:t>）健全监控运维，提升预警能力。</w:t>
      </w:r>
      <w:r>
        <w:rPr>
          <w:rFonts w:hint="default" w:ascii="仿宋_GB2312" w:hAnsi="仿宋_GB2312" w:eastAsia="仿宋_GB2312" w:cs="仿宋_GB2312"/>
          <w:color w:val="auto"/>
          <w:kern w:val="2"/>
          <w:sz w:val="32"/>
          <w:szCs w:val="28"/>
          <w:lang w:val="en-US" w:eastAsia="zh-CN" w:bidi="ar-SA"/>
        </w:rPr>
        <w:t> 督促企业健全视频监控运维与值守制度，保障系统稳定运行，提升安全监测预警能力。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A5F8C0"/>
    <w:multiLevelType w:val="singleLevel"/>
    <w:tmpl w:val="F8A5F8C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BC276A"/>
    <w:rsid w:val="02E77B44"/>
    <w:rsid w:val="101D6916"/>
    <w:rsid w:val="13F465A9"/>
    <w:rsid w:val="163A7C24"/>
    <w:rsid w:val="19CD6F76"/>
    <w:rsid w:val="1D662557"/>
    <w:rsid w:val="1EAD7001"/>
    <w:rsid w:val="23393EA9"/>
    <w:rsid w:val="2556450D"/>
    <w:rsid w:val="2C797451"/>
    <w:rsid w:val="2DBC276A"/>
    <w:rsid w:val="322C015D"/>
    <w:rsid w:val="3CEB3C84"/>
    <w:rsid w:val="3EAE039F"/>
    <w:rsid w:val="46001285"/>
    <w:rsid w:val="496207D4"/>
    <w:rsid w:val="4D5F2D35"/>
    <w:rsid w:val="53A82F50"/>
    <w:rsid w:val="57A25CD3"/>
    <w:rsid w:val="5A252C10"/>
    <w:rsid w:val="5D3D03A3"/>
    <w:rsid w:val="5E6A3FBE"/>
    <w:rsid w:val="690244CB"/>
    <w:rsid w:val="6A33233D"/>
    <w:rsid w:val="73C90ADE"/>
    <w:rsid w:val="74242EB5"/>
    <w:rsid w:val="7BBD24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公文主体"/>
    <w:basedOn w:val="1"/>
    <w:qFormat/>
    <w:uiPriority w:val="0"/>
    <w:pPr>
      <w:spacing w:line="580" w:lineRule="exact"/>
      <w:ind w:firstLine="200" w:firstLineChars="200"/>
    </w:pPr>
    <w:rPr>
      <w:rFonts w:eastAsia="仿宋_GB2312"/>
      <w:sz w:val="32"/>
    </w:rPr>
  </w:style>
  <w:style w:type="paragraph" w:customStyle="1" w:styleId="5">
    <w:name w:val="BodyText1I2"/>
    <w:basedOn w:val="6"/>
    <w:qFormat/>
    <w:uiPriority w:val="0"/>
    <w:pPr>
      <w:ind w:firstLine="420" w:firstLineChars="200"/>
    </w:pPr>
  </w:style>
  <w:style w:type="paragraph" w:customStyle="1" w:styleId="6">
    <w:name w:val="BodyTextIndent"/>
    <w:basedOn w:val="1"/>
    <w:next w:val="7"/>
    <w:qFormat/>
    <w:uiPriority w:val="0"/>
    <w:pPr>
      <w:spacing w:after="120"/>
      <w:ind w:left="420" w:leftChars="200"/>
      <w:textAlignment w:val="baseline"/>
    </w:pPr>
    <w:rPr>
      <w:rFonts w:ascii="Calibri" w:hAnsi="Calibri" w:eastAsia="宋体"/>
      <w:szCs w:val="22"/>
    </w:rPr>
  </w:style>
  <w:style w:type="paragraph" w:customStyle="1" w:styleId="7">
    <w:name w:val="NormalIndent"/>
    <w:basedOn w:val="1"/>
    <w:qFormat/>
    <w:uiPriority w:val="0"/>
    <w:pPr>
      <w:ind w:firstLine="420" w:firstLineChars="200"/>
      <w:jc w:val="both"/>
      <w:textAlignment w:val="baseline"/>
    </w:pPr>
    <w:rPr>
      <w:rFonts w:ascii="Calibri" w:hAnsi="Calibri" w:eastAsia="仿宋"/>
      <w:kern w:val="2"/>
      <w:sz w:val="32"/>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7184f5f5-dcf4-4b9f-b900-230f1e373966</errorID>
      <errorWord> </errorWord>
      <group>L1_Punc</group>
      <groupName>标点问题</groupName>
      <ability>L2_Punc_CN</ability>
      <abilityName>标点符号问题</abilityName>
      <candidateList>
        <item>·</item>
      </candidateList>
      <explain/>
      <paraID>1E93AE45</paraID>
      <start>14</start>
      <end>15</end>
      <status>ignored</status>
      <modifiedWord/>
      <trackRevisions>false</trackRevisions>
    </reviewItem>
    <reviewItem>
      <errorID>414cc350-2b26-4f74-a6df-a95ff25edf1d</errorID>
      <errorWord> </errorWord>
      <group>L1_Punc</group>
      <groupName>标点问题</groupName>
      <ability>L2_Punc_CN</ability>
      <abilityName>标点符号问题</abilityName>
      <candidateList>
        <item>·</item>
      </candidateList>
      <explain/>
      <paraID>548462BD</paraID>
      <start>103</start>
      <end>104</end>
      <status>ignored</status>
      <modifiedWord/>
      <trackRevisions>false</trackRevisions>
    </reviewItem>
  </reviewItems>
  <config/>
</contractReview>
</file>

<file path=customXml/itemProps1.xml><?xml version="1.0" encoding="utf-8"?>
<ds:datastoreItem xmlns:ds="http://schemas.openxmlformats.org/officeDocument/2006/customXml" ds:itemID="{8d96ca83-6596-45e2-b5e0-cd1a4235271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1439</Words>
  <Characters>1463</Characters>
  <Lines>0</Lines>
  <Paragraphs>0</Paragraphs>
  <TotalTime>8</TotalTime>
  <ScaleCrop>false</ScaleCrop>
  <LinksUpToDate>false</LinksUpToDate>
  <CharactersWithSpaces>1473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2025-04-23T08:36:00Z</dcterms:created>
  <dc:creator>还不错</dc:creator>
  <cp:lastModifiedBy>碧云天</cp:lastModifiedBy>
  <dcterms:modified xsi:type="dcterms:W3CDTF">2026-09-11T03:01:35Z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18FBEC81461848EFAE9DF0C34E8FC1BA_13</vt:lpwstr>
  </property>
  <property fmtid="{D5CDD505-2E9C-101B-9397-08002B2CF9AE}" pid="4" name="KSOTemplateDocerSaveRecord">
    <vt:lpwstr>eyJoZGlkIjoiNzI2ZGI0OGUzMDAzMzk0YmE1OTYyMDVlZGMwMmYyODYiLCJ1c2VySWQiOiIxMTM5NjM2MTk5In0=</vt:lpwstr>
  </property>
</Properties>
</file>