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3AE45">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大渡河龚嘴水电站新建过鱼设施工程项目“3·19”一般生产安全事故评估报告</w:t>
      </w:r>
    </w:p>
    <w:p w14:paraId="7B2B6FF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sz w:val="44"/>
          <w:szCs w:val="44"/>
          <w:lang w:val="en-US" w:eastAsia="zh-CN"/>
        </w:rPr>
      </w:pPr>
    </w:p>
    <w:p w14:paraId="336BB93B">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依据四川省安委办《关于印发四川省安全生产事故防范和整改措施落实情况评估实施办法的通知》（川安委〔2021〕11号）有关规定，峨边彝族自治县安委办牵头成立评估工作小组，对2024年大渡河龚嘴水电站新建过鱼设施工程项目“3</w:t>
      </w:r>
      <w:bookmarkStart w:id="0" w:name="_GoBack"/>
      <w:r>
        <w:rPr>
          <w:rFonts w:hint="eastAsia" w:ascii="仿宋_GB2312" w:hAnsi="仿宋_GB2312" w:eastAsia="仿宋_GB2312" w:cs="仿宋_GB2312"/>
          <w:kern w:val="2"/>
          <w:sz w:val="32"/>
          <w:szCs w:val="28"/>
          <w:lang w:val="en-US" w:eastAsia="zh-CN" w:bidi="ar-SA"/>
        </w:rPr>
        <w:t>·</w:t>
      </w:r>
      <w:bookmarkEnd w:id="0"/>
      <w:r>
        <w:rPr>
          <w:rFonts w:hint="eastAsia" w:ascii="仿宋_GB2312" w:hAnsi="仿宋_GB2312" w:eastAsia="仿宋_GB2312" w:cs="仿宋_GB2312"/>
          <w:kern w:val="2"/>
          <w:sz w:val="32"/>
          <w:szCs w:val="28"/>
          <w:lang w:val="en-US" w:eastAsia="zh-CN" w:bidi="ar-SA"/>
        </w:rPr>
        <w:t>19”一般生产安全事故防范和整改措施落实情况进行评估，现报告如下。</w:t>
      </w:r>
    </w:p>
    <w:p w14:paraId="313A8F64">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总体情况</w:t>
      </w:r>
    </w:p>
    <w:p w14:paraId="4645C727">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default" w:ascii="仿宋_GB2312" w:hAnsi="仿宋_GB2312" w:eastAsia="仿宋_GB2312" w:cs="仿宋_GB2312"/>
          <w:kern w:val="2"/>
          <w:sz w:val="32"/>
          <w:szCs w:val="28"/>
          <w:lang w:val="en-US" w:eastAsia="zh-CN" w:bidi="ar-SA"/>
        </w:rPr>
        <w:t>2024年3月19日，四川大略建设工程有限责任公司在</w:t>
      </w:r>
      <w:r>
        <w:rPr>
          <w:rFonts w:hint="eastAsia" w:ascii="仿宋_GB2312" w:hAnsi="仿宋_GB2312" w:eastAsia="仿宋_GB2312" w:cs="仿宋_GB2312"/>
          <w:kern w:val="2"/>
          <w:sz w:val="32"/>
          <w:szCs w:val="28"/>
          <w:lang w:val="en-US" w:eastAsia="zh-CN" w:bidi="ar-SA"/>
        </w:rPr>
        <w:t>大渡河龚嘴水电站</w:t>
      </w:r>
      <w:r>
        <w:rPr>
          <w:rFonts w:hint="default" w:ascii="仿宋_GB2312" w:hAnsi="仿宋_GB2312" w:eastAsia="仿宋_GB2312" w:cs="仿宋_GB2312"/>
          <w:kern w:val="2"/>
          <w:sz w:val="32"/>
          <w:szCs w:val="28"/>
          <w:lang w:val="en-US" w:eastAsia="zh-CN" w:bidi="ar-SA"/>
        </w:rPr>
        <w:t>新建过鱼设施开展热膨胀剂破岩作业时发生事故</w:t>
      </w:r>
      <w:r>
        <w:rPr>
          <w:rFonts w:hint="eastAsia" w:ascii="仿宋_GB2312" w:hAnsi="仿宋_GB2312" w:eastAsia="仿宋_GB2312" w:cs="仿宋_GB2312"/>
          <w:kern w:val="2"/>
          <w:sz w:val="32"/>
          <w:szCs w:val="28"/>
          <w:lang w:val="en-US" w:eastAsia="zh-CN" w:bidi="ar-SA"/>
        </w:rPr>
        <w:t>，致</w:t>
      </w:r>
      <w:r>
        <w:rPr>
          <w:rFonts w:hint="default" w:ascii="仿宋_GB2312" w:hAnsi="仿宋_GB2312" w:eastAsia="仿宋_GB2312" w:cs="仿宋_GB2312"/>
          <w:kern w:val="2"/>
          <w:sz w:val="32"/>
          <w:szCs w:val="28"/>
          <w:lang w:val="en-US" w:eastAsia="zh-CN" w:bidi="ar-SA"/>
        </w:rPr>
        <w:t>一人死亡</w:t>
      </w:r>
      <w:r>
        <w:rPr>
          <w:rFonts w:hint="eastAsia" w:ascii="仿宋_GB2312" w:hAnsi="仿宋_GB2312" w:eastAsia="仿宋_GB2312" w:cs="仿宋_GB2312"/>
          <w:kern w:val="2"/>
          <w:sz w:val="32"/>
          <w:szCs w:val="28"/>
          <w:lang w:val="en-US" w:eastAsia="zh-CN" w:bidi="ar-SA"/>
        </w:rPr>
        <w:t>，事故发生后，峨边彝族自治县人民政府依法组成事故调查组开展事故调查，事故调查报告经县政府批复后依法进行了公开。近期，峨边彝族自治县安委会办公室成立由县应急管理局、相关部门工作人员组成的评估组，对照该起事故调查报告，评估组采取查阅相关文件资料、现场检查、走访核查和听取汇报等方式，对事故责任追究落实情况、事故防范措施落实情况进行了综合评估。</w:t>
      </w:r>
    </w:p>
    <w:p w14:paraId="58EAEA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二、责任追究落实情况</w:t>
      </w:r>
    </w:p>
    <w:p w14:paraId="23773B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（一）事故相关企业责任追究落实情况。</w:t>
      </w:r>
    </w:p>
    <w:p w14:paraId="2429F901">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峨边彝族自治县应急管理局依据《中华人民共和国安全生产法》对四川大略建设工程有限责任公司处人民币600000元（大写：陆拾万元整）罚款的行政处罚。</w:t>
      </w:r>
    </w:p>
    <w:p w14:paraId="508DC7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（二）事故相关人员责任追究落实情况。</w:t>
      </w:r>
    </w:p>
    <w:p w14:paraId="10A26446">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峨边彝族自治县应急管理局依据《中华人民共和国安全生产法》对四川大略建设工程有限责任公司主要负责人李梁华处人民币54000元（大写：伍万肆仟元整）罚款的行政处罚。</w:t>
      </w:r>
    </w:p>
    <w:p w14:paraId="22A669C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三、事故防范和整改措施落实情况</w:t>
      </w:r>
    </w:p>
    <w:p w14:paraId="7ADACB9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color w:val="auto"/>
          <w:kern w:val="2"/>
          <w:sz w:val="32"/>
          <w:szCs w:val="28"/>
          <w:lang w:val="en-US" w:eastAsia="zh-CN" w:bidi="ar-SA"/>
        </w:rPr>
      </w:pPr>
      <w:r>
        <w:rPr>
          <w:rFonts w:hint="eastAsia" w:ascii="楷体_GB2312" w:hAnsi="楷体_GB2312" w:eastAsia="楷体_GB2312" w:cs="楷体_GB2312"/>
          <w:color w:val="auto"/>
          <w:sz w:val="32"/>
          <w:szCs w:val="32"/>
          <w:lang w:val="en-US" w:eastAsia="zh-CN"/>
        </w:rPr>
        <w:t>（一）</w:t>
      </w:r>
      <w:r>
        <w:rPr>
          <w:rFonts w:hint="default" w:ascii="楷体_GB2312" w:hAnsi="楷体_GB2312" w:eastAsia="楷体_GB2312" w:cs="楷体_GB2312"/>
          <w:color w:val="auto"/>
          <w:sz w:val="32"/>
          <w:szCs w:val="32"/>
          <w:lang w:val="en-US" w:eastAsia="zh-CN"/>
        </w:rPr>
        <w:t>事故通报警示，组织专项排查。</w:t>
      </w:r>
      <w:r>
        <w:rPr>
          <w:rFonts w:hint="default" w:ascii="仿宋_GB2312" w:hAnsi="仿宋_GB2312" w:eastAsia="仿宋_GB2312" w:cs="仿宋_GB2312"/>
          <w:kern w:val="2"/>
          <w:sz w:val="32"/>
          <w:szCs w:val="28"/>
          <w:lang w:val="en-US" w:eastAsia="zh-CN" w:bidi="ar-SA"/>
        </w:rPr>
        <w:t>在全县通报该起事故，要求辖区企业举一反三开展警示教育，组织热膨胀作业安全隐患专项排查治理，重点核查风险辨识、工艺操作规程制定及员工培训落实情况。县安办在2024年第二季度第二次安全生产会议通报事故，明确涉热膨胀作业企业开展专项排查。</w:t>
      </w:r>
    </w:p>
    <w:p w14:paraId="04817653">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kern w:val="2"/>
          <w:sz w:val="32"/>
          <w:szCs w:val="28"/>
          <w:lang w:val="en-US" w:eastAsia="zh-CN" w:bidi="ar-SA"/>
        </w:rPr>
      </w:pPr>
      <w:r>
        <w:rPr>
          <w:rFonts w:hint="default" w:ascii="楷体_GB2312" w:hAnsi="楷体_GB2312" w:eastAsia="楷体_GB2312" w:cs="楷体_GB2312"/>
          <w:color w:val="auto"/>
          <w:sz w:val="32"/>
          <w:szCs w:val="32"/>
          <w:lang w:val="en-US" w:eastAsia="zh-CN"/>
        </w:rPr>
        <w:t>（二）压实双防机制，强化规程学习。</w:t>
      </w:r>
      <w:r>
        <w:rPr>
          <w:rFonts w:hint="default" w:ascii="仿宋_GB2312" w:hAnsi="仿宋_GB2312" w:eastAsia="仿宋_GB2312" w:cs="仿宋_GB2312"/>
          <w:kern w:val="2"/>
          <w:sz w:val="32"/>
          <w:szCs w:val="28"/>
          <w:lang w:val="en-US" w:eastAsia="zh-CN" w:bidi="ar-SA"/>
        </w:rPr>
        <w:t>督促企业落实风险分析管控与隐患排查治理</w:t>
      </w:r>
      <w:r>
        <w:rPr>
          <w:rFonts w:hint="eastAsia" w:ascii="仿宋_GB2312" w:hAnsi="仿宋_GB2312" w:eastAsia="仿宋_GB2312" w:cs="仿宋_GB2312"/>
          <w:kern w:val="2"/>
          <w:sz w:val="32"/>
          <w:szCs w:val="28"/>
          <w:lang w:val="en-US" w:eastAsia="zh-CN" w:bidi="ar-SA"/>
        </w:rPr>
        <w:t>双重预防机制</w:t>
      </w:r>
      <w:r>
        <w:rPr>
          <w:rFonts w:hint="default" w:ascii="仿宋_GB2312" w:hAnsi="仿宋_GB2312" w:eastAsia="仿宋_GB2312" w:cs="仿宋_GB2312"/>
          <w:kern w:val="2"/>
          <w:sz w:val="32"/>
          <w:szCs w:val="28"/>
          <w:lang w:val="en-US" w:eastAsia="zh-CN" w:bidi="ar-SA"/>
        </w:rPr>
        <w:t>，结合生产工艺研判安全风险，对高危设备、工序制定安全操作规程和现场处置措施。县安办推动企业落实相关要求，涉事公司及项目部分别于2024年3月22日、3月25日组织线上线下学习规程与处置方案，龚嘴项目全员完成三级安全教育培训考试。</w:t>
      </w:r>
    </w:p>
    <w:p w14:paraId="300AEB4D">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kern w:val="2"/>
          <w:sz w:val="32"/>
          <w:szCs w:val="28"/>
          <w:lang w:val="en-US" w:eastAsia="zh-CN" w:bidi="ar-SA"/>
        </w:rPr>
      </w:pPr>
      <w:r>
        <w:rPr>
          <w:rFonts w:hint="default" w:ascii="楷体_GB2312" w:hAnsi="楷体_GB2312" w:eastAsia="楷体_GB2312" w:cs="楷体_GB2312"/>
          <w:color w:val="auto"/>
          <w:sz w:val="32"/>
          <w:szCs w:val="32"/>
          <w:lang w:val="en-US" w:eastAsia="zh-CN"/>
        </w:rPr>
        <w:t>（三）隐患清单管理，深化培训演练。</w:t>
      </w:r>
      <w:r>
        <w:rPr>
          <w:rFonts w:hint="default" w:ascii="仿宋_GB2312" w:hAnsi="仿宋_GB2312" w:eastAsia="仿宋_GB2312" w:cs="仿宋_GB2312"/>
          <w:kern w:val="2"/>
          <w:sz w:val="32"/>
          <w:szCs w:val="28"/>
          <w:lang w:val="en-US" w:eastAsia="zh-CN" w:bidi="ar-SA"/>
        </w:rPr>
        <w:t>推动建设工程隐患排查清单化管理，在三级安全教育培训中强化安全操作规程培训、现场处置措施演练。县安办督促企业落地该项工作，公司及项目部于2024年3月22日—3月28日组织培训讲解及全员演练。</w:t>
      </w:r>
    </w:p>
    <w:p w14:paraId="43803FD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四、评估组意见</w:t>
      </w:r>
    </w:p>
    <w:p w14:paraId="2910F6F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auto"/>
          <w:kern w:val="2"/>
          <w:sz w:val="32"/>
          <w:szCs w:val="28"/>
          <w:lang w:val="en-US" w:eastAsia="zh-CN" w:bidi="ar-SA"/>
        </w:rPr>
      </w:pPr>
      <w:r>
        <w:rPr>
          <w:rFonts w:hint="eastAsia" w:ascii="仿宋_GB2312" w:hAnsi="仿宋_GB2312" w:eastAsia="仿宋_GB2312" w:cs="仿宋_GB2312"/>
          <w:kern w:val="2"/>
          <w:sz w:val="32"/>
          <w:szCs w:val="28"/>
          <w:lang w:val="en-US" w:eastAsia="zh-CN" w:bidi="ar-SA"/>
        </w:rPr>
        <w:t>评估工作组经综合评估后一致认为，各单位按照县政府批复意见，对有关责任单位及责任人员作出相关处理。事故企业及有关单位汲取事故教训，基本落实了事故调查报告提出的事故防范措施。</w:t>
      </w:r>
    </w:p>
    <w:p w14:paraId="26C65F8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五</w:t>
      </w:r>
      <w:r>
        <w:rPr>
          <w:rFonts w:hint="default" w:ascii="黑体" w:hAnsi="黑体" w:eastAsia="黑体" w:cs="黑体"/>
          <w:color w:val="000000" w:themeColor="text1"/>
          <w:sz w:val="32"/>
          <w:szCs w:val="32"/>
          <w:lang w:val="en-US" w:eastAsia="zh-CN"/>
          <w14:textFill>
            <w14:solidFill>
              <w14:schemeClr w14:val="tx1"/>
            </w14:solidFill>
          </w14:textFill>
        </w:rPr>
        <w:t>、</w:t>
      </w:r>
      <w:r>
        <w:rPr>
          <w:rFonts w:hint="eastAsia" w:ascii="黑体" w:hAnsi="黑体" w:eastAsia="黑体" w:cs="黑体"/>
          <w:color w:val="000000" w:themeColor="text1"/>
          <w:sz w:val="32"/>
          <w:szCs w:val="32"/>
          <w:lang w:val="en-US" w:eastAsia="zh-CN"/>
          <w14:textFill>
            <w14:solidFill>
              <w14:schemeClr w14:val="tx1"/>
            </w14:solidFill>
          </w14:textFill>
        </w:rPr>
        <w:t>工作建议</w:t>
      </w:r>
    </w:p>
    <w:p w14:paraId="3867345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28"/>
          <w:lang w:val="en-US" w:eastAsia="zh-CN" w:bidi="ar-SA"/>
        </w:rPr>
      </w:pPr>
      <w:r>
        <w:rPr>
          <w:rFonts w:hint="eastAsia" w:ascii="仿宋_GB2312" w:hAnsi="仿宋_GB2312" w:eastAsia="仿宋_GB2312" w:cs="仿宋_GB2312"/>
          <w:kern w:val="2"/>
          <w:sz w:val="32"/>
          <w:szCs w:val="28"/>
          <w:lang w:val="en-US" w:eastAsia="zh-CN" w:bidi="ar-SA"/>
        </w:rPr>
        <w:t xml:space="preserve"> </w:t>
      </w:r>
      <w:r>
        <w:rPr>
          <w:rFonts w:hint="eastAsia" w:ascii="楷体_GB2312" w:hAnsi="楷体_GB2312" w:eastAsia="楷体_GB2312" w:cs="楷体_GB2312"/>
          <w:color w:val="auto"/>
          <w:sz w:val="32"/>
          <w:szCs w:val="32"/>
          <w:lang w:val="en-US" w:eastAsia="zh-CN"/>
        </w:rPr>
        <w:t>（一）健全双重预防机制。</w:t>
      </w:r>
      <w:r>
        <w:rPr>
          <w:rFonts w:hint="eastAsia" w:ascii="仿宋_GB2312" w:hAnsi="仿宋_GB2312" w:eastAsia="仿宋_GB2312" w:cs="仿宋_GB2312"/>
          <w:kern w:val="2"/>
          <w:sz w:val="32"/>
          <w:szCs w:val="28"/>
          <w:lang w:val="en-US" w:eastAsia="zh-CN" w:bidi="ar-SA"/>
        </w:rPr>
        <w:t>督促企业强化风险分级管控与隐患排查治理，对热膨胀作业设备落实全生命周期风险管控，每季度更新风险等级清单，明确管控责任人和管控措施。</w:t>
      </w:r>
    </w:p>
    <w:p w14:paraId="4E72BC1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kern w:val="2"/>
          <w:sz w:val="32"/>
          <w:szCs w:val="28"/>
          <w:lang w:val="en-US" w:eastAsia="zh-CN" w:bidi="ar-SA"/>
        </w:rPr>
      </w:pPr>
      <w:r>
        <w:rPr>
          <w:rFonts w:hint="eastAsia" w:ascii="楷体_GB2312" w:hAnsi="楷体_GB2312" w:eastAsia="楷体_GB2312" w:cs="楷体_GB2312"/>
          <w:color w:val="auto"/>
          <w:sz w:val="32"/>
          <w:szCs w:val="32"/>
          <w:lang w:val="en-US" w:eastAsia="zh-CN"/>
        </w:rPr>
        <w:t>（二）抓实靶向安全培训。</w:t>
      </w:r>
      <w:r>
        <w:rPr>
          <w:rFonts w:hint="eastAsia" w:ascii="仿宋_GB2312" w:hAnsi="仿宋_GB2312" w:eastAsia="仿宋_GB2312" w:cs="仿宋_GB2312"/>
          <w:kern w:val="2"/>
          <w:sz w:val="32"/>
          <w:szCs w:val="28"/>
          <w:lang w:val="en-US" w:eastAsia="zh-CN" w:bidi="ar-SA"/>
        </w:rPr>
        <w:t xml:space="preserve">督促企业提升安全培训实效，推行“靶向式”培训，增加实操规范、工艺规程内容，重点强化热膨胀作业风险及防范措施培训。 </w:t>
      </w:r>
    </w:p>
    <w:p w14:paraId="0180FC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FF"/>
          <w:kern w:val="2"/>
          <w:sz w:val="32"/>
          <w:szCs w:val="28"/>
          <w:lang w:val="en-US" w:eastAsia="zh-CN" w:bidi="ar-SA"/>
        </w:rPr>
      </w:pPr>
      <w:r>
        <w:rPr>
          <w:rFonts w:hint="eastAsia" w:ascii="楷体_GB2312" w:hAnsi="楷体_GB2312" w:eastAsia="楷体_GB2312" w:cs="楷体_GB2312"/>
          <w:color w:val="auto"/>
          <w:sz w:val="32"/>
          <w:szCs w:val="32"/>
          <w:lang w:val="en-US" w:eastAsia="zh-CN"/>
        </w:rPr>
        <w:t>（三）规范事故信息报送。</w:t>
      </w:r>
      <w:r>
        <w:rPr>
          <w:rFonts w:hint="eastAsia" w:ascii="仿宋_GB2312" w:hAnsi="仿宋_GB2312" w:eastAsia="仿宋_GB2312" w:cs="仿宋_GB2312"/>
          <w:kern w:val="2"/>
          <w:sz w:val="32"/>
          <w:szCs w:val="28"/>
          <w:lang w:val="en-US" w:eastAsia="zh-CN" w:bidi="ar-SA"/>
        </w:rPr>
        <w:t>督促企业严格落实事故信息报送相关要求，畅通内部上报渠道，事故发生后按规定层级及时上报属地应急管理及相关监管部门。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A5F8C0"/>
    <w:multiLevelType w:val="singleLevel"/>
    <w:tmpl w:val="F8A5F8C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BC276A"/>
    <w:rsid w:val="10FB3617"/>
    <w:rsid w:val="152A0647"/>
    <w:rsid w:val="198101BC"/>
    <w:rsid w:val="1B0E7876"/>
    <w:rsid w:val="1E934A4F"/>
    <w:rsid w:val="2DBC276A"/>
    <w:rsid w:val="35493D59"/>
    <w:rsid w:val="44D62288"/>
    <w:rsid w:val="46001285"/>
    <w:rsid w:val="496207D4"/>
    <w:rsid w:val="4D5F2D35"/>
    <w:rsid w:val="57A25CD3"/>
    <w:rsid w:val="5A252C10"/>
    <w:rsid w:val="5E6A3FBE"/>
    <w:rsid w:val="66EA5766"/>
    <w:rsid w:val="6A33233D"/>
    <w:rsid w:val="6E6D2D39"/>
    <w:rsid w:val="731207FF"/>
    <w:rsid w:val="74242EB5"/>
    <w:rsid w:val="755A27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paragraph" w:customStyle="1" w:styleId="5">
    <w:name w:val="公文主体"/>
    <w:basedOn w:val="1"/>
    <w:qFormat/>
    <w:uiPriority w:val="0"/>
    <w:pPr>
      <w:spacing w:line="580" w:lineRule="exact"/>
      <w:ind w:firstLine="200" w:firstLineChars="200"/>
    </w:pPr>
    <w:rPr>
      <w:rFonts w:eastAsia="仿宋_GB2312"/>
      <w:sz w:val="32"/>
    </w:rPr>
  </w:style>
  <w:style w:type="paragraph" w:customStyle="1" w:styleId="6">
    <w:name w:val="BodyText1I2"/>
    <w:basedOn w:val="7"/>
    <w:qFormat/>
    <w:uiPriority w:val="0"/>
    <w:pPr>
      <w:ind w:firstLine="420" w:firstLineChars="200"/>
    </w:pPr>
  </w:style>
  <w:style w:type="paragraph" w:customStyle="1" w:styleId="7">
    <w:name w:val="BodyTextIndent"/>
    <w:basedOn w:val="1"/>
    <w:next w:val="8"/>
    <w:qFormat/>
    <w:uiPriority w:val="0"/>
    <w:pPr>
      <w:spacing w:after="120"/>
      <w:ind w:left="420" w:leftChars="200"/>
      <w:textAlignment w:val="baseline"/>
    </w:pPr>
    <w:rPr>
      <w:rFonts w:ascii="Calibri" w:hAnsi="Calibri" w:eastAsia="宋体"/>
      <w:szCs w:val="22"/>
    </w:rPr>
  </w:style>
  <w:style w:type="paragraph" w:customStyle="1" w:styleId="8">
    <w:name w:val="NormalIndent"/>
    <w:basedOn w:val="1"/>
    <w:qFormat/>
    <w:uiPriority w:val="0"/>
    <w:pPr>
      <w:ind w:firstLine="420" w:firstLineChars="200"/>
      <w:jc w:val="both"/>
      <w:textAlignment w:val="baseline"/>
    </w:pPr>
    <w:rPr>
      <w:rFonts w:ascii="Calibri" w:hAnsi="Calibri" w:eastAsia="仿宋"/>
      <w:kern w:val="2"/>
      <w:sz w:val="3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ee12648e-ef0b-453f-93e5-1bcf8d5dc624</errorID>
      <errorWord> </errorWord>
      <group>L1_Punc</group>
      <groupName>标点问题</groupName>
      <ability>L2_Punc_CN</ability>
      <abilityName>标点符号问题</abilityName>
      <candidateList>
        <item>·</item>
      </candidateList>
      <explain/>
      <paraID>1E93AE45</paraID>
      <start>20</start>
      <end>21</end>
      <status>ignored</status>
      <modifiedWord/>
      <trackRevisions>false</trackRevisions>
    </reviewItem>
    <reviewItem>
      <errorID>cbf4e16b-ac5f-43d9-9d91-15abeefdd025</errorID>
      <errorWord> </errorWord>
      <group>L1_Punc</group>
      <groupName>标点问题</groupName>
      <ability>L2_Punc_CN</ability>
      <abilityName>标点符号问题</abilityName>
      <candidateList>
        <item>·</item>
      </candidateList>
      <explain/>
      <paraID>336BB93B</paraID>
      <start>109</start>
      <end>110</end>
      <status>ignored</status>
      <modifiedWord/>
      <trackRevisions>false</trackRevisions>
    </reviewItem>
  </reviewItems>
  <config/>
</contractReview>
</file>

<file path=customXml/itemProps1.xml><?xml version="1.0" encoding="utf-8"?>
<ds:datastoreItem xmlns:ds="http://schemas.openxmlformats.org/officeDocument/2006/customXml" ds:itemID="{b833ff02-f59e-4dd7-be72-84cffd5f1fc5}">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1299</Words>
  <Characters>1334</Characters>
  <Lines>0</Lines>
  <Paragraphs>0</Paragraphs>
  <TotalTime>6</TotalTime>
  <ScaleCrop>false</ScaleCrop>
  <LinksUpToDate>false</LinksUpToDate>
  <CharactersWithSpaces>1336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2025-04-23T08:36:00Z</dcterms:created>
  <dc:creator>还不错</dc:creator>
  <cp:lastModifiedBy>碧云天</cp:lastModifiedBy>
  <dcterms:modified xsi:type="dcterms:W3CDTF">2026-09-11T03:00:50Z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3D4F7601D4CB4F46BB9FDEE017BB41F0_13</vt:lpwstr>
  </property>
  <property fmtid="{D5CDD505-2E9C-101B-9397-08002B2CF9AE}" pid="4" name="KSOTemplateDocerSaveRecord">
    <vt:lpwstr>eyJoZGlkIjoiNzI2ZGI0OGUzMDAzMzk0YmE1OTYyMDVlZGMwMmYyODYiLCJ1c2VySWQiOiIxMTM5NjM2MTk5In0=</vt:lpwstr>
  </property>
</Properties>
</file>