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933F">
      <w:pPr>
        <w:spacing w:line="580" w:lineRule="exact"/>
        <w:contextualSpacing/>
        <w:rPr>
          <w:rFonts w:ascii="宋体"/>
          <w:b/>
          <w:sz w:val="44"/>
          <w:szCs w:val="44"/>
          <w:shd w:val="clear" w:color="auto" w:fill="FFFFFF"/>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7D6B140B">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峨边彝族自治县司法局</w:t>
      </w:r>
    </w:p>
    <w:p w14:paraId="2A2BC931">
      <w:pPr>
        <w:widowControl/>
        <w:numPr>
          <w:ilvl w:val="0"/>
          <w:numId w:val="0"/>
        </w:numPr>
        <w:spacing w:line="580" w:lineRule="exact"/>
        <w:contextualSpacing/>
        <w:jc w:val="center"/>
        <w:rPr>
          <w:rFonts w:hint="eastAsia" w:ascii="仿宋" w:hAnsi="仿宋" w:eastAsia="仿宋" w:cs="仿宋"/>
          <w:color w:val="000000"/>
          <w:kern w:val="0"/>
          <w:sz w:val="32"/>
          <w:szCs w:val="32"/>
          <w:shd w:val="clear" w:color="auto" w:fill="FFFFFF"/>
        </w:rPr>
      </w:pPr>
      <w:r>
        <w:rPr>
          <w:rFonts w:hint="eastAsia" w:ascii="方正小标宋简体" w:hAnsi="宋体" w:eastAsia="方正小标宋简体"/>
          <w:sz w:val="44"/>
          <w:szCs w:val="44"/>
          <w:shd w:val="clear" w:color="auto" w:fill="FFFFFF"/>
          <w:lang w:eastAsia="zh-CN"/>
        </w:rPr>
        <w:t>部门整体支出预算绩效自评报告</w:t>
      </w:r>
    </w:p>
    <w:p w14:paraId="4FC362E8">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Theme="majorEastAsia" w:hAnsiTheme="majorEastAsia" w:eastAsiaTheme="majorEastAsia" w:cstheme="majorEastAsia"/>
          <w:b/>
          <w:bCs/>
          <w:color w:val="000000"/>
          <w:kern w:val="0"/>
          <w:sz w:val="32"/>
          <w:szCs w:val="32"/>
          <w:shd w:val="clear" w:color="auto" w:fill="FFFFFF"/>
        </w:rPr>
      </w:pPr>
    </w:p>
    <w:p w14:paraId="5F8AEFAB">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Theme="majorEastAsia" w:hAnsiTheme="majorEastAsia" w:eastAsiaTheme="majorEastAsia" w:cstheme="majorEastAsia"/>
          <w:b/>
          <w:bCs/>
          <w:color w:val="000000"/>
          <w:kern w:val="0"/>
          <w:sz w:val="32"/>
          <w:szCs w:val="32"/>
          <w:shd w:val="clear" w:color="auto" w:fill="FFFFFF"/>
          <w:lang w:val="zh-CN"/>
        </w:rPr>
      </w:pPr>
      <w:r>
        <w:rPr>
          <w:rFonts w:hint="eastAsia" w:asciiTheme="majorEastAsia" w:hAnsiTheme="majorEastAsia" w:eastAsiaTheme="majorEastAsia" w:cstheme="majorEastAsia"/>
          <w:b/>
          <w:bCs/>
          <w:color w:val="000000"/>
          <w:kern w:val="0"/>
          <w:sz w:val="32"/>
          <w:szCs w:val="32"/>
          <w:shd w:val="clear" w:color="auto" w:fill="FFFFFF"/>
        </w:rPr>
        <w:t>一、</w:t>
      </w:r>
      <w:r>
        <w:rPr>
          <w:rFonts w:hint="eastAsia" w:asciiTheme="majorEastAsia" w:hAnsiTheme="majorEastAsia" w:eastAsiaTheme="majorEastAsia" w:cstheme="majorEastAsia"/>
          <w:b/>
          <w:bCs/>
          <w:color w:val="000000"/>
          <w:kern w:val="0"/>
          <w:sz w:val="32"/>
          <w:szCs w:val="32"/>
          <w:shd w:val="clear" w:color="auto" w:fill="FFFFFF"/>
          <w:lang w:val="zh-CN"/>
        </w:rPr>
        <w:t>部门基本情况</w:t>
      </w:r>
    </w:p>
    <w:p w14:paraId="78B9BE66">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14:paraId="5BAC9813">
      <w:pPr>
        <w:keepNext w:val="0"/>
        <w:keepLines w:val="0"/>
        <w:pageBreakBefore w:val="0"/>
        <w:widowControl/>
        <w:wordWrap/>
        <w:overflowPunct/>
        <w:topLinePunct w:val="0"/>
        <w:bidi w:val="0"/>
        <w:adjustRightInd w:val="0"/>
        <w:snapToGrid w:val="0"/>
        <w:spacing w:line="360" w:lineRule="auto"/>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eastAsia="zh-CN"/>
        </w:rPr>
        <w:t>峨边彝族自治县</w:t>
      </w:r>
      <w:r>
        <w:rPr>
          <w:rFonts w:hint="eastAsia" w:ascii="仿宋" w:hAnsi="仿宋" w:eastAsia="仿宋" w:cs="仿宋"/>
          <w:sz w:val="32"/>
          <w:szCs w:val="32"/>
        </w:rPr>
        <w:t>司法局是财政全额拨款行政单位，</w:t>
      </w:r>
      <w:r>
        <w:rPr>
          <w:rFonts w:hint="eastAsia" w:ascii="仿宋" w:hAnsi="仿宋" w:eastAsia="仿宋" w:cs="仿宋"/>
          <w:sz w:val="32"/>
          <w:szCs w:val="32"/>
          <w:lang w:eastAsia="zh-CN"/>
        </w:rPr>
        <w:t>内设办公室（政工人事股）、依法治县秘书股（</w:t>
      </w:r>
      <w:r>
        <w:rPr>
          <w:rFonts w:hint="eastAsia" w:ascii="仿宋" w:hAnsi="仿宋" w:eastAsia="仿宋" w:cs="仿宋"/>
          <w:sz w:val="32"/>
          <w:szCs w:val="32"/>
          <w:lang w:val="en-US" w:eastAsia="zh-CN"/>
        </w:rPr>
        <w:t>普法宣传股）</w:t>
      </w:r>
      <w:r>
        <w:rPr>
          <w:rFonts w:hint="eastAsia" w:ascii="仿宋" w:hAnsi="仿宋" w:eastAsia="仿宋" w:cs="仿宋"/>
          <w:sz w:val="32"/>
          <w:szCs w:val="32"/>
          <w:lang w:eastAsia="zh-CN"/>
        </w:rPr>
        <w:t>、法制股（行政执法监督股、行政复议与应诉股）、人民参与和促进法治股、社区矫正管理局、公共法律服务股。此外，基层司法所</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所。</w:t>
      </w:r>
    </w:p>
    <w:p w14:paraId="4BAA6A88">
      <w:pPr>
        <w:keepNext w:val="0"/>
        <w:keepLines w:val="0"/>
        <w:pageBreakBefore w:val="0"/>
        <w:numPr>
          <w:ilvl w:val="0"/>
          <w:numId w:val="0"/>
        </w:numPr>
        <w:kinsoku/>
        <w:wordWrap/>
        <w:overflowPunct/>
        <w:topLinePunct w:val="0"/>
        <w:autoSpaceDN/>
        <w:bidi w:val="0"/>
        <w:adjustRightInd/>
        <w:spacing w:line="360" w:lineRule="auto"/>
        <w:ind w:firstLine="643"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（二）机构职能和人员概况</w:t>
      </w:r>
      <w:r>
        <w:rPr>
          <w:rFonts w:hint="eastAsia" w:ascii="仿宋" w:hAnsi="仿宋" w:eastAsia="仿宋" w:cs="仿宋"/>
          <w:color w:val="000000"/>
          <w:kern w:val="0"/>
          <w:sz w:val="32"/>
          <w:szCs w:val="32"/>
          <w:shd w:val="clear" w:color="auto" w:fill="FFFFFF"/>
          <w:lang w:val="zh-CN"/>
        </w:rPr>
        <w:t>。</w:t>
      </w:r>
    </w:p>
    <w:p w14:paraId="49B02BAE">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（1）承担全面依法治县重大问题决策研究，协调有关方面提出全面依法治县中长期规划建议，负责有关重大决策部署督察工作。</w:t>
      </w:r>
    </w:p>
    <w:p w14:paraId="65DB7071">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（2）负责指导全县规范性文件管理有关工作。</w:t>
      </w:r>
    </w:p>
    <w:p w14:paraId="128C46BA">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（3）承担统筹推进法治政府建设的责任。</w:t>
      </w:r>
    </w:p>
    <w:p w14:paraId="7356C435">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（4）负责德古调解的安排和部署，参与矛盾纠纷排查化解，维护社会和谐稳定。</w:t>
      </w:r>
    </w:p>
    <w:p w14:paraId="70E4CBC2">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（5）承担县人民政府作为被申请人的行政复议事项和县人民政府作为被告的行政复议应诉案件。</w:t>
      </w:r>
    </w:p>
    <w:p w14:paraId="23EEDA2D">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（6）指导、管理、组织实施全县社区矫正工作；指导、牵头组织实施刑满释放人员安置帮教工作。</w:t>
      </w:r>
    </w:p>
    <w:p w14:paraId="675A1847">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（7）指导、监督、管理律师、法律援助、公证和基层法律服务工作。</w:t>
      </w:r>
    </w:p>
    <w:p w14:paraId="78C6CC9C">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（8）规划、协调、指导法治人才队伍建设相关工作。</w:t>
      </w:r>
    </w:p>
    <w:p w14:paraId="4D78AFA3">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（9）完成县委、县人民政府交办的其他事项。</w:t>
      </w:r>
    </w:p>
    <w:p w14:paraId="25CF43AF">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zh-CN" w:eastAsia="zh-CN"/>
        </w:rPr>
        <w:t>（</w:t>
      </w:r>
      <w:r>
        <w:rPr>
          <w:rFonts w:hint="eastAsia" w:ascii="仿宋" w:hAnsi="仿宋" w:eastAsia="仿宋" w:cs="仿宋"/>
          <w:b w:val="0"/>
          <w:bCs w:val="0"/>
          <w:sz w:val="32"/>
          <w:szCs w:val="32"/>
          <w:lang w:val="en-US" w:eastAsia="zh-CN"/>
        </w:rPr>
        <w:t>10</w:t>
      </w:r>
      <w:r>
        <w:rPr>
          <w:rFonts w:hint="eastAsia" w:ascii="仿宋" w:hAnsi="仿宋" w:eastAsia="仿宋" w:cs="仿宋"/>
          <w:sz w:val="32"/>
          <w:szCs w:val="32"/>
          <w:lang w:val="zh-CN" w:eastAsia="zh-CN"/>
        </w:rPr>
        <w:t>）人员概况：</w:t>
      </w:r>
      <w:r>
        <w:rPr>
          <w:rFonts w:hint="eastAsia" w:ascii="仿宋" w:hAnsi="仿宋" w:eastAsia="仿宋" w:cs="仿宋"/>
          <w:sz w:val="32"/>
          <w:szCs w:val="32"/>
          <w:lang w:val="en-US" w:eastAsia="zh-CN"/>
        </w:rPr>
        <w:t>2024年全局核定编制40人，其中：行政编制32人，参公编3人，事业编制2人，工勤编制3人 。年末实有在职34人（公务员28人、参公3人、事业2人、工勤1人），退休人员7人，司法所辅助人员13人，调解员8人，编外人员（驾驶员）1人，现有执法执勤车辆2台。</w:t>
      </w:r>
    </w:p>
    <w:p w14:paraId="5EA1E3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3" w:firstLineChars="200"/>
        <w:jc w:val="left"/>
        <w:textAlignment w:val="baseline"/>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（三）年度主要工作任务。</w:t>
      </w:r>
      <w:r>
        <w:rPr>
          <w:rFonts w:hint="eastAsia" w:ascii="仿宋" w:hAnsi="仿宋" w:eastAsia="仿宋" w:cs="仿宋"/>
          <w:color w:val="000000"/>
          <w:kern w:val="0"/>
          <w:sz w:val="32"/>
          <w:szCs w:val="32"/>
          <w:shd w:val="clear" w:color="auto" w:fill="FFFFFF"/>
          <w:lang w:val="zh-CN"/>
        </w:rPr>
        <w:t>一是</w:t>
      </w:r>
      <w:r>
        <w:rPr>
          <w:rFonts w:hint="eastAsia" w:ascii="仿宋" w:hAnsi="仿宋" w:eastAsia="仿宋" w:cs="仿宋"/>
          <w:b w:val="0"/>
          <w:bCs w:val="0"/>
          <w:snapToGrid w:val="0"/>
          <w:color w:val="000000"/>
          <w:kern w:val="0"/>
          <w:sz w:val="32"/>
          <w:szCs w:val="32"/>
          <w:lang w:val="en-US" w:eastAsia="zh-CN" w:bidi="ar-SA"/>
        </w:rPr>
        <w:t>突出法治有为。</w:t>
      </w:r>
      <w:r>
        <w:rPr>
          <w:rFonts w:hint="eastAsia" w:ascii="仿宋" w:hAnsi="仿宋" w:eastAsia="仿宋" w:cs="仿宋"/>
          <w:sz w:val="32"/>
          <w:szCs w:val="32"/>
          <w:lang w:val="en-US" w:eastAsia="zh-CN"/>
        </w:rPr>
        <w:t>召开县委依法治县委员会第六次会议、</w:t>
      </w:r>
      <w:r>
        <w:rPr>
          <w:rFonts w:hint="eastAsia" w:ascii="仿宋" w:hAnsi="仿宋" w:eastAsia="仿宋" w:cs="仿宋"/>
          <w:b w:val="0"/>
          <w:bCs w:val="0"/>
          <w:snapToGrid w:val="0"/>
          <w:color w:val="000000"/>
          <w:kern w:val="0"/>
          <w:sz w:val="32"/>
          <w:szCs w:val="32"/>
          <w:lang w:val="en-US" w:eastAsia="zh-CN"/>
        </w:rPr>
        <w:t>大小凉山彝族地区普法依法治理暨法治一体化工作推进会、</w:t>
      </w:r>
      <w:r>
        <w:rPr>
          <w:rFonts w:hint="eastAsia" w:ascii="仿宋" w:hAnsi="仿宋" w:eastAsia="仿宋" w:cs="仿宋"/>
          <w:sz w:val="32"/>
          <w:szCs w:val="32"/>
          <w:lang w:val="en-US" w:eastAsia="zh-CN"/>
        </w:rPr>
        <w:t>全省“1名村（居）法律顾问+N名法律明白人”工作部署会，</w:t>
      </w:r>
      <w:r>
        <w:rPr>
          <w:rFonts w:hint="eastAsia" w:ascii="仿宋" w:hAnsi="仿宋" w:eastAsia="仿宋" w:cs="仿宋"/>
          <w:b w:val="0"/>
          <w:bCs w:val="0"/>
          <w:sz w:val="32"/>
          <w:szCs w:val="32"/>
          <w:lang w:val="en-US" w:eastAsia="zh-CN"/>
        </w:rPr>
        <w:t>创新打造峨边彝族自治县法治文化公园；</w:t>
      </w:r>
      <w:r>
        <w:rPr>
          <w:rFonts w:hint="eastAsia" w:ascii="仿宋" w:hAnsi="仿宋" w:eastAsia="仿宋" w:cs="仿宋"/>
          <w:sz w:val="32"/>
          <w:szCs w:val="32"/>
          <w:lang w:val="en-US" w:eastAsia="zh-CN"/>
        </w:rPr>
        <w:t>二是</w:t>
      </w:r>
      <w:r>
        <w:rPr>
          <w:rFonts w:hint="eastAsia" w:ascii="仿宋" w:hAnsi="仿宋" w:eastAsia="仿宋" w:cs="仿宋"/>
          <w:sz w:val="32"/>
          <w:szCs w:val="32"/>
        </w:rPr>
        <w:t>提升治理效能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组织开展各类法律知识培训 6场次，培训 1000余人次。建立涉企执法联系点1个；开展行政执法跟踪指导20余次；扎实做好行政复议应诉工作，新收行政复议案件16件，办结15件，经调解终止7件（含案前终止3件）；出具各类法律意见49件，备案行政规范性文件1件；</w:t>
      </w:r>
      <w:r>
        <w:rPr>
          <w:rFonts w:hint="eastAsia" w:ascii="仿宋" w:hAnsi="仿宋" w:eastAsia="仿宋" w:cs="仿宋"/>
          <w:b w:val="0"/>
          <w:bCs w:val="0"/>
          <w:sz w:val="32"/>
          <w:szCs w:val="32"/>
          <w:lang w:val="en-US" w:eastAsia="zh-CN"/>
        </w:rPr>
        <w:t>三是深化法律服务，</w:t>
      </w:r>
      <w:r>
        <w:rPr>
          <w:rFonts w:hint="eastAsia" w:ascii="仿宋" w:hAnsi="仿宋" w:eastAsia="仿宋" w:cs="仿宋"/>
          <w:sz w:val="32"/>
          <w:szCs w:val="32"/>
          <w:lang w:val="en-US" w:eastAsia="zh-CN"/>
        </w:rPr>
        <w:t>化解疑难矛盾纠纷5件，为企业开展劳动合同普查和法治体检320份；累计接待法律咨询1532人次；受理法律援助案件110件，</w:t>
      </w:r>
      <w:r>
        <w:rPr>
          <w:rFonts w:hint="eastAsia" w:ascii="仿宋" w:hAnsi="仿宋" w:eastAsia="仿宋" w:cs="仿宋"/>
          <w:color w:val="auto"/>
          <w:sz w:val="32"/>
          <w:szCs w:val="32"/>
          <w:lang w:val="en-US" w:eastAsia="zh-CN"/>
        </w:rPr>
        <w:t>为群众办实事、解难事共26件次，为行动不便的群众上门办证12次，全年共办理各类公证达331件，接待法律咨询526余人（次）；</w:t>
      </w:r>
      <w:r>
        <w:rPr>
          <w:rFonts w:hint="eastAsia" w:ascii="仿宋" w:hAnsi="仿宋" w:eastAsia="仿宋" w:cs="仿宋"/>
          <w:b w:val="0"/>
          <w:bCs w:val="0"/>
          <w:sz w:val="32"/>
          <w:szCs w:val="32"/>
          <w:lang w:val="en-US" w:eastAsia="zh-CN"/>
        </w:rPr>
        <w:t>四是保障平安建设，</w:t>
      </w:r>
      <w:r>
        <w:rPr>
          <w:rFonts w:hint="eastAsia" w:ascii="仿宋" w:hAnsi="仿宋" w:eastAsia="仿宋" w:cs="仿宋"/>
          <w:snapToGrid w:val="0"/>
          <w:color w:val="000000"/>
          <w:kern w:val="0"/>
          <w:sz w:val="32"/>
          <w:szCs w:val="32"/>
          <w:lang w:val="en-US" w:eastAsia="zh-CN"/>
        </w:rPr>
        <w:t>加大矛盾纠纷排查化解，排查化解705件，</w:t>
      </w:r>
      <w:r>
        <w:rPr>
          <w:rFonts w:hint="eastAsia" w:ascii="仿宋" w:hAnsi="仿宋" w:eastAsia="仿宋" w:cs="仿宋"/>
          <w:sz w:val="32"/>
          <w:szCs w:val="32"/>
          <w:lang w:val="en-US" w:eastAsia="zh-CN"/>
        </w:rPr>
        <w:t>全县867名“两类人员”总体安全稳定。</w:t>
      </w:r>
    </w:p>
    <w:p w14:paraId="71873F54">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二、部门财政资金收支情况</w:t>
      </w:r>
    </w:p>
    <w:p w14:paraId="7CE6D0C6">
      <w:pPr>
        <w:keepNext w:val="0"/>
        <w:keepLines w:val="0"/>
        <w:pageBreakBefore w:val="0"/>
        <w:kinsoku/>
        <w:wordWrap/>
        <w:overflowPunct/>
        <w:topLinePunct w:val="0"/>
        <w:autoSpaceDN/>
        <w:bidi w:val="0"/>
        <w:adjustRightInd/>
        <w:spacing w:line="360" w:lineRule="auto"/>
        <w:ind w:firstLine="643" w:firstLineChars="200"/>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（一）</w:t>
      </w:r>
      <w:r>
        <w:rPr>
          <w:rFonts w:hint="eastAsia" w:ascii="仿宋" w:hAnsi="仿宋" w:eastAsia="仿宋" w:cs="仿宋"/>
          <w:b/>
          <w:bCs/>
          <w:color w:val="000000"/>
          <w:kern w:val="0"/>
          <w:sz w:val="32"/>
          <w:szCs w:val="32"/>
          <w:shd w:val="clear" w:color="auto" w:fill="FFFFFF"/>
          <w:lang w:val="zh-CN"/>
        </w:rPr>
        <w:t>部门财政资金收入情况。</w:t>
      </w:r>
    </w:p>
    <w:p w14:paraId="4D9B9269">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en-US" w:eastAsia="zh-CN"/>
        </w:rPr>
        <w:t>2024年，</w:t>
      </w:r>
      <w:r>
        <w:rPr>
          <w:rFonts w:hint="eastAsia" w:ascii="仿宋" w:hAnsi="仿宋" w:eastAsia="仿宋" w:cs="仿宋"/>
          <w:sz w:val="32"/>
          <w:szCs w:val="32"/>
          <w:lang w:val="en-US" w:eastAsia="zh-CN"/>
        </w:rPr>
        <w:t>财政拨款预算收入1182.38万元，财政拨款收入1182.38万元。</w:t>
      </w:r>
    </w:p>
    <w:p w14:paraId="03123880">
      <w:pPr>
        <w:keepNext w:val="0"/>
        <w:keepLines w:val="0"/>
        <w:pageBreakBefore w:val="0"/>
        <w:numPr>
          <w:ilvl w:val="0"/>
          <w:numId w:val="0"/>
        </w:numPr>
        <w:kinsoku/>
        <w:wordWrap/>
        <w:overflowPunct/>
        <w:topLinePunct w:val="0"/>
        <w:autoSpaceDN/>
        <w:bidi w:val="0"/>
        <w:adjustRightInd/>
        <w:spacing w:line="360" w:lineRule="auto"/>
        <w:ind w:left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（二）部门财政资金支出情况。</w:t>
      </w:r>
    </w:p>
    <w:p w14:paraId="1C763E6C">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2024年，部门财政支付1182.38万元，</w:t>
      </w:r>
      <w:r>
        <w:rPr>
          <w:rFonts w:hint="eastAsia" w:ascii="仿宋" w:hAnsi="仿宋" w:eastAsia="仿宋" w:cs="仿宋"/>
          <w:sz w:val="32"/>
          <w:szCs w:val="32"/>
          <w:lang w:val="zh-CN"/>
        </w:rPr>
        <w:t>基本支出</w:t>
      </w:r>
      <w:r>
        <w:rPr>
          <w:rFonts w:hint="eastAsia" w:ascii="仿宋" w:hAnsi="仿宋" w:eastAsia="仿宋" w:cs="仿宋"/>
          <w:sz w:val="32"/>
          <w:szCs w:val="32"/>
          <w:lang w:val="en-US" w:eastAsia="zh-CN"/>
        </w:rPr>
        <w:t>900.12万元（其中人员经费750.33万元，公用经费149.8万元），项目支出282.26万元。</w:t>
      </w:r>
    </w:p>
    <w:p w14:paraId="320C2D9D">
      <w:pPr>
        <w:keepNext w:val="0"/>
        <w:keepLines w:val="0"/>
        <w:pageBreakBefore w:val="0"/>
        <w:widowControl/>
        <w:numPr>
          <w:ilvl w:val="0"/>
          <w:numId w:val="0"/>
        </w:numPr>
        <w:wordWrap/>
        <w:overflowPunct/>
        <w:topLinePunct w:val="0"/>
        <w:bidi w:val="0"/>
        <w:adjustRightInd w:val="0"/>
        <w:snapToGrid w:val="0"/>
        <w:spacing w:line="360" w:lineRule="auto"/>
        <w:ind w:left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（三）部门财政资金结转结余情况。</w:t>
      </w:r>
    </w:p>
    <w:p w14:paraId="51573BF9">
      <w:pPr>
        <w:keepNext w:val="0"/>
        <w:keepLines w:val="0"/>
        <w:pageBreakBefore w:val="0"/>
        <w:widowControl/>
        <w:numPr>
          <w:ilvl w:val="0"/>
          <w:numId w:val="0"/>
        </w:numPr>
        <w:wordWrap/>
        <w:overflowPunct/>
        <w:topLinePunct w:val="0"/>
        <w:bidi w:val="0"/>
        <w:adjustRightInd w:val="0"/>
        <w:snapToGrid w:val="0"/>
        <w:spacing w:line="360" w:lineRule="auto"/>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结转结余为13.49万元。</w:t>
      </w:r>
    </w:p>
    <w:p w14:paraId="022823D8">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三、部门整体绩效管理情况（根据部门整体支出绩效自评</w:t>
      </w:r>
      <w:r>
        <w:rPr>
          <w:rFonts w:hint="eastAsia" w:ascii="仿宋" w:hAnsi="仿宋" w:eastAsia="仿宋" w:cs="仿宋"/>
          <w:b/>
          <w:bCs/>
          <w:color w:val="000000"/>
          <w:kern w:val="0"/>
          <w:sz w:val="32"/>
          <w:szCs w:val="32"/>
          <w:shd w:val="clear" w:color="auto" w:fill="FFFFFF"/>
          <w:lang w:eastAsia="zh-CN"/>
        </w:rPr>
        <w:t>和部门预算项目支出绩效自评情况</w:t>
      </w:r>
      <w:r>
        <w:rPr>
          <w:rFonts w:hint="eastAsia" w:ascii="仿宋" w:hAnsi="仿宋" w:eastAsia="仿宋" w:cs="仿宋"/>
          <w:b/>
          <w:bCs/>
          <w:color w:val="000000"/>
          <w:kern w:val="0"/>
          <w:sz w:val="32"/>
          <w:szCs w:val="32"/>
          <w:shd w:val="clear" w:color="auto" w:fill="FFFFFF"/>
        </w:rPr>
        <w:t>进行描述）</w:t>
      </w:r>
    </w:p>
    <w:p w14:paraId="1BB036C0">
      <w:pPr>
        <w:keepNext w:val="0"/>
        <w:keepLines w:val="0"/>
        <w:pageBreakBefore w:val="0"/>
        <w:kinsoku/>
        <w:wordWrap/>
        <w:overflowPunct/>
        <w:topLinePunct w:val="0"/>
        <w:autoSpaceDN/>
        <w:bidi w:val="0"/>
        <w:adjustRightInd/>
        <w:spacing w:line="360" w:lineRule="auto"/>
        <w:ind w:firstLine="643"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（一）部门整体履职绩效分析。</w:t>
      </w:r>
      <w:r>
        <w:rPr>
          <w:rFonts w:hint="eastAsia" w:ascii="仿宋" w:hAnsi="仿宋" w:eastAsia="仿宋" w:cs="仿宋"/>
          <w:color w:val="000000"/>
          <w:kern w:val="0"/>
          <w:sz w:val="32"/>
          <w:szCs w:val="32"/>
          <w:shd w:val="clear" w:color="auto" w:fill="FFFFFF"/>
          <w:lang w:val="zh-CN"/>
        </w:rPr>
        <w:t>围绕部门整体绩效目标完成情况和部门履职情况进行绩效分析。</w:t>
      </w:r>
    </w:p>
    <w:p w14:paraId="1A7A9E78">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围绕部门整体目标，支出总额控制在预算总额以内，制度执行总体较为有效，但仍需进一步强化，资金使用管理需进一步加强，</w:t>
      </w:r>
    </w:p>
    <w:p w14:paraId="4BC9996F">
      <w:pPr>
        <w:pStyle w:val="2"/>
        <w:keepNext w:val="0"/>
        <w:keepLines w:val="0"/>
        <w:pageBreakBefore w:val="0"/>
        <w:wordWrap/>
        <w:overflowPunct/>
        <w:topLinePunct w:val="0"/>
        <w:bidi w:val="0"/>
        <w:spacing w:line="360" w:lineRule="auto"/>
        <w:jc w:val="both"/>
        <w:rPr>
          <w:rFonts w:hint="eastAsia" w:ascii="仿宋" w:hAnsi="仿宋" w:eastAsia="仿宋" w:cs="仿宋"/>
          <w:sz w:val="32"/>
          <w:szCs w:val="32"/>
          <w:lang w:val="en-US"/>
        </w:rPr>
      </w:pPr>
      <w:r>
        <w:rPr>
          <w:rFonts w:hint="eastAsia" w:ascii="仿宋" w:hAnsi="仿宋" w:eastAsia="仿宋" w:cs="仿宋"/>
          <w:sz w:val="32"/>
          <w:szCs w:val="32"/>
          <w:lang w:val="en-US" w:eastAsia="zh-CN"/>
        </w:rPr>
        <w:t>整体绩效得分95分。</w:t>
      </w:r>
    </w:p>
    <w:p w14:paraId="0620E089">
      <w:pPr>
        <w:keepNext w:val="0"/>
        <w:keepLines w:val="0"/>
        <w:pageBreakBefore w:val="0"/>
        <w:numPr>
          <w:ilvl w:val="0"/>
          <w:numId w:val="0"/>
        </w:numPr>
        <w:kinsoku/>
        <w:wordWrap/>
        <w:overflowPunct/>
        <w:topLinePunct w:val="0"/>
        <w:autoSpaceDN/>
        <w:bidi w:val="0"/>
        <w:adjustRightInd/>
        <w:spacing w:line="360" w:lineRule="auto"/>
        <w:ind w:firstLine="643"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（二）特定目标类项目绩效分析。</w:t>
      </w:r>
      <w:r>
        <w:rPr>
          <w:rFonts w:hint="eastAsia" w:ascii="仿宋" w:hAnsi="仿宋" w:eastAsia="仿宋" w:cs="仿宋"/>
          <w:color w:val="000000"/>
          <w:kern w:val="0"/>
          <w:sz w:val="32"/>
          <w:szCs w:val="32"/>
          <w:shd w:val="clear" w:color="auto" w:fill="FFFFFF"/>
          <w:lang w:val="zh-CN"/>
        </w:rPr>
        <w:t>包括项目绩效目标制定、目标实现、支出控制、及时处置、执行进度、预算完成情况、资金结余率（低效无效率）和违规记录等情况。</w:t>
      </w:r>
    </w:p>
    <w:p w14:paraId="3EEE9551">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sz w:val="32"/>
          <w:szCs w:val="32"/>
          <w:lang w:val="en-US" w:eastAsia="zh-CN"/>
        </w:rPr>
        <w:t>整体情况：在经费管理方面，坚持“先预算，后支出”，实行预算全覆盖，各项收入和支出全部纳入预算管理，统筹安排使用，优化使用结构，保证重点项目实施。严格执行《中华人民共和国政府采购法》，按照政府采购的标准和要求执行政府采购工作。进一步优化支出结构，控制“三公”经费支出，压缩一般性支出，坚决抵制铺张浪费行为，降低政府运行成本，从财政自身做起，合理调度财政资金，保证政府机构正常的工作运转，实现财政资金利益最大化，无违规记录情况。</w:t>
      </w:r>
    </w:p>
    <w:p w14:paraId="1CBA6507">
      <w:pPr>
        <w:pStyle w:val="2"/>
        <w:keepNext w:val="0"/>
        <w:keepLines w:val="0"/>
        <w:pageBreakBefore w:val="0"/>
        <w:tabs>
          <w:tab w:val="left" w:pos="655"/>
        </w:tabs>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特定项目有法治宣传及司法专项经费。预算共计77.73万元，项目绩效目标制定规范，目标基本时限、支出控制在预算范围内，及时处置有问题的点、执行进度及时跟进，支付77.73万元，完成预算的100%；上级转移资金104万元，支付90.51万元，支付率达87.03%。</w:t>
      </w:r>
    </w:p>
    <w:p w14:paraId="7EA0D059">
      <w:pPr>
        <w:keepNext w:val="0"/>
        <w:keepLines w:val="0"/>
        <w:pageBreakBefore w:val="0"/>
        <w:widowControl w:val="0"/>
        <w:tabs>
          <w:tab w:val="left" w:pos="865"/>
        </w:tabs>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ascii="仿宋" w:hAnsi="仿宋" w:eastAsia="仿宋" w:cs="仿宋"/>
          <w:sz w:val="32"/>
          <w:szCs w:val="32"/>
          <w:lang w:val="en-US" w:eastAsia="zh-CN"/>
        </w:rPr>
        <w:t>另外有上级转移资金（上年结余结转金），其中法律援助4.36万元，支付4.36万元；工作因素资金59.65万元，支付59.65万元；法治公园建设资金50万元，支付50万元，全面完成指标。</w:t>
      </w:r>
    </w:p>
    <w:p w14:paraId="147C7BF3">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val="en-US" w:eastAsia="zh-CN"/>
        </w:rPr>
        <w:t>3.无违规情况发生。</w:t>
      </w:r>
    </w:p>
    <w:p w14:paraId="231B70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（三）</w:t>
      </w:r>
      <w:r>
        <w:rPr>
          <w:rFonts w:hint="eastAsia" w:ascii="仿宋" w:hAnsi="仿宋" w:eastAsia="仿宋" w:cs="仿宋"/>
          <w:b/>
          <w:bCs/>
          <w:color w:val="000000"/>
          <w:kern w:val="0"/>
          <w:sz w:val="32"/>
          <w:szCs w:val="32"/>
          <w:shd w:val="clear" w:color="auto" w:fill="FFFFFF"/>
          <w:lang w:val="zh-CN"/>
        </w:rPr>
        <w:t>部门预算项目支出情况分析。</w:t>
      </w:r>
      <w:r>
        <w:rPr>
          <w:rFonts w:hint="eastAsia" w:ascii="仿宋" w:hAnsi="仿宋" w:eastAsia="仿宋" w:cs="仿宋"/>
          <w:color w:val="000000"/>
          <w:kern w:val="0"/>
          <w:sz w:val="32"/>
          <w:szCs w:val="32"/>
          <w:shd w:val="clear" w:color="auto" w:fill="FFFFFF"/>
          <w:lang w:val="zh-CN"/>
        </w:rPr>
        <w:t>根据《部门预算项目支出绩效自评表》</w:t>
      </w:r>
      <w:r>
        <w:rPr>
          <w:rFonts w:hint="eastAsia" w:ascii="仿宋" w:hAnsi="仿宋" w:eastAsia="仿宋" w:cs="仿宋"/>
          <w:color w:val="000000"/>
          <w:kern w:val="0"/>
          <w:sz w:val="32"/>
          <w:szCs w:val="32"/>
          <w:shd w:val="clear" w:color="auto" w:fill="FFFFFF"/>
          <w:lang w:val="en-US" w:eastAsia="zh-CN"/>
        </w:rPr>
        <w:t>自评结果逐项描述自评情况。（多个项目请分别描述</w:t>
      </w:r>
      <w:r>
        <w:rPr>
          <w:rFonts w:hint="eastAsia" w:ascii="仿宋" w:hAnsi="仿宋" w:eastAsia="仿宋" w:cs="仿宋"/>
          <w:color w:val="000000"/>
          <w:kern w:val="0"/>
          <w:sz w:val="32"/>
          <w:szCs w:val="32"/>
          <w:shd w:val="clear" w:color="auto" w:fill="FFFFFF"/>
          <w:lang w:val="zh-CN"/>
        </w:rPr>
        <w:t>）</w:t>
      </w:r>
    </w:p>
    <w:p w14:paraId="727B4ADD">
      <w:pPr>
        <w:pStyle w:val="2"/>
        <w:keepNext w:val="0"/>
        <w:keepLines w:val="0"/>
        <w:pageBreakBefore w:val="0"/>
        <w:numPr>
          <w:ilvl w:val="0"/>
          <w:numId w:val="1"/>
        </w:numPr>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法制宣传及司法专项经费预算77.73万元，支付77.73万元：用于支付德古协会案件补贴“以奖代补”、法律顾问咨询（服务）费、律师应诉代理费、购买法治宣传用品费。</w:t>
      </w:r>
    </w:p>
    <w:p w14:paraId="683ED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2.上级转移支付资金104万元，支付90.51万元，结转13.49万元。用于支付司法救助、法律援助案件补贴、来川律师法律咨询服务费及法治文化公园建设（乾池公园）费。</w:t>
      </w:r>
    </w:p>
    <w:p w14:paraId="60282E38">
      <w:pPr>
        <w:keepNext w:val="0"/>
        <w:keepLines w:val="0"/>
        <w:pageBreakBefore w:val="0"/>
        <w:kinsoku/>
        <w:wordWrap/>
        <w:overflowPunct/>
        <w:topLinePunct w:val="0"/>
        <w:autoSpaceDN/>
        <w:bidi w:val="0"/>
        <w:adjustRightInd/>
        <w:spacing w:line="360" w:lineRule="auto"/>
        <w:ind w:firstLine="643"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（四）结果应用情况。</w:t>
      </w:r>
      <w:r>
        <w:rPr>
          <w:rFonts w:hint="eastAsia" w:ascii="仿宋" w:hAnsi="仿宋" w:eastAsia="仿宋" w:cs="仿宋"/>
          <w:color w:val="000000"/>
          <w:kern w:val="0"/>
          <w:sz w:val="32"/>
          <w:szCs w:val="32"/>
          <w:shd w:val="clear" w:color="auto" w:fill="FFFFFF"/>
          <w:lang w:val="zh-CN"/>
        </w:rPr>
        <w:t>包括内部应用、自评公开、问题整改和应用反馈等情况。</w:t>
      </w:r>
    </w:p>
    <w:p w14:paraId="2FB057F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1.信息公开情况：根据县财政局统一安排，在规定时间按照统一格式、内容、口径在单位门户网站公开了2024年部门预算信息，做到基础数据真实、准确、完整。</w:t>
      </w:r>
    </w:p>
    <w:p w14:paraId="37F051FF">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2.结果运用情况：2024</w:t>
      </w:r>
      <w:r>
        <w:rPr>
          <w:rFonts w:hint="eastAsia" w:ascii="仿宋" w:hAnsi="仿宋" w:eastAsia="仿宋" w:cs="仿宋"/>
          <w:sz w:val="32"/>
          <w:szCs w:val="32"/>
        </w:rPr>
        <w:t>年，根据年初工作规划和重点工作，围绕</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政府的工作部署，积极履行职责，强化管理，较好地完成了年度工作目标，同时加强预算收支的管理，建立健全内部管理制度，严格内部管理流程，部门整体支出管理得到了提升。</w:t>
      </w:r>
    </w:p>
    <w:p w14:paraId="5D81D615">
      <w:pPr>
        <w:keepNext w:val="0"/>
        <w:keepLines w:val="0"/>
        <w:pageBreakBefore w:val="0"/>
        <w:widowControl/>
        <w:wordWrap/>
        <w:overflowPunct/>
        <w:topLinePunct w:val="0"/>
        <w:bidi w:val="0"/>
        <w:adjustRightInd w:val="0"/>
        <w:snapToGrid w:val="0"/>
        <w:spacing w:line="360" w:lineRule="auto"/>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lang w:eastAsia="zh-CN"/>
        </w:rPr>
        <w:t>四</w:t>
      </w:r>
      <w:r>
        <w:rPr>
          <w:rFonts w:hint="eastAsia" w:ascii="仿宋" w:hAnsi="仿宋" w:eastAsia="仿宋" w:cs="仿宋"/>
          <w:b/>
          <w:bCs/>
          <w:color w:val="000000"/>
          <w:kern w:val="0"/>
          <w:sz w:val="32"/>
          <w:szCs w:val="32"/>
          <w:shd w:val="clear" w:color="auto" w:fill="FFFFFF"/>
        </w:rPr>
        <w:t>、评价结论及建议</w:t>
      </w:r>
    </w:p>
    <w:p w14:paraId="72490D3A">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r>
        <w:rPr>
          <w:rFonts w:hint="eastAsia" w:ascii="仿宋" w:hAnsi="仿宋" w:eastAsia="仿宋" w:cs="仿宋"/>
          <w:sz w:val="32"/>
          <w:szCs w:val="32"/>
          <w:lang w:val="zh-CN"/>
        </w:rPr>
        <w:t>根据《峨边彝族自治县财政局 关于开展20</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年部门整体、项目支出预算绩效评价工作的通知》文件精神，</w:t>
      </w:r>
      <w:r>
        <w:rPr>
          <w:rFonts w:hint="eastAsia" w:ascii="仿宋" w:hAnsi="仿宋" w:eastAsia="仿宋" w:cs="仿宋"/>
          <w:sz w:val="32"/>
          <w:szCs w:val="32"/>
          <w:lang w:val="en-US" w:eastAsia="zh-CN"/>
        </w:rPr>
        <w:t>我局认真组织开展了部门整体支出绩效评价工作，绩效评价</w:t>
      </w:r>
      <w:r>
        <w:rPr>
          <w:rFonts w:hint="eastAsia" w:ascii="仿宋" w:hAnsi="仿宋" w:eastAsia="仿宋" w:cs="仿宋"/>
          <w:sz w:val="32"/>
          <w:szCs w:val="32"/>
          <w:lang w:val="zh-CN"/>
        </w:rPr>
        <w:t>得分：</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分。</w:t>
      </w:r>
    </w:p>
    <w:p w14:paraId="5C760AC5">
      <w:pPr>
        <w:keepNext w:val="0"/>
        <w:keepLines w:val="0"/>
        <w:pageBreakBefore w:val="0"/>
        <w:kinsoku/>
        <w:wordWrap/>
        <w:overflowPunct/>
        <w:topLinePunct w:val="0"/>
        <w:autoSpaceDE/>
        <w:autoSpaceDN/>
        <w:bidi w:val="0"/>
        <w:adjustRightInd/>
        <w:spacing w:line="360" w:lineRule="auto"/>
        <w:ind w:leftChars="0" w:firstLine="643" w:firstLineChars="200"/>
        <w:jc w:val="both"/>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（二）存在问题。</w:t>
      </w:r>
    </w:p>
    <w:p w14:paraId="70E6AD07">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1.部分项目资金支付进度滞后。</w:t>
      </w:r>
    </w:p>
    <w:p w14:paraId="74721C93">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color w:val="000000"/>
          <w:kern w:val="2"/>
          <w:sz w:val="32"/>
          <w:szCs w:val="32"/>
          <w:lang w:val="en-US" w:eastAsia="zh-CN" w:bidi="ar-SA"/>
        </w:rPr>
        <w:t>2.进一步完善财务管理制度、固定资产管理制度、费用报销规程等制度，进一步强化财务约束监督体制。</w:t>
      </w:r>
    </w:p>
    <w:p w14:paraId="396324E2">
      <w:pPr>
        <w:keepNext w:val="0"/>
        <w:keepLines w:val="0"/>
        <w:pageBreakBefore w:val="0"/>
        <w:numPr>
          <w:ilvl w:val="0"/>
          <w:numId w:val="2"/>
        </w:numPr>
        <w:kinsoku/>
        <w:wordWrap/>
        <w:overflowPunct/>
        <w:topLinePunct w:val="0"/>
        <w:autoSpaceDE/>
        <w:autoSpaceDN/>
        <w:bidi w:val="0"/>
        <w:adjustRightInd/>
        <w:spacing w:line="360" w:lineRule="auto"/>
        <w:ind w:leftChars="0" w:firstLine="643" w:firstLineChars="200"/>
        <w:jc w:val="both"/>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改进建议。</w:t>
      </w:r>
    </w:p>
    <w:p w14:paraId="49ED63D4">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1.进一步加强单位内部机构各股室的预算管理意识，严格按照预算编制的相关制度和要求进行预算编制。</w:t>
      </w:r>
    </w:p>
    <w:p w14:paraId="3017DC46">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2.规范单位财务行为。在费用报账支付时，按照预算规定的费用项目和用途进行资金使用审核、列报支付、财务核算，杜绝超支现象的发生。</w:t>
      </w:r>
    </w:p>
    <w:p w14:paraId="40E57D44">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en-US" w:eastAsia="zh-CN" w:bidi="ar-SA"/>
        </w:rPr>
        <w:t>3.规范专项资金管理，严格执行项目管理程序（项目申报、实施、拨付、评价全流程）。</w:t>
      </w:r>
    </w:p>
    <w:p w14:paraId="08537EA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4EF7">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5C5FD7B">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5B5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46460"/>
    <w:multiLevelType w:val="singleLevel"/>
    <w:tmpl w:val="C0D46460"/>
    <w:lvl w:ilvl="0" w:tentative="0">
      <w:start w:val="1"/>
      <w:numFmt w:val="decimal"/>
      <w:suff w:val="nothing"/>
      <w:lvlText w:val="%1、"/>
      <w:lvlJc w:val="left"/>
    </w:lvl>
  </w:abstractNum>
  <w:abstractNum w:abstractNumId="1">
    <w:nsid w:val="74CFFAD2"/>
    <w:multiLevelType w:val="singleLevel"/>
    <w:tmpl w:val="74CFFAD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3D3379E"/>
    <w:rsid w:val="0DBC5AF3"/>
    <w:rsid w:val="0F702DCC"/>
    <w:rsid w:val="10B71B4A"/>
    <w:rsid w:val="11C77F68"/>
    <w:rsid w:val="13E94EDC"/>
    <w:rsid w:val="191147C7"/>
    <w:rsid w:val="19927F78"/>
    <w:rsid w:val="1B88514F"/>
    <w:rsid w:val="1E7B55F3"/>
    <w:rsid w:val="1EB76F49"/>
    <w:rsid w:val="21AE59D8"/>
    <w:rsid w:val="24905609"/>
    <w:rsid w:val="25F80D31"/>
    <w:rsid w:val="26E61122"/>
    <w:rsid w:val="2797340B"/>
    <w:rsid w:val="286F56EA"/>
    <w:rsid w:val="28BD1C13"/>
    <w:rsid w:val="29FB0312"/>
    <w:rsid w:val="2ADE5BA2"/>
    <w:rsid w:val="2B7D699F"/>
    <w:rsid w:val="2D527252"/>
    <w:rsid w:val="2D7A67E5"/>
    <w:rsid w:val="2E392E0A"/>
    <w:rsid w:val="2EEC3C65"/>
    <w:rsid w:val="302A2BAE"/>
    <w:rsid w:val="329102D6"/>
    <w:rsid w:val="37460BB4"/>
    <w:rsid w:val="3A9520B3"/>
    <w:rsid w:val="3DE562B7"/>
    <w:rsid w:val="3E6507EA"/>
    <w:rsid w:val="40193749"/>
    <w:rsid w:val="42DC31A4"/>
    <w:rsid w:val="4325121C"/>
    <w:rsid w:val="443A3B1C"/>
    <w:rsid w:val="47550EBA"/>
    <w:rsid w:val="4A0F35DD"/>
    <w:rsid w:val="4D1C34B6"/>
    <w:rsid w:val="4E2C12FA"/>
    <w:rsid w:val="50BB3388"/>
    <w:rsid w:val="5C241354"/>
    <w:rsid w:val="5E1E0026"/>
    <w:rsid w:val="649A4F60"/>
    <w:rsid w:val="6636451A"/>
    <w:rsid w:val="6BE94116"/>
    <w:rsid w:val="72897D89"/>
    <w:rsid w:val="740869C5"/>
    <w:rsid w:val="74792D1E"/>
    <w:rsid w:val="7792140E"/>
    <w:rsid w:val="78916378"/>
    <w:rsid w:val="791A446F"/>
    <w:rsid w:val="79B62BCC"/>
    <w:rsid w:val="7BC20073"/>
    <w:rsid w:val="7C631402"/>
    <w:rsid w:val="7C692369"/>
    <w:rsid w:val="7D825199"/>
    <w:rsid w:val="7DCC0F6E"/>
    <w:rsid w:val="7E140770"/>
    <w:rsid w:val="7F997FEC"/>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line="700" w:lineRule="exact"/>
      <w:jc w:val="center"/>
    </w:pPr>
    <w:rPr>
      <w:rFonts w:eastAsia="方正小标宋简体"/>
      <w:color w:val="000000"/>
      <w:kern w:val="0"/>
      <w:sz w:val="44"/>
      <w:szCs w:val="44"/>
    </w:rPr>
  </w:style>
  <w:style w:type="paragraph" w:styleId="3">
    <w:name w:val="Document Map"/>
    <w:basedOn w:val="1"/>
    <w:link w:val="12"/>
    <w:qFormat/>
    <w:uiPriority w:val="99"/>
    <w:rPr>
      <w:rFonts w:ascii="宋体"/>
      <w:sz w:val="18"/>
      <w:szCs w:val="18"/>
    </w:rPr>
  </w:style>
  <w:style w:type="paragraph" w:styleId="4">
    <w:name w:val="Plain Text"/>
    <w:basedOn w:val="1"/>
    <w:qFormat/>
    <w:locked/>
    <w:uiPriority w:val="0"/>
    <w:rPr>
      <w:rFonts w:ascii="宋体" w:hAnsi="Courier New" w:cs="Courier New"/>
      <w:color w:val="000000"/>
      <w:spacing w:val="20"/>
      <w:szCs w:val="21"/>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147c1b98-4fbd-4211-88f5-df39a9749f74</errorID>
      <errorWord>督察</errorWord>
      <group>L1_Word</group>
      <groupName>字词问题</groupName>
      <ability>L2_Typo</ability>
      <abilityName>字词错误</abilityName>
      <candidateList>
        <item>督查</item>
      </candidateList>
      <explain/>
      <paraID>49B02BAE</paraID>
      <start>65</start>
      <end>67</end>
      <status>ignored</status>
      <modifiedWord/>
      <trackRevisions>false</trackRevisions>
    </reviewItem>
  </reviewItems>
  <config/>
</contractReview>
</file>

<file path=customXml/itemProps1.xml><?xml version="1.0" encoding="utf-8"?>
<ds:datastoreItem xmlns:ds="http://schemas.openxmlformats.org/officeDocument/2006/customXml" ds:itemID="{93c6feb7-3b45-4745-b07e-fd6d578080c1}">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2487</Words>
  <Characters>2646</Characters>
  <Lines>3</Lines>
  <Paragraphs>1</Paragraphs>
  <TotalTime>19</TotalTime>
  <ScaleCrop>false</ScaleCrop>
  <LinksUpToDate>false</LinksUpToDate>
  <CharactersWithSpaces>2651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2025-07-09T07:38:00Z</cp:lastPrinted>
  <dcterms:modified xsi:type="dcterms:W3CDTF">2025-12-05T02:24:22Z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8E523A0118BF49759F8C898D3E378DAF_12</vt:lpwstr>
  </property>
</Properties>
</file>