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FC900">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7D1E82B9">
      <w:pPr>
        <w:pStyle w:val="3"/>
        <w:bidi w:val="0"/>
        <w:ind w:left="0" w:leftChars="0" w:firstLine="0" w:firstLineChars="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峨边彝族自治县司法局</w:t>
      </w:r>
    </w:p>
    <w:p w14:paraId="3DFE3B67">
      <w:pPr>
        <w:pStyle w:val="4"/>
        <w:numPr>
          <w:ilvl w:val="1"/>
          <w:numId w:val="0"/>
        </w:numPr>
        <w:tabs>
          <w:tab w:val="clear" w:pos="1080"/>
          <w:tab w:val="clear" w:pos="2422"/>
        </w:tabs>
        <w:bidi w:val="0"/>
        <w:jc w:val="center"/>
        <w:rPr>
          <w:rFonts w:hint="default"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2025年部门预算公开</w:t>
      </w:r>
    </w:p>
    <w:p w14:paraId="02066274">
      <w:pPr>
        <w:jc w:val="center"/>
        <w:rPr>
          <w:rFonts w:hint="eastAsia" w:ascii="方正小标宋简体" w:hAnsi="方正小标宋简体" w:eastAsia="方正小标宋简体" w:cs="方正小标宋简体"/>
          <w:b w:val="0"/>
          <w:bCs/>
          <w:sz w:val="52"/>
          <w:szCs w:val="52"/>
          <w:lang w:val="en-US" w:eastAsia="zh-CN"/>
        </w:rPr>
      </w:pPr>
    </w:p>
    <w:p w14:paraId="5FD667B5">
      <w:pPr>
        <w:jc w:val="both"/>
        <w:rPr>
          <w:rFonts w:hint="default"/>
          <w:b/>
          <w:bCs/>
          <w:sz w:val="52"/>
          <w:szCs w:val="52"/>
          <w:lang w:val="en-US" w:eastAsia="zh-CN"/>
        </w:rPr>
      </w:pPr>
    </w:p>
    <w:p w14:paraId="5D639520">
      <w:pPr>
        <w:jc w:val="both"/>
        <w:rPr>
          <w:rFonts w:hint="default"/>
          <w:b/>
          <w:bCs/>
          <w:sz w:val="52"/>
          <w:szCs w:val="52"/>
          <w:lang w:val="en-US" w:eastAsia="zh-CN"/>
        </w:rPr>
      </w:pPr>
    </w:p>
    <w:p w14:paraId="4F4D5AB6">
      <w:pPr>
        <w:jc w:val="both"/>
        <w:rPr>
          <w:rFonts w:hint="default"/>
          <w:b/>
          <w:bCs/>
          <w:sz w:val="52"/>
          <w:szCs w:val="52"/>
          <w:lang w:val="en-US" w:eastAsia="zh-CN"/>
        </w:rPr>
      </w:pPr>
    </w:p>
    <w:p w14:paraId="5B6A5CBD">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w:t>
      </w:r>
      <w:r>
        <w:rPr>
          <w:rFonts w:hint="eastAsia" w:ascii="方正小标宋简体" w:hAnsi="方正小标宋简体" w:eastAsia="方正小标宋简体" w:cs="方正小标宋简体"/>
          <w:b w:val="0"/>
          <w:bCs w:val="0"/>
          <w:sz w:val="32"/>
          <w:szCs w:val="32"/>
          <w:u w:val="single"/>
          <w:lang w:val="en-US" w:eastAsia="zh-CN"/>
        </w:rPr>
        <w:t>峨边彝族自治县司法局</w:t>
      </w:r>
    </w:p>
    <w:p w14:paraId="2B2C2EE7">
      <w:pPr>
        <w:ind w:left="0" w:leftChars="0" w:firstLine="0" w:firstLineChars="0"/>
        <w:jc w:val="both"/>
        <w:rPr>
          <w:rFonts w:hint="default"/>
          <w:b/>
          <w:bCs/>
          <w:sz w:val="32"/>
          <w:szCs w:val="32"/>
          <w:lang w:val="en-US" w:eastAsia="zh-CN"/>
        </w:rPr>
      </w:pPr>
    </w:p>
    <w:p w14:paraId="694CC1DC">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2025年5月13日</w:t>
      </w:r>
    </w:p>
    <w:p w14:paraId="78D6D3AB">
      <w:pPr>
        <w:jc w:val="both"/>
        <w:rPr>
          <w:rFonts w:hint="eastAsia"/>
          <w:b/>
          <w:bCs/>
          <w:sz w:val="32"/>
          <w:szCs w:val="32"/>
          <w:lang w:val="en-US" w:eastAsia="zh-CN"/>
        </w:rPr>
      </w:pPr>
    </w:p>
    <w:p w14:paraId="4227FFFF">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3CBCD3E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峨边彝族自治县司法局部门（单位）概况</w:t>
      </w:r>
    </w:p>
    <w:p w14:paraId="09E0D29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2D01835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4EC59CD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第二部分 峨边彝族自治县司法局2025年部门预算表</w:t>
      </w:r>
    </w:p>
    <w:p w14:paraId="4E1700B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1B830BD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1F5491D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0C34777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50B53BE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65B3BBD4">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1B88DEE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3665F62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50FE240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3D263F8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315999B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4B149AC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1D2FB432">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63C6A31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52A4355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644CE3E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第三部分 峨边彝族自治县司法局2025年部门预算情况说明</w:t>
      </w:r>
    </w:p>
    <w:p w14:paraId="526E4C5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206A30CD">
      <w:pPr>
        <w:pStyle w:val="2"/>
        <w:rPr>
          <w:rFonts w:hint="default" w:ascii="黑体" w:hAnsi="黑体" w:eastAsia="黑体" w:cs="黑体"/>
          <w:b w:val="0"/>
          <w:bCs w:val="0"/>
          <w:sz w:val="32"/>
          <w:szCs w:val="32"/>
          <w:lang w:val="en-US" w:eastAsia="zh-CN"/>
        </w:rPr>
      </w:pPr>
    </w:p>
    <w:p w14:paraId="679CF6C9">
      <w:pPr>
        <w:pStyle w:val="3"/>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峨边彝族自治县司法局概况</w:t>
      </w:r>
    </w:p>
    <w:p w14:paraId="51C5E997">
      <w:pPr>
        <w:rPr>
          <w:rFonts w:hint="default"/>
          <w:lang w:val="en-US" w:eastAsia="zh-CN"/>
        </w:rPr>
      </w:pPr>
    </w:p>
    <w:p w14:paraId="6505ACBF">
      <w:pPr>
        <w:pStyle w:val="2"/>
        <w:rPr>
          <w:rFonts w:hint="default"/>
          <w:lang w:val="en-US" w:eastAsia="zh-CN"/>
        </w:rPr>
      </w:pPr>
    </w:p>
    <w:p w14:paraId="6F016E83">
      <w:pPr>
        <w:pStyle w:val="2"/>
        <w:rPr>
          <w:rFonts w:hint="default"/>
          <w:lang w:val="en-US" w:eastAsia="zh-CN"/>
        </w:rPr>
      </w:pPr>
    </w:p>
    <w:p w14:paraId="5D16C581">
      <w:pPr>
        <w:pStyle w:val="2"/>
        <w:rPr>
          <w:rFonts w:hint="default"/>
          <w:lang w:val="en-US" w:eastAsia="zh-CN"/>
        </w:rPr>
      </w:pPr>
    </w:p>
    <w:p w14:paraId="27213B03">
      <w:pPr>
        <w:pStyle w:val="2"/>
        <w:rPr>
          <w:rFonts w:hint="default"/>
          <w:lang w:val="en-US" w:eastAsia="zh-CN"/>
        </w:rPr>
      </w:pPr>
    </w:p>
    <w:p w14:paraId="64B7B08F">
      <w:pPr>
        <w:pStyle w:val="2"/>
        <w:rPr>
          <w:rFonts w:hint="default"/>
          <w:lang w:val="en-US" w:eastAsia="zh-CN"/>
        </w:rPr>
      </w:pPr>
    </w:p>
    <w:p w14:paraId="152960CF">
      <w:pPr>
        <w:pStyle w:val="2"/>
        <w:rPr>
          <w:rFonts w:hint="default"/>
          <w:lang w:val="en-US" w:eastAsia="zh-CN"/>
        </w:rPr>
      </w:pPr>
    </w:p>
    <w:p w14:paraId="590A98C8">
      <w:pPr>
        <w:pStyle w:val="2"/>
        <w:rPr>
          <w:rFonts w:hint="default"/>
          <w:lang w:val="en-US" w:eastAsia="zh-CN"/>
        </w:rPr>
      </w:pPr>
    </w:p>
    <w:p w14:paraId="1335FD85">
      <w:pPr>
        <w:pStyle w:val="2"/>
        <w:rPr>
          <w:rFonts w:hint="default"/>
          <w:lang w:val="en-US" w:eastAsia="zh-CN"/>
        </w:rPr>
      </w:pPr>
    </w:p>
    <w:p w14:paraId="07C31184">
      <w:pPr>
        <w:pStyle w:val="2"/>
        <w:rPr>
          <w:rFonts w:hint="default"/>
          <w:lang w:val="en-US" w:eastAsia="zh-CN"/>
        </w:rPr>
      </w:pPr>
    </w:p>
    <w:p w14:paraId="13186128">
      <w:pPr>
        <w:pStyle w:val="2"/>
        <w:rPr>
          <w:rFonts w:hint="default"/>
          <w:lang w:val="en-US" w:eastAsia="zh-CN"/>
        </w:rPr>
      </w:pPr>
    </w:p>
    <w:p w14:paraId="734BB706">
      <w:pPr>
        <w:pStyle w:val="2"/>
        <w:rPr>
          <w:rFonts w:hint="default"/>
          <w:lang w:val="en-US" w:eastAsia="zh-CN"/>
        </w:rPr>
      </w:pPr>
    </w:p>
    <w:p w14:paraId="5A75CAE1">
      <w:pPr>
        <w:bidi w:val="0"/>
        <w:ind w:left="0" w:leftChars="0" w:firstLine="960" w:firstLineChars="30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5B7F7EF0">
      <w:pPr>
        <w:spacing w:line="60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color w:val="000000" w:themeColor="text1"/>
          <w:sz w:val="32"/>
          <w:szCs w:val="32"/>
          <w14:textFill>
            <w14:solidFill>
              <w14:schemeClr w14:val="tx1"/>
            </w14:solidFill>
          </w14:textFill>
        </w:rPr>
        <w:t>（一）职能简介：</w:t>
      </w:r>
      <w:r>
        <w:rPr>
          <w:rFonts w:hint="eastAsia" w:ascii="仿宋_GB2312" w:hAnsi="仿宋_GB2312" w:eastAsia="仿宋_GB2312" w:cs="仿宋_GB2312"/>
          <w:b w:val="0"/>
          <w:bCs w:val="0"/>
          <w:sz w:val="32"/>
          <w:szCs w:val="32"/>
          <w:lang w:val="en-US" w:eastAsia="zh-CN"/>
        </w:rPr>
        <w:t>根据县委、县政府批准的三定方案，县司法局职责为：中共峨边彝族自治县委全面依法治县办日常工作，人民调解、普法宣传、社区矫正、安置帮教、公共法律服务、基层司法所业务和法治政府建设等职能。</w:t>
      </w:r>
    </w:p>
    <w:p w14:paraId="1AE89CD4">
      <w:pPr>
        <w:pStyle w:val="9"/>
        <w:keepNext w:val="0"/>
        <w:keepLines w:val="0"/>
        <w:pageBreakBefore w:val="0"/>
        <w:widowControl w:val="0"/>
        <w:numPr>
          <w:ilvl w:val="0"/>
          <w:numId w:val="0"/>
        </w:numPr>
        <w:kinsoku/>
        <w:wordWrap/>
        <w:overflowPunct/>
        <w:topLinePunct w:val="0"/>
        <w:autoSpaceDE/>
        <w:autoSpaceDN/>
        <w:bidi w:val="0"/>
        <w:adjustRightInd/>
        <w:spacing w:line="560" w:lineRule="exact"/>
        <w:ind w:left="0"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（二）2025年重点工作任务介绍：</w:t>
      </w:r>
      <w:r>
        <w:rPr>
          <w:rFonts w:hint="default" w:ascii="仿宋_GB2312" w:hAnsi="仿宋_GB2312" w:eastAsia="仿宋_GB2312" w:cs="仿宋_GB2312"/>
          <w:b w:val="0"/>
          <w:bCs w:val="0"/>
          <w:kern w:val="2"/>
          <w:sz w:val="32"/>
          <w:szCs w:val="32"/>
          <w:lang w:val="en-US" w:eastAsia="zh-CN" w:bidi="ar-SA"/>
        </w:rPr>
        <w:t>立足司法行政职能职责和全县司法行政工作实际，</w:t>
      </w:r>
      <w:r>
        <w:rPr>
          <w:rFonts w:hint="eastAsia" w:ascii="仿宋_GB2312" w:hAnsi="仿宋_GB2312" w:eastAsia="仿宋_GB2312" w:cs="仿宋_GB2312"/>
          <w:b w:val="0"/>
          <w:bCs w:val="0"/>
          <w:kern w:val="2"/>
          <w:sz w:val="32"/>
          <w:szCs w:val="32"/>
          <w:lang w:val="en-US" w:eastAsia="zh-CN" w:bidi="ar-SA"/>
        </w:rPr>
        <w:t>认真践行市委“节奏更快、效率更高、质量更优”主题实践活动，</w:t>
      </w:r>
      <w:r>
        <w:rPr>
          <w:rFonts w:hint="default" w:ascii="仿宋_GB2312" w:hAnsi="仿宋_GB2312" w:eastAsia="仿宋_GB2312" w:cs="仿宋_GB2312"/>
          <w:b w:val="0"/>
          <w:bCs w:val="0"/>
          <w:kern w:val="2"/>
          <w:sz w:val="32"/>
          <w:szCs w:val="32"/>
          <w:lang w:val="en-US" w:eastAsia="zh-CN" w:bidi="ar-SA"/>
        </w:rPr>
        <w:t>坚持五年工作总体思路</w:t>
      </w:r>
      <w:r>
        <w:rPr>
          <w:rFonts w:hint="eastAsia" w:ascii="仿宋_GB2312" w:hAnsi="仿宋_GB2312" w:eastAsia="仿宋_GB2312" w:cs="仿宋_GB2312"/>
          <w:b w:val="0"/>
          <w:bCs w:val="0"/>
          <w:kern w:val="2"/>
          <w:sz w:val="32"/>
          <w:szCs w:val="32"/>
          <w:lang w:val="en-US" w:eastAsia="zh-CN" w:bidi="ar-SA"/>
        </w:rPr>
        <w:t>和2025年作风能力提升工作主题，</w:t>
      </w:r>
      <w:r>
        <w:rPr>
          <w:rFonts w:hint="default" w:ascii="仿宋_GB2312" w:hAnsi="仿宋_GB2312" w:eastAsia="仿宋_GB2312" w:cs="仿宋_GB2312"/>
          <w:b w:val="0"/>
          <w:bCs w:val="0"/>
          <w:kern w:val="2"/>
          <w:sz w:val="32"/>
          <w:szCs w:val="32"/>
          <w:lang w:val="en-US" w:eastAsia="zh-CN" w:bidi="ar-SA"/>
        </w:rPr>
        <w:t>聚焦规范化建设、示范带动、创先争优，凝心聚力、团结协作，深入推进峨边司法行政现代化建设进程</w:t>
      </w:r>
      <w:r>
        <w:rPr>
          <w:rFonts w:hint="eastAsia" w:ascii="仿宋_GB2312" w:hAnsi="仿宋_GB2312" w:eastAsia="仿宋_GB2312" w:cs="仿宋_GB2312"/>
          <w:b w:val="0"/>
          <w:bCs w:val="0"/>
          <w:kern w:val="2"/>
          <w:sz w:val="32"/>
          <w:szCs w:val="32"/>
          <w:lang w:val="en-US" w:eastAsia="zh-CN" w:bidi="ar-SA"/>
        </w:rPr>
        <w:t>。一是抓好法治宣传工作，做好“八五”普法规划终期评估工作，充分利用民法典宣传月、“12·4”国家宪法日等重要节点，深入宣传习近平法治思想及贯彻落实的阶段性成果，讲好峨边法治故事，推动入脑入心。二是充分发挥行政复议化解行政争议主渠道作用，积极应对行政诉讼，落实行政负责人出庭应诉工作。三是加强人民调解工作规范化建设。完善人民调解组织网络，促使重点领域、重点行业的人民调解委员会发挥质效。加强人民调解员队伍建设，制定人民调解工作规范和流程，加强对人民调解案件的质量监管。四是常态化开展社区矫正对象和刑满释放人员管控工作，扎实摸清人员底数，加强跟踪帮教，规范档案管理，最大限度地预防和减少人员重新违法犯罪。</w:t>
      </w:r>
    </w:p>
    <w:p w14:paraId="2E66CFA0">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598A1C1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峨边彝族自治县司法局预算单位1个，其中：行政单位1个，事业单位0个。</w:t>
      </w:r>
    </w:p>
    <w:p w14:paraId="24BA618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峨边彝族自治县司法局总编制40名，其中：行政编制32名，参公编制3人，工勤编制3名，事业编制2名。在职人员总数34名，其中：行政28名，参公3名，工勤1名，事业2名。退休人员10人，离休0名。</w:t>
      </w:r>
    </w:p>
    <w:p w14:paraId="2B7BB23E">
      <w:pPr>
        <w:spacing w:line="600" w:lineRule="exact"/>
        <w:ind w:firstLine="640" w:firstLineChars="200"/>
        <w:rPr>
          <w:rFonts w:hint="eastAsia" w:ascii="仿宋" w:hAnsi="仿宋" w:eastAsia="仿宋"/>
          <w:sz w:val="32"/>
          <w:szCs w:val="32"/>
        </w:rPr>
      </w:pPr>
    </w:p>
    <w:p w14:paraId="29ABD984">
      <w:pPr>
        <w:spacing w:line="600" w:lineRule="exact"/>
        <w:ind w:firstLine="640" w:firstLineChars="200"/>
        <w:rPr>
          <w:rFonts w:hint="eastAsia" w:ascii="仿宋" w:hAnsi="仿宋" w:eastAsia="仿宋"/>
          <w:sz w:val="32"/>
          <w:szCs w:val="32"/>
        </w:rPr>
      </w:pPr>
    </w:p>
    <w:p w14:paraId="3CA2CA9A">
      <w:pPr>
        <w:spacing w:line="600" w:lineRule="exact"/>
        <w:ind w:firstLine="640" w:firstLineChars="200"/>
        <w:rPr>
          <w:rFonts w:hint="eastAsia" w:ascii="仿宋" w:hAnsi="仿宋" w:eastAsia="仿宋"/>
          <w:sz w:val="32"/>
          <w:szCs w:val="32"/>
        </w:rPr>
      </w:pPr>
    </w:p>
    <w:p w14:paraId="7DF94AD7">
      <w:pPr>
        <w:spacing w:line="600" w:lineRule="exact"/>
        <w:ind w:firstLine="640" w:firstLineChars="200"/>
        <w:rPr>
          <w:rFonts w:hint="eastAsia" w:ascii="仿宋" w:hAnsi="仿宋" w:eastAsia="仿宋"/>
          <w:sz w:val="32"/>
          <w:szCs w:val="32"/>
        </w:rPr>
      </w:pPr>
    </w:p>
    <w:p w14:paraId="59C667AA">
      <w:pPr>
        <w:spacing w:line="600" w:lineRule="exact"/>
        <w:ind w:firstLine="640" w:firstLineChars="200"/>
        <w:rPr>
          <w:rFonts w:hint="eastAsia" w:ascii="仿宋" w:hAnsi="仿宋" w:eastAsia="仿宋"/>
          <w:sz w:val="32"/>
          <w:szCs w:val="32"/>
        </w:rPr>
      </w:pPr>
    </w:p>
    <w:p w14:paraId="77093B7C">
      <w:pPr>
        <w:pStyle w:val="2"/>
        <w:rPr>
          <w:rFonts w:hint="eastAsia"/>
        </w:rPr>
      </w:pPr>
    </w:p>
    <w:p w14:paraId="25F03346">
      <w:pPr>
        <w:spacing w:line="600" w:lineRule="exact"/>
        <w:ind w:firstLine="640" w:firstLineChars="200"/>
        <w:rPr>
          <w:rFonts w:hint="eastAsia" w:ascii="仿宋" w:hAnsi="仿宋" w:eastAsia="仿宋"/>
          <w:sz w:val="32"/>
          <w:szCs w:val="32"/>
        </w:rPr>
      </w:pPr>
    </w:p>
    <w:p w14:paraId="6DA10C81">
      <w:pPr>
        <w:pStyle w:val="2"/>
        <w:rPr>
          <w:rFonts w:hint="eastAsia" w:ascii="仿宋" w:hAnsi="仿宋" w:eastAsia="仿宋"/>
          <w:sz w:val="32"/>
          <w:szCs w:val="32"/>
        </w:rPr>
      </w:pPr>
    </w:p>
    <w:p w14:paraId="39742400">
      <w:pPr>
        <w:pStyle w:val="2"/>
        <w:rPr>
          <w:rFonts w:hint="eastAsia" w:ascii="仿宋" w:hAnsi="仿宋" w:eastAsia="仿宋"/>
          <w:sz w:val="32"/>
          <w:szCs w:val="32"/>
        </w:rPr>
      </w:pPr>
    </w:p>
    <w:p w14:paraId="0C59E73C">
      <w:pPr>
        <w:pStyle w:val="2"/>
        <w:rPr>
          <w:rFonts w:hint="eastAsia" w:ascii="仿宋" w:hAnsi="仿宋" w:eastAsia="仿宋"/>
          <w:sz w:val="32"/>
          <w:szCs w:val="32"/>
        </w:rPr>
      </w:pPr>
    </w:p>
    <w:p w14:paraId="17BD556C">
      <w:pPr>
        <w:pStyle w:val="2"/>
        <w:rPr>
          <w:rFonts w:hint="eastAsia" w:ascii="仿宋" w:hAnsi="仿宋" w:eastAsia="仿宋"/>
          <w:sz w:val="32"/>
          <w:szCs w:val="32"/>
        </w:rPr>
      </w:pPr>
    </w:p>
    <w:p w14:paraId="00E7B601">
      <w:pPr>
        <w:pStyle w:val="2"/>
        <w:rPr>
          <w:rFonts w:hint="eastAsia" w:ascii="仿宋" w:hAnsi="仿宋" w:eastAsia="仿宋"/>
          <w:sz w:val="32"/>
          <w:szCs w:val="32"/>
        </w:rPr>
      </w:pPr>
    </w:p>
    <w:p w14:paraId="21529F32">
      <w:pPr>
        <w:pStyle w:val="2"/>
        <w:rPr>
          <w:rFonts w:hint="eastAsia" w:ascii="仿宋" w:hAnsi="仿宋" w:eastAsia="仿宋"/>
          <w:sz w:val="32"/>
          <w:szCs w:val="32"/>
        </w:rPr>
      </w:pPr>
    </w:p>
    <w:p w14:paraId="3A4D7AB4">
      <w:pPr>
        <w:pStyle w:val="2"/>
        <w:rPr>
          <w:rFonts w:hint="eastAsia" w:ascii="仿宋" w:hAnsi="仿宋" w:eastAsia="仿宋"/>
          <w:sz w:val="32"/>
          <w:szCs w:val="32"/>
        </w:rPr>
      </w:pPr>
    </w:p>
    <w:p w14:paraId="35A84467">
      <w:pPr>
        <w:pStyle w:val="2"/>
        <w:rPr>
          <w:rFonts w:hint="eastAsia" w:ascii="仿宋" w:hAnsi="仿宋" w:eastAsia="仿宋"/>
          <w:sz w:val="32"/>
          <w:szCs w:val="32"/>
        </w:rPr>
      </w:pPr>
    </w:p>
    <w:p w14:paraId="0D0ECBE4">
      <w:pPr>
        <w:pStyle w:val="2"/>
        <w:rPr>
          <w:rFonts w:hint="eastAsia" w:ascii="仿宋" w:hAnsi="仿宋" w:eastAsia="仿宋"/>
          <w:sz w:val="32"/>
          <w:szCs w:val="32"/>
        </w:rPr>
      </w:pPr>
    </w:p>
    <w:p w14:paraId="6024867E">
      <w:pPr>
        <w:pStyle w:val="2"/>
        <w:rPr>
          <w:rFonts w:hint="eastAsia" w:ascii="仿宋" w:hAnsi="仿宋" w:eastAsia="仿宋"/>
          <w:sz w:val="32"/>
          <w:szCs w:val="32"/>
        </w:rPr>
      </w:pPr>
    </w:p>
    <w:p w14:paraId="22B86DFB">
      <w:pPr>
        <w:pStyle w:val="3"/>
        <w:numPr>
          <w:ilvl w:val="0"/>
          <w:numId w:val="0"/>
        </w:numPr>
        <w:bidi w:val="0"/>
        <w:jc w:val="both"/>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峨边彝族自治县部门司法局</w:t>
      </w:r>
    </w:p>
    <w:p w14:paraId="0EA7C3A7">
      <w:pPr>
        <w:pStyle w:val="4"/>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2025年部门预算表</w:t>
      </w:r>
    </w:p>
    <w:p w14:paraId="4A8394E8">
      <w:pPr>
        <w:spacing w:line="600" w:lineRule="exact"/>
        <w:rPr>
          <w:rFonts w:hint="default" w:ascii="仿宋" w:hAnsi="仿宋" w:eastAsia="仿宋" w:cs="Times New Roman"/>
          <w:sz w:val="32"/>
          <w:szCs w:val="32"/>
          <w:lang w:val="en-US" w:eastAsia="zh-CN"/>
        </w:rPr>
      </w:pPr>
    </w:p>
    <w:p w14:paraId="594F135B">
      <w:pPr>
        <w:spacing w:line="600" w:lineRule="exact"/>
        <w:rPr>
          <w:rFonts w:hint="default" w:ascii="仿宋" w:hAnsi="仿宋" w:eastAsia="仿宋" w:cs="Times New Roman"/>
          <w:sz w:val="32"/>
          <w:szCs w:val="32"/>
          <w:lang w:val="en-US" w:eastAsia="zh-CN"/>
        </w:rPr>
      </w:pPr>
    </w:p>
    <w:p w14:paraId="4D6114B5">
      <w:pPr>
        <w:spacing w:line="600" w:lineRule="exact"/>
        <w:rPr>
          <w:rFonts w:hint="default" w:ascii="仿宋" w:hAnsi="仿宋" w:eastAsia="仿宋" w:cs="Times New Roman"/>
          <w:sz w:val="32"/>
          <w:szCs w:val="32"/>
          <w:lang w:val="en-US" w:eastAsia="zh-CN"/>
        </w:rPr>
      </w:pPr>
    </w:p>
    <w:p w14:paraId="726A310D">
      <w:pPr>
        <w:spacing w:line="600" w:lineRule="exact"/>
        <w:rPr>
          <w:rFonts w:hint="default" w:ascii="仿宋" w:hAnsi="仿宋" w:eastAsia="仿宋" w:cs="Times New Roman"/>
          <w:sz w:val="32"/>
          <w:szCs w:val="32"/>
          <w:lang w:val="en-US" w:eastAsia="zh-CN"/>
        </w:rPr>
      </w:pPr>
    </w:p>
    <w:p w14:paraId="30A8A179">
      <w:pPr>
        <w:spacing w:line="600" w:lineRule="exact"/>
        <w:rPr>
          <w:rFonts w:hint="default" w:ascii="仿宋" w:hAnsi="仿宋" w:eastAsia="仿宋" w:cs="Times New Roman"/>
          <w:sz w:val="32"/>
          <w:szCs w:val="32"/>
          <w:lang w:val="en-US" w:eastAsia="zh-CN"/>
        </w:rPr>
      </w:pPr>
    </w:p>
    <w:p w14:paraId="7D0993F9">
      <w:pPr>
        <w:spacing w:line="600" w:lineRule="exact"/>
        <w:rPr>
          <w:rFonts w:hint="default" w:ascii="仿宋" w:hAnsi="仿宋" w:eastAsia="仿宋" w:cs="Times New Roman"/>
          <w:sz w:val="32"/>
          <w:szCs w:val="32"/>
          <w:lang w:val="en-US" w:eastAsia="zh-CN"/>
        </w:rPr>
      </w:pPr>
    </w:p>
    <w:p w14:paraId="2E3A525B">
      <w:pPr>
        <w:spacing w:line="600" w:lineRule="exact"/>
        <w:rPr>
          <w:rFonts w:hint="default" w:ascii="仿宋" w:hAnsi="仿宋" w:eastAsia="仿宋" w:cs="Times New Roman"/>
          <w:sz w:val="32"/>
          <w:szCs w:val="32"/>
          <w:lang w:val="en-US" w:eastAsia="zh-CN"/>
        </w:rPr>
      </w:pPr>
    </w:p>
    <w:p w14:paraId="19EFD01C">
      <w:pPr>
        <w:spacing w:line="600" w:lineRule="exact"/>
        <w:rPr>
          <w:rFonts w:hint="default" w:ascii="仿宋" w:hAnsi="仿宋" w:eastAsia="仿宋" w:cs="Times New Roman"/>
          <w:sz w:val="32"/>
          <w:szCs w:val="32"/>
          <w:lang w:val="en-US" w:eastAsia="zh-CN"/>
        </w:rPr>
      </w:pPr>
    </w:p>
    <w:p w14:paraId="745E1102">
      <w:pPr>
        <w:spacing w:line="600" w:lineRule="exact"/>
        <w:ind w:left="0" w:leftChars="0" w:firstLine="0" w:firstLineChars="0"/>
        <w:rPr>
          <w:rFonts w:hint="eastAsia" w:ascii="仿宋_GB2312" w:hAnsi="仿宋_GB2312" w:eastAsia="仿宋_GB2312" w:cs="仿宋_GB2312"/>
          <w:sz w:val="32"/>
          <w:szCs w:val="32"/>
          <w:lang w:val="en-US" w:eastAsia="zh-CN"/>
        </w:rPr>
      </w:pPr>
    </w:p>
    <w:p w14:paraId="4E411902">
      <w:pPr>
        <w:spacing w:line="600" w:lineRule="exact"/>
        <w:ind w:left="0" w:leftChars="0" w:firstLine="0" w:firstLineChars="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详见附件2：峨边彝族自治县司法局预算公开报表  </w:t>
      </w:r>
    </w:p>
    <w:p w14:paraId="73EF9017">
      <w:pPr>
        <w:spacing w:line="600" w:lineRule="exact"/>
        <w:ind w:left="0" w:leftChars="0" w:firstLine="0" w:firstLineChars="0"/>
        <w:rPr>
          <w:rFonts w:hint="eastAsia" w:ascii="仿宋_GB2312" w:hAnsi="仿宋_GB2312" w:eastAsia="仿宋_GB2312" w:cs="仿宋_GB2312"/>
          <w:sz w:val="32"/>
          <w:szCs w:val="32"/>
          <w:lang w:val="en-US" w:eastAsia="zh-CN"/>
        </w:rPr>
      </w:pPr>
    </w:p>
    <w:p w14:paraId="2ABF7681">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89600" cy="5751830"/>
            <wp:effectExtent l="0" t="0" r="6350" b="1270"/>
            <wp:docPr id="1" name="图片 1" descr="{bc8045af-299a-4c73-b7a7-f33027461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8045af-299a-4c73-b7a7-f33027461b02}"/>
                    <pic:cNvPicPr>
                      <a:picLocks noChangeAspect="1"/>
                    </pic:cNvPicPr>
                  </pic:nvPicPr>
                  <pic:blipFill>
                    <a:blip r:embed="rId7"/>
                    <a:stretch>
                      <a:fillRect/>
                    </a:stretch>
                  </pic:blipFill>
                  <pic:spPr>
                    <a:xfrm>
                      <a:off x="0" y="0"/>
                      <a:ext cx="5689600" cy="5751830"/>
                    </a:xfrm>
                    <a:prstGeom prst="rect">
                      <a:avLst/>
                    </a:prstGeom>
                  </pic:spPr>
                </pic:pic>
              </a:graphicData>
            </a:graphic>
          </wp:inline>
        </w:drawing>
      </w:r>
    </w:p>
    <w:p w14:paraId="171F46DA">
      <w:pPr>
        <w:pStyle w:val="2"/>
        <w:ind w:left="0" w:leftChars="0" w:firstLine="0" w:firstLineChars="0"/>
        <w:rPr>
          <w:rFonts w:hint="eastAsia"/>
          <w:b/>
          <w:bCs/>
          <w:sz w:val="52"/>
          <w:szCs w:val="52"/>
          <w:lang w:val="en-US" w:eastAsia="zh-CN"/>
        </w:rPr>
      </w:pPr>
    </w:p>
    <w:p w14:paraId="6CB9EDC5">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79440" cy="953770"/>
            <wp:effectExtent l="0" t="0" r="16510" b="17780"/>
            <wp:docPr id="3" name="图片 3" descr="{3575c756-7079-4835-9fa3-9b10a8b1b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575c756-7079-4835-9fa3-9b10a8b1bef9}"/>
                    <pic:cNvPicPr>
                      <a:picLocks noChangeAspect="1"/>
                    </pic:cNvPicPr>
                  </pic:nvPicPr>
                  <pic:blipFill>
                    <a:blip r:embed="rId8"/>
                    <a:stretch>
                      <a:fillRect/>
                    </a:stretch>
                  </pic:blipFill>
                  <pic:spPr>
                    <a:xfrm>
                      <a:off x="0" y="0"/>
                      <a:ext cx="5679440" cy="953770"/>
                    </a:xfrm>
                    <a:prstGeom prst="rect">
                      <a:avLst/>
                    </a:prstGeom>
                  </pic:spPr>
                </pic:pic>
              </a:graphicData>
            </a:graphic>
          </wp:inline>
        </w:drawing>
      </w:r>
    </w:p>
    <w:p w14:paraId="7BCBF623">
      <w:pPr>
        <w:pStyle w:val="2"/>
        <w:ind w:left="0" w:leftChars="0" w:firstLine="0" w:firstLineChars="0"/>
        <w:rPr>
          <w:rFonts w:hint="eastAsia"/>
          <w:b/>
          <w:bCs/>
          <w:sz w:val="52"/>
          <w:szCs w:val="52"/>
          <w:lang w:val="en-US" w:eastAsia="zh-CN"/>
        </w:rPr>
      </w:pPr>
    </w:p>
    <w:p w14:paraId="1DBF13B9">
      <w:pPr>
        <w:pStyle w:val="2"/>
        <w:rPr>
          <w:rFonts w:hint="eastAsia"/>
          <w:b/>
          <w:bCs/>
          <w:sz w:val="52"/>
          <w:szCs w:val="52"/>
          <w:lang w:val="en-US" w:eastAsia="zh-CN"/>
        </w:rPr>
      </w:pPr>
    </w:p>
    <w:p w14:paraId="29CA713B">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90235" cy="2924175"/>
            <wp:effectExtent l="0" t="0" r="5715" b="9525"/>
            <wp:docPr id="4" name="图片 4" descr="{8b65ce85-adf3-496e-b26d-1e8890324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b65ce85-adf3-496e-b26d-1e88903242f2}"/>
                    <pic:cNvPicPr>
                      <a:picLocks noChangeAspect="1"/>
                    </pic:cNvPicPr>
                  </pic:nvPicPr>
                  <pic:blipFill>
                    <a:blip r:embed="rId9"/>
                    <a:stretch>
                      <a:fillRect/>
                    </a:stretch>
                  </pic:blipFill>
                  <pic:spPr>
                    <a:xfrm>
                      <a:off x="0" y="0"/>
                      <a:ext cx="5690235" cy="2924175"/>
                    </a:xfrm>
                    <a:prstGeom prst="rect">
                      <a:avLst/>
                    </a:prstGeom>
                  </pic:spPr>
                </pic:pic>
              </a:graphicData>
            </a:graphic>
          </wp:inline>
        </w:drawing>
      </w:r>
    </w:p>
    <w:p w14:paraId="5DDB67C5">
      <w:pPr>
        <w:pStyle w:val="2"/>
        <w:ind w:left="0" w:leftChars="0" w:firstLine="0" w:firstLineChars="0"/>
        <w:rPr>
          <w:rFonts w:hint="eastAsia"/>
          <w:b/>
          <w:bCs/>
          <w:sz w:val="52"/>
          <w:szCs w:val="52"/>
          <w:lang w:val="en-US" w:eastAsia="zh-CN"/>
        </w:rPr>
      </w:pPr>
    </w:p>
    <w:p w14:paraId="3CC4CEFC">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92775" cy="4143375"/>
            <wp:effectExtent l="0" t="0" r="3175" b="9525"/>
            <wp:docPr id="5" name="图片 5" descr="{f494f419-9dfe-4ec5-8152-74052fd7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94f419-9dfe-4ec5-8152-74052fd7e001}"/>
                    <pic:cNvPicPr>
                      <a:picLocks noChangeAspect="1"/>
                    </pic:cNvPicPr>
                  </pic:nvPicPr>
                  <pic:blipFill>
                    <a:blip r:embed="rId10"/>
                    <a:stretch>
                      <a:fillRect/>
                    </a:stretch>
                  </pic:blipFill>
                  <pic:spPr>
                    <a:xfrm>
                      <a:off x="0" y="0"/>
                      <a:ext cx="5692775" cy="4143375"/>
                    </a:xfrm>
                    <a:prstGeom prst="rect">
                      <a:avLst/>
                    </a:prstGeom>
                  </pic:spPr>
                </pic:pic>
              </a:graphicData>
            </a:graphic>
          </wp:inline>
        </w:drawing>
      </w:r>
    </w:p>
    <w:p w14:paraId="464BF718">
      <w:pPr>
        <w:pStyle w:val="2"/>
        <w:rPr>
          <w:rFonts w:hint="eastAsia"/>
          <w:b/>
          <w:bCs/>
          <w:sz w:val="52"/>
          <w:szCs w:val="52"/>
          <w:lang w:val="en-US" w:eastAsia="zh-CN"/>
        </w:rPr>
      </w:pPr>
    </w:p>
    <w:p w14:paraId="628A9E8E">
      <w:pPr>
        <w:pStyle w:val="2"/>
        <w:ind w:left="0" w:leftChars="0" w:firstLine="0" w:firstLineChars="0"/>
        <w:rPr>
          <w:rFonts w:hint="eastAsia"/>
          <w:b/>
          <w:bCs/>
          <w:sz w:val="52"/>
          <w:szCs w:val="52"/>
          <w:lang w:val="en-US" w:eastAsia="zh-CN"/>
        </w:rPr>
      </w:pPr>
    </w:p>
    <w:p w14:paraId="0A6C1627">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64200" cy="2628900"/>
            <wp:effectExtent l="0" t="0" r="12700" b="0"/>
            <wp:docPr id="11" name="图片 11" descr="{0075fb16-57bc-482b-87cf-d33ed2db3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75fb16-57bc-482b-87cf-d33ed2db39e5}"/>
                    <pic:cNvPicPr>
                      <a:picLocks noChangeAspect="1"/>
                    </pic:cNvPicPr>
                  </pic:nvPicPr>
                  <pic:blipFill>
                    <a:blip r:embed="rId11"/>
                    <a:stretch>
                      <a:fillRect/>
                    </a:stretch>
                  </pic:blipFill>
                  <pic:spPr>
                    <a:xfrm>
                      <a:off x="0" y="0"/>
                      <a:ext cx="5664200" cy="2628900"/>
                    </a:xfrm>
                    <a:prstGeom prst="rect">
                      <a:avLst/>
                    </a:prstGeom>
                  </pic:spPr>
                </pic:pic>
              </a:graphicData>
            </a:graphic>
          </wp:inline>
        </w:drawing>
      </w:r>
    </w:p>
    <w:p w14:paraId="5D3039A6">
      <w:pPr>
        <w:pStyle w:val="2"/>
        <w:ind w:left="0" w:leftChars="0" w:firstLine="0" w:firstLineChars="0"/>
        <w:rPr>
          <w:rFonts w:hint="eastAsia"/>
          <w:b/>
          <w:bCs/>
          <w:sz w:val="52"/>
          <w:szCs w:val="52"/>
          <w:lang w:val="en-US" w:eastAsia="zh-CN"/>
        </w:rPr>
      </w:pPr>
    </w:p>
    <w:p w14:paraId="1DA3EF2A">
      <w:pPr>
        <w:pStyle w:val="2"/>
        <w:ind w:left="0" w:leftChars="0" w:firstLine="0" w:firstLineChars="0"/>
        <w:rPr>
          <w:rFonts w:hint="eastAsia"/>
          <w:b/>
          <w:bCs/>
          <w:sz w:val="52"/>
          <w:szCs w:val="52"/>
          <w:lang w:val="en-US" w:eastAsia="zh-CN"/>
        </w:rPr>
      </w:pPr>
    </w:p>
    <w:p w14:paraId="6BA42727">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90235" cy="2924175"/>
            <wp:effectExtent l="0" t="0" r="5715" b="9525"/>
            <wp:docPr id="7" name="图片 7" descr="{8f4d8693-5d0b-40fc-ad45-39031d234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f4d8693-5d0b-40fc-ad45-39031d2340b5}"/>
                    <pic:cNvPicPr>
                      <a:picLocks noChangeAspect="1"/>
                    </pic:cNvPicPr>
                  </pic:nvPicPr>
                  <pic:blipFill>
                    <a:blip r:embed="rId12"/>
                    <a:stretch>
                      <a:fillRect/>
                    </a:stretch>
                  </pic:blipFill>
                  <pic:spPr>
                    <a:xfrm>
                      <a:off x="0" y="0"/>
                      <a:ext cx="5690235" cy="2924175"/>
                    </a:xfrm>
                    <a:prstGeom prst="rect">
                      <a:avLst/>
                    </a:prstGeom>
                  </pic:spPr>
                </pic:pic>
              </a:graphicData>
            </a:graphic>
          </wp:inline>
        </w:drawing>
      </w:r>
    </w:p>
    <w:p w14:paraId="1BDBC8DE">
      <w:pPr>
        <w:pStyle w:val="2"/>
        <w:ind w:left="0" w:leftChars="0" w:firstLine="0" w:firstLineChars="0"/>
        <w:rPr>
          <w:rFonts w:hint="eastAsia"/>
          <w:b/>
          <w:bCs/>
          <w:sz w:val="52"/>
          <w:szCs w:val="52"/>
          <w:lang w:val="en-US" w:eastAsia="zh-CN"/>
        </w:rPr>
      </w:pPr>
    </w:p>
    <w:p w14:paraId="0C56A7F7">
      <w:pPr>
        <w:pStyle w:val="2"/>
        <w:ind w:left="0" w:leftChars="0" w:firstLine="0" w:firstLineChars="0"/>
        <w:rPr>
          <w:rFonts w:hint="eastAsia"/>
          <w:b/>
          <w:bCs/>
          <w:sz w:val="52"/>
          <w:szCs w:val="52"/>
          <w:lang w:val="en-US" w:eastAsia="zh-CN"/>
        </w:rPr>
      </w:pPr>
    </w:p>
    <w:p w14:paraId="4D49DF04">
      <w:pPr>
        <w:pStyle w:val="2"/>
        <w:ind w:left="0" w:leftChars="0" w:firstLine="0" w:firstLineChars="0"/>
        <w:rPr>
          <w:rFonts w:hint="eastAsia"/>
          <w:b/>
          <w:bCs/>
          <w:sz w:val="52"/>
          <w:szCs w:val="52"/>
          <w:lang w:val="en-US" w:eastAsia="zh-CN"/>
        </w:rPr>
      </w:pPr>
      <w:r>
        <w:rPr>
          <w:rFonts w:hint="eastAsia"/>
          <w:b/>
          <w:bCs/>
          <w:sz w:val="52"/>
          <w:szCs w:val="52"/>
          <w:lang w:val="en-US" w:eastAsia="zh-CN"/>
        </w:rPr>
        <w:drawing>
          <wp:inline distT="0" distB="0" distL="114300" distR="114300">
            <wp:extent cx="5688330" cy="6352540"/>
            <wp:effectExtent l="0" t="0" r="7620" b="10160"/>
            <wp:docPr id="8" name="图片 8" descr="{99be8cae-04e8-4fe2-bbd8-547336278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9be8cae-04e8-4fe2-bbd8-547336278aa1}"/>
                    <pic:cNvPicPr>
                      <a:picLocks noChangeAspect="1"/>
                    </pic:cNvPicPr>
                  </pic:nvPicPr>
                  <pic:blipFill>
                    <a:blip r:embed="rId13"/>
                    <a:stretch>
                      <a:fillRect/>
                    </a:stretch>
                  </pic:blipFill>
                  <pic:spPr>
                    <a:xfrm>
                      <a:off x="0" y="0"/>
                      <a:ext cx="5688330" cy="6352540"/>
                    </a:xfrm>
                    <a:prstGeom prst="rect">
                      <a:avLst/>
                    </a:prstGeom>
                  </pic:spPr>
                </pic:pic>
              </a:graphicData>
            </a:graphic>
          </wp:inline>
        </w:drawing>
      </w:r>
    </w:p>
    <w:p w14:paraId="0A07AF13">
      <w:pPr>
        <w:pStyle w:val="3"/>
        <w:numPr>
          <w:ilvl w:val="0"/>
          <w:numId w:val="0"/>
        </w:numPr>
        <w:bidi w:val="0"/>
        <w:jc w:val="both"/>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inline distT="0" distB="0" distL="114300" distR="114300">
            <wp:extent cx="5692140" cy="3475990"/>
            <wp:effectExtent l="0" t="0" r="3810" b="10160"/>
            <wp:docPr id="9" name="图片 9" descr="{24c01d2e-a122-459e-91b2-b49062dff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c01d2e-a122-459e-91b2-b49062dff857}"/>
                    <pic:cNvPicPr>
                      <a:picLocks noChangeAspect="1"/>
                    </pic:cNvPicPr>
                  </pic:nvPicPr>
                  <pic:blipFill>
                    <a:blip r:embed="rId14"/>
                    <a:stretch>
                      <a:fillRect/>
                    </a:stretch>
                  </pic:blipFill>
                  <pic:spPr>
                    <a:xfrm>
                      <a:off x="0" y="0"/>
                      <a:ext cx="5692140" cy="3475990"/>
                    </a:xfrm>
                    <a:prstGeom prst="rect">
                      <a:avLst/>
                    </a:prstGeom>
                  </pic:spPr>
                </pic:pic>
              </a:graphicData>
            </a:graphic>
          </wp:inline>
        </w:drawing>
      </w:r>
    </w:p>
    <w:p w14:paraId="698AA060">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1678A2D1">
      <w:pPr>
        <w:pStyle w:val="2"/>
        <w:ind w:left="0" w:leftChars="0" w:firstLine="0" w:firstLineChars="0"/>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inline distT="0" distB="0" distL="114300" distR="114300">
            <wp:extent cx="5691505" cy="1071245"/>
            <wp:effectExtent l="0" t="0" r="4445" b="14605"/>
            <wp:docPr id="10" name="图片 10" descr="{dcc39243-73ef-471c-bcb5-27adb09c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cc39243-73ef-471c-bcb5-27adb09c3114}"/>
                    <pic:cNvPicPr>
                      <a:picLocks noChangeAspect="1"/>
                    </pic:cNvPicPr>
                  </pic:nvPicPr>
                  <pic:blipFill>
                    <a:blip r:embed="rId15"/>
                    <a:stretch>
                      <a:fillRect/>
                    </a:stretch>
                  </pic:blipFill>
                  <pic:spPr>
                    <a:xfrm>
                      <a:off x="0" y="0"/>
                      <a:ext cx="5691505" cy="1071245"/>
                    </a:xfrm>
                    <a:prstGeom prst="rect">
                      <a:avLst/>
                    </a:prstGeom>
                  </pic:spPr>
                </pic:pic>
              </a:graphicData>
            </a:graphic>
          </wp:inline>
        </w:drawing>
      </w:r>
    </w:p>
    <w:p w14:paraId="6F1B11CC">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2AC2ECFB">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17092666">
      <w:pPr>
        <w:pStyle w:val="2"/>
        <w:ind w:left="0" w:leftChars="0" w:firstLine="0" w:firstLineChars="0"/>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inline distT="0" distB="0" distL="114300" distR="114300">
            <wp:extent cx="5689600" cy="1492250"/>
            <wp:effectExtent l="0" t="0" r="6350" b="12700"/>
            <wp:docPr id="13" name="图片 13" descr="{eeb90fb6-7062-45a4-8010-92d64b720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eb90fb6-7062-45a4-8010-92d64b72035b}"/>
                    <pic:cNvPicPr>
                      <a:picLocks noChangeAspect="1"/>
                    </pic:cNvPicPr>
                  </pic:nvPicPr>
                  <pic:blipFill>
                    <a:blip r:embed="rId16"/>
                    <a:stretch>
                      <a:fillRect/>
                    </a:stretch>
                  </pic:blipFill>
                  <pic:spPr>
                    <a:xfrm>
                      <a:off x="0" y="0"/>
                      <a:ext cx="5689600" cy="1492250"/>
                    </a:xfrm>
                    <a:prstGeom prst="rect">
                      <a:avLst/>
                    </a:prstGeom>
                  </pic:spPr>
                </pic:pic>
              </a:graphicData>
            </a:graphic>
          </wp:inline>
        </w:drawing>
      </w:r>
    </w:p>
    <w:p w14:paraId="38F96BB7">
      <w:pPr>
        <w:pStyle w:val="3"/>
        <w:numPr>
          <w:ilvl w:val="0"/>
          <w:numId w:val="0"/>
        </w:numPr>
        <w:bidi w:val="0"/>
        <w:jc w:val="center"/>
        <w:rPr>
          <w:rFonts w:hint="eastAsia" w:ascii="方正小标宋简体" w:hAnsi="方正小标宋简体" w:eastAsia="方正小标宋简体" w:cs="方正小标宋简体"/>
          <w:b w:val="0"/>
          <w:bCs/>
          <w:lang w:val="en-US" w:eastAsia="zh-CN"/>
        </w:rPr>
      </w:pPr>
    </w:p>
    <w:p w14:paraId="28DA3A87">
      <w:pPr>
        <w:ind w:left="0" w:leftChars="0" w:firstLine="0" w:firstLineChars="0"/>
        <w:rPr>
          <w:rFonts w:hint="eastAsia"/>
          <w:lang w:val="en-US" w:eastAsia="zh-CN"/>
        </w:rPr>
      </w:pPr>
      <w:r>
        <w:rPr>
          <w:rFonts w:hint="eastAsia"/>
          <w:lang w:val="en-US" w:eastAsia="zh-CN"/>
        </w:rPr>
        <w:drawing>
          <wp:inline distT="0" distB="0" distL="114300" distR="114300">
            <wp:extent cx="5691505" cy="949960"/>
            <wp:effectExtent l="0" t="0" r="4445" b="2540"/>
            <wp:docPr id="14" name="图片 14" descr="{6d218668-6ca0-4d8e-8754-e62360fe2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218668-6ca0-4d8e-8754-e62360fe228e}"/>
                    <pic:cNvPicPr>
                      <a:picLocks noChangeAspect="1"/>
                    </pic:cNvPicPr>
                  </pic:nvPicPr>
                  <pic:blipFill>
                    <a:blip r:embed="rId17"/>
                    <a:stretch>
                      <a:fillRect/>
                    </a:stretch>
                  </pic:blipFill>
                  <pic:spPr>
                    <a:xfrm>
                      <a:off x="0" y="0"/>
                      <a:ext cx="5691505" cy="949960"/>
                    </a:xfrm>
                    <a:prstGeom prst="rect">
                      <a:avLst/>
                    </a:prstGeom>
                  </pic:spPr>
                </pic:pic>
              </a:graphicData>
            </a:graphic>
          </wp:inline>
        </w:drawing>
      </w:r>
    </w:p>
    <w:p w14:paraId="125FF79D">
      <w:pPr>
        <w:bidi w:val="0"/>
        <w:rPr>
          <w:rFonts w:hint="eastAsia" w:eastAsia="仿宋" w:asciiTheme="minorAscii" w:hAnsiTheme="minorAscii" w:cstheme="minorBidi"/>
          <w:kern w:val="2"/>
          <w:sz w:val="32"/>
          <w:szCs w:val="24"/>
          <w:lang w:val="en-US" w:eastAsia="zh-CN" w:bidi="ar-SA"/>
        </w:rPr>
      </w:pPr>
    </w:p>
    <w:p w14:paraId="44531E49">
      <w:pPr>
        <w:bidi w:val="0"/>
        <w:ind w:left="0" w:leftChars="0" w:firstLine="0" w:firstLineChars="0"/>
        <w:rPr>
          <w:rFonts w:hint="eastAsia"/>
          <w:lang w:val="en-US" w:eastAsia="zh-CN"/>
        </w:rPr>
      </w:pPr>
      <w:r>
        <w:rPr>
          <w:rFonts w:hint="eastAsia"/>
          <w:lang w:val="en-US" w:eastAsia="zh-CN"/>
        </w:rPr>
        <w:drawing>
          <wp:inline distT="0" distB="0" distL="114300" distR="114300">
            <wp:extent cx="5689600" cy="1492250"/>
            <wp:effectExtent l="0" t="0" r="6350" b="12700"/>
            <wp:docPr id="16" name="图片 16" descr="{cb72ffdf-5f5f-45f0-9fa5-300bf4359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b72ffdf-5f5f-45f0-9fa5-300bf43593d3}"/>
                    <pic:cNvPicPr>
                      <a:picLocks noChangeAspect="1"/>
                    </pic:cNvPicPr>
                  </pic:nvPicPr>
                  <pic:blipFill>
                    <a:blip r:embed="rId18"/>
                    <a:stretch>
                      <a:fillRect/>
                    </a:stretch>
                  </pic:blipFill>
                  <pic:spPr>
                    <a:xfrm>
                      <a:off x="0" y="0"/>
                      <a:ext cx="5689600" cy="1492250"/>
                    </a:xfrm>
                    <a:prstGeom prst="rect">
                      <a:avLst/>
                    </a:prstGeom>
                  </pic:spPr>
                </pic:pic>
              </a:graphicData>
            </a:graphic>
          </wp:inline>
        </w:drawing>
      </w:r>
    </w:p>
    <w:p w14:paraId="73BB9BD3">
      <w:pPr>
        <w:bidi w:val="0"/>
        <w:ind w:left="0" w:leftChars="0" w:firstLine="0" w:firstLineChars="0"/>
        <w:jc w:val="left"/>
        <w:rPr>
          <w:rFonts w:hint="eastAsia"/>
          <w:lang w:val="en-US" w:eastAsia="zh-CN"/>
        </w:rPr>
      </w:pPr>
    </w:p>
    <w:p w14:paraId="0C758E30">
      <w:pPr>
        <w:pStyle w:val="3"/>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inline distT="0" distB="0" distL="114300" distR="114300">
            <wp:extent cx="5703570" cy="7378065"/>
            <wp:effectExtent l="0" t="0" r="11430" b="13335"/>
            <wp:docPr id="17" name="图片 17" descr="{795b315a-d989-42fa-b5a9-34e6796c2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95b315a-d989-42fa-b5a9-34e6796c26e9}"/>
                    <pic:cNvPicPr>
                      <a:picLocks noChangeAspect="1"/>
                    </pic:cNvPicPr>
                  </pic:nvPicPr>
                  <pic:blipFill>
                    <a:blip r:embed="rId19"/>
                    <a:stretch>
                      <a:fillRect/>
                    </a:stretch>
                  </pic:blipFill>
                  <pic:spPr>
                    <a:xfrm>
                      <a:off x="0" y="0"/>
                      <a:ext cx="5703570" cy="7378065"/>
                    </a:xfrm>
                    <a:prstGeom prst="rect">
                      <a:avLst/>
                    </a:prstGeom>
                  </pic:spPr>
                </pic:pic>
              </a:graphicData>
            </a:graphic>
          </wp:inline>
        </w:drawing>
      </w:r>
    </w:p>
    <w:p w14:paraId="2B147EAA">
      <w:pPr>
        <w:rPr>
          <w:rFonts w:hint="eastAsia"/>
          <w:lang w:val="en-US" w:eastAsia="zh-CN"/>
        </w:rPr>
      </w:pPr>
    </w:p>
    <w:p w14:paraId="011CE7B7">
      <w:pPr>
        <w:pStyle w:val="3"/>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inline distT="0" distB="0" distL="114300" distR="114300">
            <wp:extent cx="5687060" cy="6710680"/>
            <wp:effectExtent l="0" t="0" r="8890" b="13970"/>
            <wp:docPr id="18" name="图片 18" descr="{f0834bb0-8c9f-4840-8778-a5b813586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0834bb0-8c9f-4840-8778-a5b813586bc2}"/>
                    <pic:cNvPicPr>
                      <a:picLocks noChangeAspect="1"/>
                    </pic:cNvPicPr>
                  </pic:nvPicPr>
                  <pic:blipFill>
                    <a:blip r:embed="rId20"/>
                    <a:stretch>
                      <a:fillRect/>
                    </a:stretch>
                  </pic:blipFill>
                  <pic:spPr>
                    <a:xfrm>
                      <a:off x="0" y="0"/>
                      <a:ext cx="5687060" cy="6710680"/>
                    </a:xfrm>
                    <a:prstGeom prst="rect">
                      <a:avLst/>
                    </a:prstGeom>
                  </pic:spPr>
                </pic:pic>
              </a:graphicData>
            </a:graphic>
          </wp:inline>
        </w:drawing>
      </w:r>
    </w:p>
    <w:p w14:paraId="4A9CD25B">
      <w:pPr>
        <w:rPr>
          <w:rFonts w:hint="eastAsia" w:ascii="方正小标宋简体" w:hAnsi="方正小标宋简体" w:eastAsia="方正小标宋简体" w:cs="方正小标宋简体"/>
          <w:b w:val="0"/>
          <w:bCs/>
          <w:lang w:val="en-US" w:eastAsia="zh-CN"/>
        </w:rPr>
      </w:pPr>
    </w:p>
    <w:p w14:paraId="773C0F77">
      <w:pPr>
        <w:pStyle w:val="2"/>
        <w:rPr>
          <w:rFonts w:hint="eastAsia" w:ascii="方正小标宋简体" w:hAnsi="方正小标宋简体" w:eastAsia="方正小标宋简体" w:cs="方正小标宋简体"/>
          <w:b w:val="0"/>
          <w:bCs/>
          <w:lang w:val="en-US" w:eastAsia="zh-CN"/>
        </w:rPr>
      </w:pPr>
    </w:p>
    <w:p w14:paraId="7271DCDD">
      <w:pPr>
        <w:pStyle w:val="2"/>
        <w:rPr>
          <w:rFonts w:hint="eastAsia" w:ascii="方正小标宋简体" w:hAnsi="方正小标宋简体" w:eastAsia="方正小标宋简体" w:cs="方正小标宋简体"/>
          <w:b w:val="0"/>
          <w:bCs/>
          <w:lang w:val="en-US" w:eastAsia="zh-CN"/>
        </w:rPr>
      </w:pPr>
    </w:p>
    <w:p w14:paraId="7CCDBDEB">
      <w:pPr>
        <w:pStyle w:val="2"/>
        <w:rPr>
          <w:rFonts w:hint="eastAsia" w:ascii="方正小标宋简体" w:hAnsi="方正小标宋简体" w:eastAsia="方正小标宋简体" w:cs="方正小标宋简体"/>
          <w:b w:val="0"/>
          <w:bCs/>
          <w:lang w:val="en-US" w:eastAsia="zh-CN"/>
        </w:rPr>
      </w:pPr>
    </w:p>
    <w:p w14:paraId="5B0FB216">
      <w:pPr>
        <w:pStyle w:val="2"/>
        <w:rPr>
          <w:rFonts w:hint="eastAsia" w:ascii="方正小标宋简体" w:hAnsi="方正小标宋简体" w:eastAsia="方正小标宋简体" w:cs="方正小标宋简体"/>
          <w:b w:val="0"/>
          <w:bCs/>
          <w:lang w:val="en-US" w:eastAsia="zh-CN"/>
        </w:rPr>
      </w:pPr>
    </w:p>
    <w:p w14:paraId="0C130379">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6C7FA9A5">
      <w:pPr>
        <w:pStyle w:val="2"/>
        <w:ind w:left="0" w:leftChars="0" w:firstLine="0" w:firstLineChars="0"/>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inline distT="0" distB="0" distL="114300" distR="114300">
            <wp:extent cx="5692775" cy="1786890"/>
            <wp:effectExtent l="0" t="0" r="3175" b="3810"/>
            <wp:docPr id="12" name="图片 12" descr="{57b99d19-a40e-4a0b-98f2-4b8febb6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7b99d19-a40e-4a0b-98f2-4b8febb6b220}"/>
                    <pic:cNvPicPr>
                      <a:picLocks noChangeAspect="1"/>
                    </pic:cNvPicPr>
                  </pic:nvPicPr>
                  <pic:blipFill>
                    <a:blip r:embed="rId21"/>
                    <a:stretch>
                      <a:fillRect/>
                    </a:stretch>
                  </pic:blipFill>
                  <pic:spPr>
                    <a:xfrm>
                      <a:off x="0" y="0"/>
                      <a:ext cx="5692775" cy="1786890"/>
                    </a:xfrm>
                    <a:prstGeom prst="rect">
                      <a:avLst/>
                    </a:prstGeom>
                  </pic:spPr>
                </pic:pic>
              </a:graphicData>
            </a:graphic>
          </wp:inline>
        </w:drawing>
      </w:r>
    </w:p>
    <w:p w14:paraId="1F4C7B70">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3634F2EE">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74A78EB4">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66589461">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3DEBC4C0">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71580F1A">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1902DFB5">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45B5D8E4">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63E3168E">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59EE35BF">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327191A1">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4989DC6D">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5E0EB79F">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35E87628">
      <w:pPr>
        <w:pStyle w:val="2"/>
        <w:ind w:left="0" w:leftChars="0" w:firstLine="0" w:firstLineChars="0"/>
        <w:rPr>
          <w:rFonts w:hint="eastAsia" w:ascii="方正小标宋简体" w:hAnsi="方正小标宋简体" w:eastAsia="方正小标宋简体" w:cs="方正小标宋简体"/>
          <w:b w:val="0"/>
          <w:bCs/>
          <w:lang w:val="en-US" w:eastAsia="zh-CN"/>
        </w:rPr>
      </w:pPr>
    </w:p>
    <w:p w14:paraId="56E65CC6">
      <w:pPr>
        <w:bidi w:val="0"/>
        <w:rPr>
          <w:rFonts w:hint="eastAsia"/>
          <w:lang w:val="en-US" w:eastAsia="zh-CN"/>
        </w:rPr>
      </w:pPr>
    </w:p>
    <w:p w14:paraId="5635F5E1">
      <w:pPr>
        <w:bidi w:val="0"/>
        <w:ind w:left="0" w:leftChars="0" w:firstLine="0" w:firstLineChars="0"/>
        <w:rPr>
          <w:rFonts w:hint="eastAsia"/>
          <w:lang w:val="en-US" w:eastAsia="zh-CN"/>
        </w:rPr>
      </w:pPr>
    </w:p>
    <w:p w14:paraId="27D26808">
      <w:pPr>
        <w:bidi w:val="0"/>
        <w:ind w:left="0" w:leftChars="0" w:firstLine="0" w:firstLineChars="0"/>
        <w:jc w:val="left"/>
        <w:rPr>
          <w:rFonts w:hint="eastAsia"/>
          <w:lang w:val="en-US" w:eastAsia="zh-CN"/>
        </w:rPr>
      </w:pPr>
    </w:p>
    <w:p w14:paraId="19366725">
      <w:pPr>
        <w:pStyle w:val="3"/>
        <w:numPr>
          <w:ilvl w:val="0"/>
          <w:numId w:val="0"/>
        </w:numPr>
        <w:bidi w:val="0"/>
        <w:jc w:val="both"/>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峨边彝族自治县司法局</w:t>
      </w:r>
    </w:p>
    <w:p w14:paraId="092D9218">
      <w:pPr>
        <w:pStyle w:val="4"/>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2025年部门预算情况说明</w:t>
      </w:r>
    </w:p>
    <w:p w14:paraId="4196B1F7">
      <w:pPr>
        <w:rPr>
          <w:rFonts w:hint="eastAsia" w:ascii="方正小标宋简体" w:hAnsi="方正小标宋简体" w:eastAsia="方正小标宋简体" w:cs="方正小标宋简体"/>
          <w:b w:val="0"/>
          <w:bCs/>
          <w:sz w:val="52"/>
          <w:szCs w:val="52"/>
          <w:lang w:val="en-US" w:eastAsia="zh-CN"/>
        </w:rPr>
      </w:pPr>
    </w:p>
    <w:p w14:paraId="64A9BDCE">
      <w:pPr>
        <w:pStyle w:val="2"/>
        <w:rPr>
          <w:rFonts w:hint="eastAsia" w:ascii="方正小标宋简体" w:hAnsi="方正小标宋简体" w:eastAsia="方正小标宋简体" w:cs="方正小标宋简体"/>
          <w:b w:val="0"/>
          <w:bCs/>
          <w:sz w:val="52"/>
          <w:szCs w:val="52"/>
          <w:lang w:val="en-US" w:eastAsia="zh-CN"/>
        </w:rPr>
      </w:pPr>
    </w:p>
    <w:p w14:paraId="7930331D">
      <w:pPr>
        <w:pStyle w:val="2"/>
        <w:rPr>
          <w:rFonts w:hint="eastAsia" w:ascii="方正小标宋简体" w:hAnsi="方正小标宋简体" w:eastAsia="方正小标宋简体" w:cs="方正小标宋简体"/>
          <w:b w:val="0"/>
          <w:bCs/>
          <w:sz w:val="52"/>
          <w:szCs w:val="52"/>
          <w:lang w:val="en-US" w:eastAsia="zh-CN"/>
        </w:rPr>
      </w:pPr>
    </w:p>
    <w:p w14:paraId="4E6DDD2C">
      <w:pPr>
        <w:pStyle w:val="2"/>
        <w:rPr>
          <w:rFonts w:hint="eastAsia" w:ascii="方正小标宋简体" w:hAnsi="方正小标宋简体" w:eastAsia="方正小标宋简体" w:cs="方正小标宋简体"/>
          <w:b w:val="0"/>
          <w:bCs/>
          <w:sz w:val="52"/>
          <w:szCs w:val="52"/>
          <w:lang w:val="en-US" w:eastAsia="zh-CN"/>
        </w:rPr>
      </w:pPr>
    </w:p>
    <w:p w14:paraId="4E035592">
      <w:pPr>
        <w:pStyle w:val="2"/>
        <w:rPr>
          <w:rFonts w:hint="eastAsia" w:ascii="方正小标宋简体" w:hAnsi="方正小标宋简体" w:eastAsia="方正小标宋简体" w:cs="方正小标宋简体"/>
          <w:b w:val="0"/>
          <w:bCs/>
          <w:sz w:val="52"/>
          <w:szCs w:val="52"/>
          <w:lang w:val="en-US" w:eastAsia="zh-CN"/>
        </w:rPr>
      </w:pPr>
    </w:p>
    <w:p w14:paraId="576769C7">
      <w:pPr>
        <w:rPr>
          <w:rFonts w:hint="default"/>
          <w:lang w:val="en-US" w:eastAsia="zh-CN"/>
        </w:rPr>
      </w:pPr>
    </w:p>
    <w:p w14:paraId="0D97CF93">
      <w:pPr>
        <w:pStyle w:val="5"/>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一、收支预算情况说明</w:t>
      </w:r>
    </w:p>
    <w:p w14:paraId="3DC225F2">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按照综合预算的原则,峨边彝族自治县司法局所有收入和支出均纳入部门预算管理收入包括：一般公共预算拨款收入、政府性基金预算拨款收入、国有资本经营预算拨款收入、事业收入、事业单位经营收入,本年收入预算为884.26万元。其中：一般公共预算收入870.78万元、上年结转13.48万元；本年预算支出884.26万元，其中公共安全支出699.61万元、社会保障和就业支出101.3万元、卫生健康支出23.79万元、住房保障支出59.57万元。</w:t>
      </w:r>
    </w:p>
    <w:p w14:paraId="78C7E47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峨边彝族自治县司法局2025年收支总预算884.26万元，比2024年收支预算总数951.02万元减少66.76万元，主要原因是项目资金减少、人员减少。</w:t>
      </w:r>
    </w:p>
    <w:p w14:paraId="12ABBE28">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（一）收入预算情况</w:t>
      </w:r>
    </w:p>
    <w:p w14:paraId="32ADAE5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峨边彝族自治县司法局2025年收入预算884.26万元，其中：上年结转13.48万元，占1.52%；一般公共预算拨款收入870.78万元，占98.48%。</w:t>
      </w:r>
    </w:p>
    <w:p w14:paraId="00A91A0F">
      <w:pPr>
        <w:suppressAutoHyphens/>
        <w:spacing w:line="580" w:lineRule="exact"/>
        <w:ind w:firstLine="640" w:firstLineChars="200"/>
        <w:jc w:val="both"/>
        <w:outlineLvl w:val="2"/>
        <w:rPr>
          <w:rFonts w:hint="default" w:ascii="Times New Roman" w:hAnsi="Times New Roman" w:eastAsia="楷体_GB2312" w:cs="Times New Roman"/>
          <w:b w:val="0"/>
          <w:bCs/>
          <w:color w:val="auto"/>
          <w:sz w:val="32"/>
          <w:szCs w:val="32"/>
          <w:lang w:val="en-US" w:eastAsia="zh-CN"/>
        </w:rPr>
      </w:pPr>
      <w:r>
        <w:rPr>
          <w:rFonts w:hint="eastAsia" w:ascii="Times New Roman" w:hAnsi="Times New Roman" w:eastAsia="楷体_GB2312" w:cs="Times New Roman"/>
          <w:b w:val="0"/>
          <w:bCs/>
          <w:color w:val="auto"/>
          <w:sz w:val="32"/>
          <w:szCs w:val="32"/>
        </w:rPr>
        <w:t>（二）支出预算情况</w:t>
      </w:r>
    </w:p>
    <w:p w14:paraId="337D3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峨边彝族自治县司法局2025</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884.26</w:t>
      </w:r>
      <w:r>
        <w:rPr>
          <w:rFonts w:hint="eastAsia" w:ascii="Times New Roman" w:hAnsi="Times New Roman" w:eastAsia="仿宋_GB2312" w:cs="仿宋_GB2312"/>
          <w:color w:val="auto"/>
          <w:kern w:val="0"/>
          <w:sz w:val="32"/>
          <w:szCs w:val="32"/>
        </w:rPr>
        <w:t>万元，其中：基本支出800.78，占</w:t>
      </w:r>
      <w:r>
        <w:rPr>
          <w:rFonts w:hint="eastAsia" w:ascii="Times New Roman" w:hAnsi="Times New Roman" w:eastAsia="仿宋_GB2312" w:cs="仿宋_GB2312"/>
          <w:color w:val="auto"/>
          <w:kern w:val="0"/>
          <w:sz w:val="32"/>
          <w:szCs w:val="32"/>
          <w:lang w:val="en-US" w:eastAsia="zh-CN"/>
        </w:rPr>
        <w:t>90.56</w:t>
      </w:r>
      <w:r>
        <w:rPr>
          <w:rFonts w:hint="eastAsia" w:ascii="Times New Roman" w:hAnsi="Times New Roman" w:eastAsia="仿宋_GB2312" w:cs="仿宋_GB2312"/>
          <w:color w:val="auto"/>
          <w:kern w:val="0"/>
          <w:sz w:val="32"/>
          <w:szCs w:val="32"/>
        </w:rPr>
        <w:t>%；项目支出83.48万元，占</w:t>
      </w:r>
      <w:r>
        <w:rPr>
          <w:rFonts w:hint="eastAsia" w:ascii="Times New Roman" w:hAnsi="Times New Roman" w:eastAsia="仿宋_GB2312" w:cs="仿宋_GB2312"/>
          <w:color w:val="auto"/>
          <w:kern w:val="0"/>
          <w:sz w:val="32"/>
          <w:szCs w:val="32"/>
          <w:lang w:val="en-US" w:eastAsia="zh-CN"/>
        </w:rPr>
        <w:t>9.44</w:t>
      </w:r>
      <w:r>
        <w:rPr>
          <w:rFonts w:hint="eastAsia" w:ascii="Times New Roman" w:hAnsi="Times New Roman" w:eastAsia="仿宋_GB2312" w:cs="仿宋_GB2312"/>
          <w:color w:val="auto"/>
          <w:kern w:val="0"/>
          <w:sz w:val="32"/>
          <w:szCs w:val="32"/>
        </w:rPr>
        <w:t>%。</w:t>
      </w:r>
    </w:p>
    <w:p w14:paraId="4AE1E4D2">
      <w:pPr>
        <w:pStyle w:val="5"/>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二、财政拨款收支预算情况说明</w:t>
      </w:r>
    </w:p>
    <w:p w14:paraId="0DABE1C0">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eastAsia="zh-CN"/>
        </w:rPr>
        <w:t>峨边彝族自治县司法局2025年财政拨款收支预算总数</w:t>
      </w:r>
      <w:r>
        <w:rPr>
          <w:rFonts w:hint="eastAsia" w:ascii="Times New Roman" w:hAnsi="Times New Roman" w:eastAsia="仿宋_GB2312" w:cs="仿宋_GB2312"/>
          <w:color w:val="auto"/>
          <w:kern w:val="0"/>
          <w:sz w:val="32"/>
          <w:szCs w:val="32"/>
          <w:lang w:val="en-US" w:eastAsia="zh-CN"/>
        </w:rPr>
        <w:t>884.26</w:t>
      </w:r>
      <w:r>
        <w:rPr>
          <w:rFonts w:hint="eastAsia" w:ascii="Times New Roman" w:hAnsi="Times New Roman" w:eastAsia="仿宋_GB2312" w:cs="仿宋_GB2312"/>
          <w:color w:val="auto"/>
          <w:kern w:val="0"/>
          <w:sz w:val="32"/>
          <w:szCs w:val="32"/>
          <w:lang w:eastAsia="zh-CN"/>
        </w:rPr>
        <w:t>万元,比2024年财政拨款收支预算总数</w:t>
      </w:r>
      <w:r>
        <w:rPr>
          <w:rFonts w:hint="eastAsia" w:ascii="Times New Roman" w:hAnsi="Times New Roman" w:eastAsia="仿宋_GB2312" w:cs="仿宋_GB2312"/>
          <w:color w:val="auto"/>
          <w:kern w:val="0"/>
          <w:sz w:val="32"/>
          <w:szCs w:val="32"/>
          <w:lang w:val="en-US" w:eastAsia="zh-CN"/>
        </w:rPr>
        <w:t>951.02</w:t>
      </w:r>
      <w:r>
        <w:rPr>
          <w:rFonts w:hint="eastAsia" w:ascii="Times New Roman" w:hAnsi="Times New Roman" w:eastAsia="仿宋_GB2312" w:cs="仿宋_GB2312"/>
          <w:color w:val="auto"/>
          <w:kern w:val="0"/>
          <w:sz w:val="32"/>
          <w:szCs w:val="32"/>
          <w:lang w:eastAsia="zh-CN"/>
        </w:rPr>
        <w:t>万元减少</w:t>
      </w:r>
      <w:r>
        <w:rPr>
          <w:rFonts w:hint="eastAsia" w:ascii="Times New Roman" w:hAnsi="Times New Roman" w:eastAsia="仿宋_GB2312" w:cs="仿宋_GB2312"/>
          <w:color w:val="auto"/>
          <w:kern w:val="0"/>
          <w:sz w:val="32"/>
          <w:szCs w:val="32"/>
          <w:lang w:val="en-US" w:eastAsia="zh-CN"/>
        </w:rPr>
        <w:t>66.76</w:t>
      </w:r>
      <w:r>
        <w:rPr>
          <w:rFonts w:hint="eastAsia" w:ascii="Times New Roman" w:hAnsi="Times New Roman" w:eastAsia="仿宋_GB2312" w:cs="仿宋_GB2312"/>
          <w:color w:val="auto"/>
          <w:kern w:val="0"/>
          <w:sz w:val="32"/>
          <w:szCs w:val="32"/>
          <w:lang w:eastAsia="zh-CN"/>
        </w:rPr>
        <w:t>万元，主要原因是项目资金减少经费减少</w:t>
      </w:r>
      <w:r>
        <w:rPr>
          <w:rFonts w:hint="eastAsia" w:ascii="Times New Roman" w:hAnsi="Times New Roman" w:eastAsia="仿宋_GB2312" w:cs="仿宋_GB2312"/>
          <w:color w:val="auto"/>
          <w:kern w:val="0"/>
          <w:sz w:val="32"/>
          <w:szCs w:val="32"/>
          <w:lang w:val="en-US" w:eastAsia="zh-CN"/>
        </w:rPr>
        <w:t>。</w:t>
      </w:r>
    </w:p>
    <w:p w14:paraId="3CA486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收入包括：本年一般公共预算拨款收入</w:t>
      </w:r>
      <w:r>
        <w:rPr>
          <w:rFonts w:hint="eastAsia" w:ascii="Times New Roman" w:hAnsi="Times New Roman" w:eastAsia="仿宋_GB2312" w:cs="仿宋_GB2312"/>
          <w:color w:val="auto"/>
          <w:kern w:val="0"/>
          <w:sz w:val="32"/>
          <w:szCs w:val="32"/>
          <w:lang w:val="en-US" w:eastAsia="zh-CN"/>
        </w:rPr>
        <w:t>884.26</w:t>
      </w:r>
      <w:r>
        <w:rPr>
          <w:rFonts w:hint="eastAsia" w:ascii="Times New Roman" w:hAnsi="Times New Roman" w:eastAsia="仿宋_GB2312" w:cs="仿宋_GB2312"/>
          <w:color w:val="auto"/>
          <w:kern w:val="0"/>
          <w:sz w:val="32"/>
          <w:szCs w:val="32"/>
          <w:lang w:eastAsia="zh-CN"/>
        </w:rPr>
        <w:t>万元、本年政府性基金预算拨款收入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万元；支出包括：公共安全支出</w:t>
      </w:r>
      <w:r>
        <w:rPr>
          <w:rFonts w:hint="eastAsia" w:ascii="Times New Roman" w:hAnsi="Times New Roman" w:eastAsia="仿宋_GB2312" w:cs="仿宋_GB2312"/>
          <w:color w:val="auto"/>
          <w:kern w:val="0"/>
          <w:sz w:val="32"/>
          <w:szCs w:val="32"/>
          <w:lang w:val="en-US" w:eastAsia="zh-CN"/>
        </w:rPr>
        <w:t>699.61</w:t>
      </w:r>
      <w:r>
        <w:rPr>
          <w:rFonts w:hint="eastAsia" w:ascii="Times New Roman" w:hAnsi="Times New Roman" w:eastAsia="仿宋_GB2312" w:cs="仿宋_GB2312"/>
          <w:color w:val="auto"/>
          <w:kern w:val="0"/>
          <w:sz w:val="32"/>
          <w:szCs w:val="32"/>
          <w:lang w:eastAsia="zh-CN"/>
        </w:rPr>
        <w:t>万元、社会保障和就业支出</w:t>
      </w:r>
      <w:r>
        <w:rPr>
          <w:rFonts w:hint="eastAsia" w:ascii="Times New Roman" w:hAnsi="Times New Roman" w:eastAsia="仿宋_GB2312" w:cs="仿宋_GB2312"/>
          <w:color w:val="auto"/>
          <w:kern w:val="0"/>
          <w:sz w:val="32"/>
          <w:szCs w:val="32"/>
          <w:lang w:val="en-US" w:eastAsia="zh-CN"/>
        </w:rPr>
        <w:t>101.3</w:t>
      </w:r>
      <w:r>
        <w:rPr>
          <w:rFonts w:hint="eastAsia" w:ascii="Times New Roman" w:hAnsi="Times New Roman" w:eastAsia="仿宋_GB2312" w:cs="仿宋_GB2312"/>
          <w:color w:val="auto"/>
          <w:kern w:val="0"/>
          <w:sz w:val="32"/>
          <w:szCs w:val="32"/>
          <w:lang w:eastAsia="zh-CN"/>
        </w:rPr>
        <w:t>万元、卫生健康支出</w:t>
      </w:r>
      <w:r>
        <w:rPr>
          <w:rFonts w:hint="eastAsia" w:ascii="Times New Roman" w:hAnsi="Times New Roman" w:eastAsia="仿宋_GB2312" w:cs="仿宋_GB2312"/>
          <w:color w:val="auto"/>
          <w:kern w:val="0"/>
          <w:sz w:val="32"/>
          <w:szCs w:val="32"/>
          <w:lang w:val="en-US" w:eastAsia="zh-CN"/>
        </w:rPr>
        <w:t>23.79</w:t>
      </w:r>
      <w:r>
        <w:rPr>
          <w:rFonts w:hint="eastAsia" w:ascii="Times New Roman" w:hAnsi="Times New Roman" w:eastAsia="仿宋_GB2312" w:cs="仿宋_GB2312"/>
          <w:color w:val="auto"/>
          <w:kern w:val="0"/>
          <w:sz w:val="32"/>
          <w:szCs w:val="32"/>
          <w:lang w:eastAsia="zh-CN"/>
        </w:rPr>
        <w:t>万元，住房保障支出</w:t>
      </w:r>
      <w:r>
        <w:rPr>
          <w:rFonts w:hint="eastAsia" w:ascii="Times New Roman" w:hAnsi="Times New Roman" w:eastAsia="仿宋_GB2312" w:cs="仿宋_GB2312"/>
          <w:color w:val="auto"/>
          <w:kern w:val="0"/>
          <w:sz w:val="32"/>
          <w:szCs w:val="32"/>
          <w:lang w:val="en-US" w:eastAsia="zh-CN"/>
        </w:rPr>
        <w:t>59.57</w:t>
      </w:r>
      <w:r>
        <w:rPr>
          <w:rFonts w:hint="eastAsia" w:ascii="Times New Roman" w:hAnsi="Times New Roman" w:eastAsia="仿宋_GB2312" w:cs="仿宋_GB2312"/>
          <w:color w:val="auto"/>
          <w:kern w:val="0"/>
          <w:sz w:val="32"/>
          <w:szCs w:val="32"/>
          <w:lang w:eastAsia="zh-CN"/>
        </w:rPr>
        <w:t>万元。</w:t>
      </w:r>
    </w:p>
    <w:p w14:paraId="70BF3B0C">
      <w:pPr>
        <w:numPr>
          <w:ilvl w:val="0"/>
          <w:numId w:val="0"/>
        </w:numPr>
        <w:spacing w:line="600" w:lineRule="exact"/>
        <w:ind w:firstLine="640" w:firstLineChars="200"/>
        <w:rPr>
          <w:rStyle w:val="24"/>
          <w:rFonts w:hint="eastAsia" w:ascii="黑体" w:hAnsi="黑体" w:eastAsia="黑体" w:cs="黑体"/>
          <w:b w:val="0"/>
          <w:bCs/>
          <w:color w:val="auto"/>
          <w:lang w:eastAsia="zh-CN"/>
        </w:rPr>
      </w:pPr>
      <w:r>
        <w:rPr>
          <w:rStyle w:val="24"/>
          <w:rFonts w:hint="eastAsia" w:ascii="黑体" w:hAnsi="黑体" w:eastAsia="黑体" w:cs="黑体"/>
          <w:b w:val="0"/>
          <w:bCs/>
          <w:color w:val="auto"/>
        </w:rPr>
        <w:t>三、一般公共预算当年拨款情况说明</w:t>
      </w:r>
    </w:p>
    <w:p w14:paraId="0897AD7A">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（一）一般公共预算当年拨款规模及变化情况。</w:t>
      </w:r>
    </w:p>
    <w:p w14:paraId="23B13C8C">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eastAsia="zh-CN"/>
        </w:rPr>
        <w:t>峨边彝族自治县司法局2025年一般公共预算当年拨款</w:t>
      </w:r>
      <w:r>
        <w:rPr>
          <w:rFonts w:hint="eastAsia" w:ascii="Times New Roman" w:hAnsi="Times New Roman" w:eastAsia="仿宋_GB2312" w:cs="仿宋_GB2312"/>
          <w:color w:val="auto"/>
          <w:kern w:val="0"/>
          <w:sz w:val="32"/>
          <w:szCs w:val="32"/>
          <w:lang w:val="en-US" w:eastAsia="zh-CN"/>
        </w:rPr>
        <w:t>870.78</w:t>
      </w:r>
      <w:r>
        <w:rPr>
          <w:rFonts w:hint="eastAsia" w:ascii="Times New Roman" w:hAnsi="Times New Roman" w:eastAsia="仿宋_GB2312" w:cs="仿宋_GB2312"/>
          <w:color w:val="auto"/>
          <w:kern w:val="0"/>
          <w:sz w:val="32"/>
          <w:szCs w:val="32"/>
          <w:lang w:eastAsia="zh-CN"/>
        </w:rPr>
        <w:t>万元，较上年预算数</w:t>
      </w:r>
      <w:r>
        <w:rPr>
          <w:rFonts w:hint="eastAsia" w:ascii="Times New Roman" w:hAnsi="Times New Roman" w:eastAsia="仿宋_GB2312" w:cs="仿宋_GB2312"/>
          <w:color w:val="auto"/>
          <w:kern w:val="0"/>
          <w:sz w:val="32"/>
          <w:szCs w:val="32"/>
          <w:lang w:val="en-US" w:eastAsia="zh-CN"/>
        </w:rPr>
        <w:t>863.82</w:t>
      </w:r>
      <w:r>
        <w:rPr>
          <w:rFonts w:hint="eastAsia" w:ascii="Times New Roman" w:hAnsi="Times New Roman" w:eastAsia="仿宋_GB2312" w:cs="仿宋_GB2312"/>
          <w:color w:val="auto"/>
          <w:kern w:val="0"/>
          <w:sz w:val="32"/>
          <w:szCs w:val="32"/>
          <w:lang w:eastAsia="zh-CN"/>
        </w:rPr>
        <w:t>万元增加</w:t>
      </w:r>
      <w:r>
        <w:rPr>
          <w:rFonts w:hint="eastAsia" w:ascii="Times New Roman" w:hAnsi="Times New Roman" w:eastAsia="仿宋_GB2312" w:cs="仿宋_GB2312"/>
          <w:color w:val="auto"/>
          <w:kern w:val="0"/>
          <w:sz w:val="32"/>
          <w:szCs w:val="32"/>
          <w:lang w:val="en-US" w:eastAsia="zh-CN"/>
        </w:rPr>
        <w:t>6.88</w:t>
      </w:r>
      <w:r>
        <w:rPr>
          <w:rFonts w:hint="eastAsia" w:ascii="Times New Roman" w:hAnsi="Times New Roman" w:eastAsia="仿宋_GB2312" w:cs="仿宋_GB2312"/>
          <w:color w:val="auto"/>
          <w:kern w:val="0"/>
          <w:sz w:val="32"/>
          <w:szCs w:val="32"/>
          <w:lang w:eastAsia="zh-CN"/>
        </w:rPr>
        <w:t>万元。主要原因是基本支出</w:t>
      </w:r>
      <w:r>
        <w:rPr>
          <w:rFonts w:hint="eastAsia" w:ascii="Times New Roman" w:hAnsi="Times New Roman" w:eastAsia="仿宋_GB2312" w:cs="仿宋_GB2312"/>
          <w:color w:val="auto"/>
          <w:kern w:val="0"/>
          <w:sz w:val="32"/>
          <w:szCs w:val="32"/>
          <w:lang w:val="en-US" w:eastAsia="zh-CN"/>
        </w:rPr>
        <w:t>800.78万元</w:t>
      </w:r>
      <w:r>
        <w:rPr>
          <w:rFonts w:hint="eastAsia" w:ascii="Times New Roman" w:hAnsi="Times New Roman" w:eastAsia="仿宋_GB2312" w:cs="仿宋_GB2312"/>
          <w:color w:val="auto"/>
          <w:kern w:val="0"/>
          <w:sz w:val="32"/>
          <w:szCs w:val="32"/>
          <w:lang w:eastAsia="zh-CN"/>
        </w:rPr>
        <w:t>较上年</w:t>
      </w:r>
      <w:r>
        <w:rPr>
          <w:rFonts w:hint="eastAsia" w:ascii="Times New Roman" w:hAnsi="Times New Roman" w:eastAsia="仿宋_GB2312" w:cs="仿宋_GB2312"/>
          <w:color w:val="auto"/>
          <w:kern w:val="0"/>
          <w:sz w:val="32"/>
          <w:szCs w:val="32"/>
          <w:lang w:val="en-US" w:eastAsia="zh-CN"/>
        </w:rPr>
        <w:t>763.82万元</w:t>
      </w:r>
      <w:r>
        <w:rPr>
          <w:rFonts w:hint="eastAsia" w:ascii="Times New Roman" w:hAnsi="Times New Roman" w:eastAsia="仿宋_GB2312" w:cs="仿宋_GB2312"/>
          <w:color w:val="auto"/>
          <w:kern w:val="0"/>
          <w:sz w:val="32"/>
          <w:szCs w:val="32"/>
          <w:lang w:eastAsia="zh-CN"/>
        </w:rPr>
        <w:t>增加</w:t>
      </w:r>
      <w:r>
        <w:rPr>
          <w:rFonts w:hint="eastAsia" w:ascii="Times New Roman" w:hAnsi="Times New Roman" w:eastAsia="仿宋_GB2312" w:cs="仿宋_GB2312"/>
          <w:color w:val="auto"/>
          <w:kern w:val="0"/>
          <w:sz w:val="32"/>
          <w:szCs w:val="32"/>
          <w:lang w:val="en-US" w:eastAsia="zh-CN"/>
        </w:rPr>
        <w:t>36.96万元，但项目70万元较上年100万元支出减少30万元</w:t>
      </w:r>
      <w:r>
        <w:rPr>
          <w:rFonts w:hint="eastAsia" w:ascii="Times New Roman" w:hAnsi="Times New Roman" w:eastAsia="仿宋_GB2312" w:cs="仿宋_GB2312"/>
          <w:color w:val="auto"/>
          <w:kern w:val="0"/>
          <w:sz w:val="32"/>
          <w:szCs w:val="32"/>
          <w:lang w:eastAsia="zh-CN"/>
        </w:rPr>
        <w:t>，所以增加</w:t>
      </w:r>
      <w:r>
        <w:rPr>
          <w:rFonts w:hint="eastAsia" w:ascii="Times New Roman" w:hAnsi="Times New Roman" w:eastAsia="仿宋_GB2312" w:cs="仿宋_GB2312"/>
          <w:color w:val="auto"/>
          <w:kern w:val="0"/>
          <w:sz w:val="32"/>
          <w:szCs w:val="32"/>
          <w:lang w:val="en-US" w:eastAsia="zh-CN"/>
        </w:rPr>
        <w:t>6.88万元。</w:t>
      </w:r>
    </w:p>
    <w:p w14:paraId="05635240">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（二）一般公共预算当年拨款结构情况</w:t>
      </w:r>
      <w:r>
        <w:rPr>
          <w:rFonts w:hint="eastAsia" w:ascii="仿宋" w:hAnsi="仿宋" w:eastAsia="仿宋" w:cs="宋体"/>
          <w:color w:val="auto"/>
          <w:kern w:val="0"/>
          <w:sz w:val="32"/>
          <w:szCs w:val="32"/>
        </w:rPr>
        <w:t>。</w:t>
      </w:r>
    </w:p>
    <w:p w14:paraId="0D8B1D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一般公共服务支出</w:t>
      </w:r>
      <w:r>
        <w:rPr>
          <w:rFonts w:hint="eastAsia" w:ascii="Times New Roman" w:hAnsi="Times New Roman" w:eastAsia="仿宋_GB2312" w:cs="仿宋_GB2312"/>
          <w:color w:val="auto"/>
          <w:kern w:val="0"/>
          <w:sz w:val="32"/>
          <w:szCs w:val="32"/>
          <w:lang w:val="en-US" w:eastAsia="zh-CN"/>
        </w:rPr>
        <w:t>686.12</w:t>
      </w:r>
      <w:r>
        <w:rPr>
          <w:rFonts w:hint="eastAsia" w:ascii="Times New Roman" w:hAnsi="Times New Roman" w:eastAsia="仿宋_GB2312" w:cs="仿宋_GB2312"/>
          <w:color w:val="auto"/>
          <w:kern w:val="0"/>
          <w:sz w:val="32"/>
          <w:szCs w:val="32"/>
          <w:lang w:eastAsia="zh-CN"/>
        </w:rPr>
        <w:t>万元，占</w:t>
      </w:r>
      <w:r>
        <w:rPr>
          <w:rFonts w:hint="eastAsia" w:ascii="Times New Roman" w:hAnsi="Times New Roman" w:eastAsia="仿宋_GB2312" w:cs="仿宋_GB2312"/>
          <w:color w:val="auto"/>
          <w:kern w:val="0"/>
          <w:sz w:val="32"/>
          <w:szCs w:val="32"/>
          <w:lang w:val="en-US" w:eastAsia="zh-CN"/>
        </w:rPr>
        <w:t>78.79</w:t>
      </w:r>
      <w:r>
        <w:rPr>
          <w:rFonts w:hint="eastAsia" w:ascii="Times New Roman" w:hAnsi="Times New Roman" w:eastAsia="仿宋_GB2312" w:cs="仿宋_GB2312"/>
          <w:color w:val="auto"/>
          <w:kern w:val="0"/>
          <w:sz w:val="32"/>
          <w:szCs w:val="32"/>
          <w:lang w:eastAsia="zh-CN"/>
        </w:rPr>
        <w:t>%；社会保障和就业支出</w:t>
      </w:r>
      <w:r>
        <w:rPr>
          <w:rFonts w:hint="eastAsia" w:ascii="Times New Roman" w:hAnsi="Times New Roman" w:eastAsia="仿宋_GB2312" w:cs="仿宋_GB2312"/>
          <w:color w:val="auto"/>
          <w:kern w:val="0"/>
          <w:sz w:val="32"/>
          <w:szCs w:val="32"/>
          <w:lang w:val="en-US" w:eastAsia="zh-CN"/>
        </w:rPr>
        <w:t>101.3</w:t>
      </w:r>
      <w:r>
        <w:rPr>
          <w:rFonts w:hint="eastAsia" w:ascii="Times New Roman" w:hAnsi="Times New Roman" w:eastAsia="仿宋_GB2312" w:cs="仿宋_GB2312"/>
          <w:color w:val="auto"/>
          <w:kern w:val="0"/>
          <w:sz w:val="32"/>
          <w:szCs w:val="32"/>
          <w:lang w:eastAsia="zh-CN"/>
        </w:rPr>
        <w:t>万元，占</w:t>
      </w:r>
      <w:r>
        <w:rPr>
          <w:rFonts w:hint="eastAsia" w:ascii="Times New Roman" w:hAnsi="Times New Roman" w:eastAsia="仿宋_GB2312" w:cs="仿宋_GB2312"/>
          <w:color w:val="auto"/>
          <w:kern w:val="0"/>
          <w:sz w:val="32"/>
          <w:szCs w:val="32"/>
          <w:lang w:val="en-US" w:eastAsia="zh-CN"/>
        </w:rPr>
        <w:t>11.63</w:t>
      </w:r>
      <w:r>
        <w:rPr>
          <w:rFonts w:hint="eastAsia" w:ascii="Times New Roman" w:hAnsi="Times New Roman" w:eastAsia="仿宋_GB2312" w:cs="仿宋_GB2312"/>
          <w:color w:val="auto"/>
          <w:kern w:val="0"/>
          <w:sz w:val="32"/>
          <w:szCs w:val="32"/>
          <w:lang w:eastAsia="zh-CN"/>
        </w:rPr>
        <w:t>%；医疗卫生与计划生育支出</w:t>
      </w:r>
      <w:r>
        <w:rPr>
          <w:rFonts w:hint="eastAsia" w:ascii="Times New Roman" w:hAnsi="Times New Roman" w:eastAsia="仿宋_GB2312" w:cs="仿宋_GB2312"/>
          <w:color w:val="auto"/>
          <w:kern w:val="0"/>
          <w:sz w:val="32"/>
          <w:szCs w:val="32"/>
          <w:lang w:val="en-US" w:eastAsia="zh-CN"/>
        </w:rPr>
        <w:t>23.79</w:t>
      </w:r>
      <w:r>
        <w:rPr>
          <w:rFonts w:hint="eastAsia" w:ascii="Times New Roman" w:hAnsi="Times New Roman" w:eastAsia="仿宋_GB2312" w:cs="仿宋_GB2312"/>
          <w:color w:val="auto"/>
          <w:kern w:val="0"/>
          <w:sz w:val="32"/>
          <w:szCs w:val="32"/>
          <w:lang w:eastAsia="zh-CN"/>
        </w:rPr>
        <w:t>万元，占</w:t>
      </w:r>
      <w:r>
        <w:rPr>
          <w:rFonts w:hint="eastAsia" w:ascii="Times New Roman" w:hAnsi="Times New Roman" w:eastAsia="仿宋_GB2312" w:cs="仿宋_GB2312"/>
          <w:color w:val="auto"/>
          <w:kern w:val="0"/>
          <w:sz w:val="32"/>
          <w:szCs w:val="32"/>
          <w:lang w:val="en-US" w:eastAsia="zh-CN"/>
        </w:rPr>
        <w:t>2.73</w:t>
      </w:r>
      <w:r>
        <w:rPr>
          <w:rFonts w:hint="eastAsia" w:ascii="Times New Roman" w:hAnsi="Times New Roman" w:eastAsia="仿宋_GB2312" w:cs="仿宋_GB2312"/>
          <w:color w:val="auto"/>
          <w:kern w:val="0"/>
          <w:sz w:val="32"/>
          <w:szCs w:val="32"/>
          <w:lang w:eastAsia="zh-CN"/>
        </w:rPr>
        <w:t>%；住房保障支出</w:t>
      </w:r>
      <w:r>
        <w:rPr>
          <w:rFonts w:hint="eastAsia" w:ascii="Times New Roman" w:hAnsi="Times New Roman" w:eastAsia="仿宋_GB2312" w:cs="仿宋_GB2312"/>
          <w:color w:val="auto"/>
          <w:kern w:val="0"/>
          <w:sz w:val="32"/>
          <w:szCs w:val="32"/>
          <w:lang w:val="en-US" w:eastAsia="zh-CN"/>
        </w:rPr>
        <w:t>59.57</w:t>
      </w:r>
      <w:r>
        <w:rPr>
          <w:rFonts w:hint="eastAsia" w:ascii="Times New Roman" w:hAnsi="Times New Roman" w:eastAsia="仿宋_GB2312" w:cs="仿宋_GB2312"/>
          <w:color w:val="auto"/>
          <w:kern w:val="0"/>
          <w:sz w:val="32"/>
          <w:szCs w:val="32"/>
          <w:lang w:eastAsia="zh-CN"/>
        </w:rPr>
        <w:t>万元，占</w:t>
      </w:r>
      <w:r>
        <w:rPr>
          <w:rFonts w:hint="eastAsia" w:ascii="Times New Roman" w:hAnsi="Times New Roman" w:eastAsia="仿宋_GB2312" w:cs="仿宋_GB2312"/>
          <w:color w:val="auto"/>
          <w:kern w:val="0"/>
          <w:sz w:val="32"/>
          <w:szCs w:val="32"/>
          <w:lang w:val="en-US" w:eastAsia="zh-CN"/>
        </w:rPr>
        <w:t>6.85</w:t>
      </w:r>
      <w:r>
        <w:rPr>
          <w:rFonts w:hint="eastAsia" w:ascii="Times New Roman" w:hAnsi="Times New Roman" w:eastAsia="仿宋_GB2312" w:cs="仿宋_GB2312"/>
          <w:color w:val="auto"/>
          <w:kern w:val="0"/>
          <w:sz w:val="32"/>
          <w:szCs w:val="32"/>
          <w:lang w:eastAsia="zh-CN"/>
        </w:rPr>
        <w:t>%。</w:t>
      </w:r>
    </w:p>
    <w:p w14:paraId="3AD6B57D">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（三）一般公共预算当年拨款具体使用情况</w:t>
      </w:r>
    </w:p>
    <w:p w14:paraId="04B6FB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1.公共安全支出（类）司法（款）行政运行（项）:2025年预算数为</w:t>
      </w:r>
      <w:r>
        <w:rPr>
          <w:rFonts w:hint="eastAsia" w:ascii="Times New Roman" w:hAnsi="Times New Roman" w:eastAsia="仿宋_GB2312" w:cs="仿宋_GB2312"/>
          <w:color w:val="auto"/>
          <w:kern w:val="0"/>
          <w:sz w:val="32"/>
          <w:szCs w:val="32"/>
          <w:lang w:val="en-US" w:eastAsia="zh-CN"/>
        </w:rPr>
        <w:t>590.83</w:t>
      </w:r>
      <w:r>
        <w:rPr>
          <w:rFonts w:hint="eastAsia" w:ascii="Times New Roman" w:hAnsi="Times New Roman" w:eastAsia="仿宋_GB2312" w:cs="仿宋_GB2312"/>
          <w:color w:val="auto"/>
          <w:kern w:val="0"/>
          <w:sz w:val="32"/>
          <w:szCs w:val="32"/>
          <w:lang w:eastAsia="zh-CN"/>
        </w:rPr>
        <w:t>万元，主要用于：机关及参公管理事业单位正常运转的基本支出，包括基本工资、津贴补贴等人员经费以及办公费、印刷费、水电费等日常公用经费。</w:t>
      </w:r>
    </w:p>
    <w:p w14:paraId="2BD43E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lang w:eastAsia="zh-CN"/>
        </w:rPr>
        <w:t>公共安全支出（类）司法（款）基层司法业务</w:t>
      </w:r>
      <w:r>
        <w:rPr>
          <w:rFonts w:hint="eastAsia" w:ascii="Times New Roman" w:hAnsi="Times New Roman" w:eastAsia="仿宋_GB2312" w:cs="仿宋_GB2312"/>
          <w:color w:val="auto"/>
          <w:kern w:val="0"/>
          <w:sz w:val="32"/>
          <w:szCs w:val="32"/>
          <w:lang w:val="en-US" w:eastAsia="zh-CN"/>
        </w:rPr>
        <w:t>(</w:t>
      </w:r>
      <w:r>
        <w:rPr>
          <w:rFonts w:hint="eastAsia" w:ascii="Times New Roman" w:hAnsi="Times New Roman" w:eastAsia="仿宋_GB2312" w:cs="仿宋_GB2312"/>
          <w:color w:val="auto"/>
          <w:kern w:val="0"/>
          <w:sz w:val="32"/>
          <w:szCs w:val="32"/>
          <w:lang w:eastAsia="zh-CN"/>
        </w:rPr>
        <w:t>项</w:t>
      </w:r>
      <w:r>
        <w:rPr>
          <w:rFonts w:hint="eastAsia" w:ascii="Times New Roman" w:hAnsi="Times New Roman" w:eastAsia="仿宋_GB2312" w:cs="仿宋_GB2312"/>
          <w:color w:val="auto"/>
          <w:kern w:val="0"/>
          <w:sz w:val="32"/>
          <w:szCs w:val="32"/>
          <w:lang w:val="en-US" w:eastAsia="zh-CN"/>
        </w:rPr>
        <w:t>)：30万元，主要用于：基层业务的支出。</w:t>
      </w:r>
    </w:p>
    <w:p w14:paraId="614215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lang w:eastAsia="zh-CN"/>
        </w:rPr>
        <w:t>公共安全支出（类）司法（款）普法宣传（项）：</w:t>
      </w:r>
      <w:r>
        <w:rPr>
          <w:rFonts w:hint="eastAsia" w:ascii="Times New Roman" w:hAnsi="Times New Roman" w:eastAsia="仿宋_GB2312" w:cs="仿宋_GB2312"/>
          <w:color w:val="auto"/>
          <w:kern w:val="0"/>
          <w:sz w:val="32"/>
          <w:szCs w:val="32"/>
          <w:lang w:val="en-US" w:eastAsia="zh-CN"/>
        </w:rPr>
        <w:t>11万元，主要用于：组织各种媒体的宣传、普法装备与设施、宣传资料、对外宣传、法制作品的审读评审等方面的支出。</w:t>
      </w:r>
    </w:p>
    <w:p w14:paraId="2F04C4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lang w:eastAsia="zh-CN"/>
        </w:rPr>
        <w:t>公共安全支出（类）司法（款） 公共法律服务（项）：</w:t>
      </w:r>
      <w:r>
        <w:rPr>
          <w:rFonts w:hint="eastAsia" w:ascii="Times New Roman" w:hAnsi="Times New Roman" w:eastAsia="仿宋_GB2312" w:cs="仿宋_GB2312"/>
          <w:color w:val="auto"/>
          <w:kern w:val="0"/>
          <w:sz w:val="32"/>
          <w:szCs w:val="32"/>
          <w:lang w:val="en-US" w:eastAsia="zh-CN"/>
        </w:rPr>
        <w:t>29万元，主要用于：用于法律援助、公证、矫正等公共法律服务相关的支出。</w:t>
      </w:r>
    </w:p>
    <w:p w14:paraId="44586F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.公共安全支出（类）司法（款）事业运行（项）:2025年预算数为25.29万元，主要用于：事业单位的基本支出、补包括行政单位（包括实行公务员管理的事业单位）后勤服务中心、医务室等附属事业单位的支出。</w:t>
      </w:r>
    </w:p>
    <w:p w14:paraId="3266D5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6</w:t>
      </w:r>
      <w:r>
        <w:rPr>
          <w:rFonts w:hint="eastAsia" w:ascii="Times New Roman" w:hAnsi="Times New Roman" w:eastAsia="仿宋_GB2312" w:cs="仿宋_GB2312"/>
          <w:color w:val="auto"/>
          <w:kern w:val="0"/>
          <w:sz w:val="32"/>
          <w:szCs w:val="32"/>
          <w:lang w:eastAsia="zh-CN"/>
        </w:rPr>
        <w:t>.社会保障和就业支出（类）行政事业单位养老支出（款）机关事业单位基本养老保险缴费支出（项）:202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年预算数为</w:t>
      </w:r>
      <w:r>
        <w:rPr>
          <w:rFonts w:hint="eastAsia" w:ascii="Times New Roman" w:hAnsi="Times New Roman" w:eastAsia="仿宋_GB2312" w:cs="仿宋_GB2312"/>
          <w:color w:val="auto"/>
          <w:kern w:val="0"/>
          <w:sz w:val="32"/>
          <w:szCs w:val="32"/>
          <w:lang w:val="en-US" w:eastAsia="zh-CN"/>
        </w:rPr>
        <w:t>65.28</w:t>
      </w:r>
      <w:r>
        <w:rPr>
          <w:rFonts w:hint="eastAsia" w:ascii="Times New Roman" w:hAnsi="Times New Roman" w:eastAsia="仿宋_GB2312" w:cs="仿宋_GB2312"/>
          <w:color w:val="auto"/>
          <w:kern w:val="0"/>
          <w:sz w:val="32"/>
          <w:szCs w:val="32"/>
          <w:lang w:eastAsia="zh-CN"/>
        </w:rPr>
        <w:t>万元，主要用于：实施养老保险制度后，部门按规定由单位缴纳的基本养老保险费支出。 </w:t>
      </w:r>
    </w:p>
    <w:p w14:paraId="4665E0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7.</w:t>
      </w:r>
      <w:r>
        <w:rPr>
          <w:rFonts w:hint="eastAsia" w:ascii="Times New Roman" w:hAnsi="Times New Roman" w:eastAsia="仿宋_GB2312" w:cs="仿宋_GB2312"/>
          <w:color w:val="auto"/>
          <w:kern w:val="0"/>
          <w:sz w:val="32"/>
          <w:szCs w:val="32"/>
          <w:lang w:eastAsia="zh-CN"/>
        </w:rPr>
        <w:t>社会保障和就业支出（类）行政单位养老支出（款）机关事业单位职业年金缴费支出（项）:202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年预算数</w:t>
      </w:r>
      <w:r>
        <w:rPr>
          <w:rFonts w:hint="eastAsia" w:ascii="Times New Roman" w:hAnsi="Times New Roman" w:eastAsia="仿宋_GB2312" w:cs="仿宋_GB2312"/>
          <w:color w:val="auto"/>
          <w:kern w:val="0"/>
          <w:sz w:val="32"/>
          <w:szCs w:val="32"/>
          <w:lang w:val="en-US" w:eastAsia="zh-CN"/>
        </w:rPr>
        <w:t>为32.64万元，主</w:t>
      </w:r>
      <w:r>
        <w:rPr>
          <w:rFonts w:hint="eastAsia" w:ascii="Times New Roman" w:hAnsi="Times New Roman" w:eastAsia="仿宋_GB2312" w:cs="仿宋_GB2312"/>
          <w:color w:val="auto"/>
          <w:kern w:val="0"/>
          <w:sz w:val="32"/>
          <w:szCs w:val="32"/>
          <w:lang w:eastAsia="zh-CN"/>
        </w:rPr>
        <w:t>要用于：部门按规定由单位缴纳的职业年金支出。</w:t>
      </w:r>
    </w:p>
    <w:p w14:paraId="423910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8.</w:t>
      </w:r>
      <w:r>
        <w:rPr>
          <w:rFonts w:hint="eastAsia" w:ascii="Times New Roman" w:hAnsi="Times New Roman" w:eastAsia="仿宋_GB2312" w:cs="仿宋_GB2312"/>
          <w:color w:val="auto"/>
          <w:kern w:val="0"/>
          <w:sz w:val="32"/>
          <w:szCs w:val="32"/>
          <w:lang w:eastAsia="zh-CN"/>
        </w:rPr>
        <w:t>社会保障和就业支出（类）其他社会保障和就业支出（款）其他社会保障和就业支出（项）：202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年预算数为</w:t>
      </w:r>
      <w:r>
        <w:rPr>
          <w:rFonts w:hint="eastAsia" w:ascii="Times New Roman" w:hAnsi="Times New Roman" w:eastAsia="仿宋_GB2312" w:cs="仿宋_GB2312"/>
          <w:color w:val="auto"/>
          <w:kern w:val="0"/>
          <w:sz w:val="32"/>
          <w:szCs w:val="32"/>
          <w:lang w:val="en-US" w:eastAsia="zh-CN"/>
        </w:rPr>
        <w:t>3.37</w:t>
      </w:r>
      <w:r>
        <w:rPr>
          <w:rFonts w:hint="eastAsia" w:ascii="Times New Roman" w:hAnsi="Times New Roman" w:eastAsia="仿宋_GB2312" w:cs="仿宋_GB2312"/>
          <w:color w:val="auto"/>
          <w:kern w:val="0"/>
          <w:sz w:val="32"/>
          <w:szCs w:val="32"/>
          <w:lang w:eastAsia="zh-CN"/>
        </w:rPr>
        <w:t>万元，主要用于机关及参公管理事业单位失业保险和工伤保险缴费支出。</w:t>
      </w:r>
    </w:p>
    <w:p w14:paraId="253482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9.</w:t>
      </w:r>
      <w:r>
        <w:rPr>
          <w:rFonts w:hint="eastAsia" w:ascii="Times New Roman" w:hAnsi="Times New Roman" w:eastAsia="仿宋_GB2312" w:cs="仿宋_GB2312"/>
          <w:color w:val="auto"/>
          <w:kern w:val="0"/>
          <w:sz w:val="32"/>
          <w:szCs w:val="32"/>
          <w:lang w:eastAsia="zh-CN"/>
        </w:rPr>
        <w:t>卫生健康支出（类）行政事业单位医疗（款）行政单位医疗（项）:202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年预算数为</w:t>
      </w:r>
      <w:r>
        <w:rPr>
          <w:rFonts w:hint="eastAsia" w:ascii="Times New Roman" w:hAnsi="Times New Roman" w:eastAsia="仿宋_GB2312" w:cs="仿宋_GB2312"/>
          <w:color w:val="auto"/>
          <w:kern w:val="0"/>
          <w:sz w:val="32"/>
          <w:szCs w:val="32"/>
          <w:lang w:val="en-US" w:eastAsia="zh-CN"/>
        </w:rPr>
        <w:t>23.79</w:t>
      </w:r>
      <w:r>
        <w:rPr>
          <w:rFonts w:hint="eastAsia" w:ascii="Times New Roman" w:hAnsi="Times New Roman" w:eastAsia="仿宋_GB2312" w:cs="仿宋_GB2312"/>
          <w:color w:val="auto"/>
          <w:kern w:val="0"/>
          <w:sz w:val="32"/>
          <w:szCs w:val="32"/>
          <w:lang w:eastAsia="zh-CN"/>
        </w:rPr>
        <w:t>万元，主要用于：机关及参公管理事业单位基本医疗保险缴费支出。</w:t>
      </w:r>
    </w:p>
    <w:p w14:paraId="6EF2ED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10</w:t>
      </w:r>
      <w:r>
        <w:rPr>
          <w:rFonts w:hint="eastAsia" w:ascii="Times New Roman" w:hAnsi="Times New Roman" w:eastAsia="仿宋_GB2312" w:cs="仿宋_GB2312"/>
          <w:color w:val="auto"/>
          <w:kern w:val="0"/>
          <w:sz w:val="32"/>
          <w:szCs w:val="32"/>
          <w:lang w:eastAsia="zh-CN"/>
        </w:rPr>
        <w:t>.住房保障支出（类）</w:t>
      </w:r>
      <w:r>
        <w:rPr>
          <w:rFonts w:hint="eastAsia" w:ascii="Times New Roman" w:hAnsi="Times New Roman" w:eastAsia="仿宋_GB2312" w:cs="仿宋_GB2312"/>
          <w:color w:val="auto"/>
          <w:kern w:val="0"/>
          <w:sz w:val="32"/>
          <w:szCs w:val="32"/>
          <w:lang w:val="en-US" w:eastAsia="zh-CN"/>
        </w:rPr>
        <w:t>住房改革支出（款）住房公积金（项）</w:t>
      </w:r>
      <w:r>
        <w:rPr>
          <w:rFonts w:hint="eastAsia" w:ascii="Times New Roman" w:hAnsi="Times New Roman" w:eastAsia="仿宋_GB2312" w:cs="仿宋_GB2312"/>
          <w:color w:val="auto"/>
          <w:kern w:val="0"/>
          <w:sz w:val="32"/>
          <w:szCs w:val="32"/>
          <w:lang w:eastAsia="zh-CN"/>
        </w:rPr>
        <w:t>:202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年预算数为</w:t>
      </w:r>
      <w:r>
        <w:rPr>
          <w:rFonts w:hint="eastAsia" w:ascii="Times New Roman" w:hAnsi="Times New Roman" w:eastAsia="仿宋_GB2312" w:cs="仿宋_GB2312"/>
          <w:color w:val="auto"/>
          <w:kern w:val="0"/>
          <w:sz w:val="32"/>
          <w:szCs w:val="32"/>
          <w:lang w:val="en-US" w:eastAsia="zh-CN"/>
        </w:rPr>
        <w:t>59.57</w:t>
      </w:r>
      <w:r>
        <w:rPr>
          <w:rFonts w:hint="eastAsia" w:ascii="Times New Roman" w:hAnsi="Times New Roman" w:eastAsia="仿宋_GB2312" w:cs="仿宋_GB2312"/>
          <w:color w:val="auto"/>
          <w:kern w:val="0"/>
          <w:sz w:val="32"/>
          <w:szCs w:val="32"/>
          <w:lang w:eastAsia="zh-CN"/>
        </w:rPr>
        <w:t>万元，主要用于：部门按人力资源和社会保障部、财政部规定的基本工资和津贴补贴以及规定比例为职工缴纳的住房公积金支出。</w:t>
      </w:r>
    </w:p>
    <w:p w14:paraId="1873761C">
      <w:pPr>
        <w:pStyle w:val="5"/>
        <w:bidi w:val="0"/>
        <w:rPr>
          <w:rStyle w:val="24"/>
          <w:rFonts w:hint="eastAsia" w:ascii="黑体" w:hAnsi="黑体" w:eastAsia="黑体" w:cs="黑体"/>
          <w:b w:val="0"/>
          <w:bCs/>
          <w:color w:val="auto"/>
          <w:lang w:eastAsia="zh-CN"/>
        </w:rPr>
      </w:pPr>
      <w:r>
        <w:rPr>
          <w:rStyle w:val="24"/>
          <w:rFonts w:hint="eastAsia" w:ascii="黑体" w:hAnsi="黑体" w:eastAsia="黑体" w:cs="黑体"/>
          <w:b w:val="0"/>
          <w:bCs/>
          <w:color w:val="auto"/>
          <w:lang w:eastAsia="zh-CN"/>
        </w:rPr>
        <w:t>四</w:t>
      </w:r>
      <w:r>
        <w:rPr>
          <w:rStyle w:val="24"/>
          <w:rFonts w:hint="eastAsia" w:ascii="黑体" w:hAnsi="黑体" w:eastAsia="黑体" w:cs="黑体"/>
          <w:b w:val="0"/>
          <w:bCs/>
          <w:color w:val="auto"/>
        </w:rPr>
        <w:t>、一般公共预算基本支出情况说明</w:t>
      </w:r>
    </w:p>
    <w:p w14:paraId="3D112C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峨边彝族自治县司法局2025年一般公共预算基本支出</w:t>
      </w:r>
      <w:r>
        <w:rPr>
          <w:rFonts w:hint="eastAsia" w:ascii="Times New Roman" w:hAnsi="Times New Roman" w:eastAsia="仿宋_GB2312" w:cs="仿宋_GB2312"/>
          <w:color w:val="auto"/>
          <w:kern w:val="0"/>
          <w:sz w:val="32"/>
          <w:szCs w:val="32"/>
          <w:lang w:val="en-US" w:eastAsia="zh-CN"/>
        </w:rPr>
        <w:t>669.61</w:t>
      </w:r>
      <w:r>
        <w:rPr>
          <w:rFonts w:hint="eastAsia" w:ascii="Times New Roman" w:hAnsi="Times New Roman" w:eastAsia="仿宋_GB2312" w:cs="仿宋_GB2312"/>
          <w:color w:val="auto"/>
          <w:kern w:val="0"/>
          <w:sz w:val="32"/>
          <w:szCs w:val="32"/>
          <w:lang w:eastAsia="zh-CN"/>
        </w:rPr>
        <w:t>万元，其中：</w:t>
      </w:r>
    </w:p>
    <w:p w14:paraId="48B89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人员经费646.26万元，主要包括：基本工资、津贴补贴、奖金、  </w:t>
      </w:r>
      <w:r>
        <w:rPr>
          <w:rFonts w:hint="eastAsia" w:ascii="Times New Roman" w:hAnsi="Times New Roman" w:eastAsia="仿宋_GB2312" w:cs="仿宋_GB2312"/>
          <w:color w:val="auto"/>
          <w:kern w:val="0"/>
          <w:sz w:val="32"/>
          <w:szCs w:val="32"/>
          <w:lang w:val="en-US" w:eastAsia="zh-CN"/>
        </w:rPr>
        <w:t>伙食补助费、绩效工资、</w:t>
      </w:r>
      <w:r>
        <w:rPr>
          <w:rFonts w:hint="eastAsia" w:ascii="Times New Roman" w:hAnsi="Times New Roman" w:eastAsia="仿宋_GB2312" w:cs="仿宋_GB2312"/>
          <w:color w:val="auto"/>
          <w:kern w:val="0"/>
          <w:sz w:val="32"/>
          <w:szCs w:val="32"/>
          <w:lang w:eastAsia="zh-CN"/>
        </w:rPr>
        <w:t>机关事业单位基本养老保险缴费、职业年金缴费、 职工基本医疗保险缴费</w:t>
      </w:r>
      <w:r>
        <w:rPr>
          <w:rFonts w:hint="eastAsia" w:ascii="Times New Roman" w:hAnsi="Times New Roman" w:eastAsia="仿宋_GB2312" w:cs="仿宋_GB2312"/>
          <w:color w:val="auto"/>
          <w:kern w:val="0"/>
          <w:sz w:val="32"/>
          <w:szCs w:val="32"/>
          <w:lang w:val="en-US" w:eastAsia="zh-CN"/>
        </w:rPr>
        <w:t>、  其他社会保障缴费和</w:t>
      </w:r>
      <w:r>
        <w:rPr>
          <w:rFonts w:hint="eastAsia" w:ascii="Times New Roman" w:hAnsi="Times New Roman" w:eastAsia="仿宋_GB2312" w:cs="仿宋_GB2312"/>
          <w:color w:val="auto"/>
          <w:kern w:val="0"/>
          <w:sz w:val="32"/>
          <w:szCs w:val="32"/>
          <w:lang w:eastAsia="zh-CN"/>
        </w:rPr>
        <w:t>住房公积金、其他对个人和家庭的补助支出。</w:t>
      </w:r>
    </w:p>
    <w:p w14:paraId="1B755C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公用经费154.52万元，主要包括：办公费、印刷费、租赁费、水费</w:t>
      </w:r>
      <w:r>
        <w:rPr>
          <w:rFonts w:hint="eastAsia" w:ascii="Times New Roman" w:hAnsi="Times New Roman" w:eastAsia="仿宋_GB2312" w:cs="仿宋_GB2312"/>
          <w:color w:val="auto"/>
          <w:kern w:val="0"/>
          <w:sz w:val="32"/>
          <w:szCs w:val="32"/>
          <w:lang w:val="en-US" w:eastAsia="zh-CN"/>
        </w:rPr>
        <w:t>、</w:t>
      </w:r>
      <w:r>
        <w:rPr>
          <w:rFonts w:hint="eastAsia" w:ascii="Times New Roman" w:hAnsi="Times New Roman" w:eastAsia="仿宋_GB2312" w:cs="仿宋_GB2312"/>
          <w:color w:val="auto"/>
          <w:kern w:val="0"/>
          <w:sz w:val="32"/>
          <w:szCs w:val="32"/>
          <w:lang w:eastAsia="zh-CN"/>
        </w:rPr>
        <w:t>电费、邮电费、差旅费、维修（护）费、会议费、培训费、劳务费、工会经费、福利费、其他交通费、公务接待、  公务用车运行维护费、其他商品和服务支出。</w:t>
      </w:r>
    </w:p>
    <w:p w14:paraId="1F6485FD">
      <w:pPr>
        <w:rPr>
          <w:rStyle w:val="24"/>
          <w:rFonts w:hint="eastAsia" w:ascii="黑体" w:hAnsi="黑体" w:eastAsia="黑体" w:cs="黑体"/>
          <w:b w:val="0"/>
          <w:bCs/>
          <w:color w:val="auto"/>
          <w:lang w:eastAsia="zh-CN"/>
        </w:rPr>
      </w:pPr>
      <w:r>
        <w:rPr>
          <w:rStyle w:val="24"/>
          <w:rFonts w:hint="eastAsia" w:ascii="黑体" w:hAnsi="黑体" w:eastAsia="黑体" w:cs="黑体"/>
          <w:b w:val="0"/>
          <w:bCs/>
          <w:color w:val="auto"/>
          <w:lang w:eastAsia="zh-CN"/>
        </w:rPr>
        <w:t>五</w:t>
      </w:r>
      <w:r>
        <w:rPr>
          <w:rStyle w:val="24"/>
          <w:rFonts w:hint="eastAsia" w:ascii="黑体" w:hAnsi="黑体" w:eastAsia="黑体" w:cs="黑体"/>
          <w:b w:val="0"/>
          <w:bCs/>
          <w:color w:val="auto"/>
        </w:rPr>
        <w:t>、政府性基金预算支出规模及变化情况说明</w:t>
      </w:r>
    </w:p>
    <w:p w14:paraId="4A4E31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2025年，峨边彝族自治县司法局政府性基金预算支出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万元。其中：基本支出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万元，比2024年预算数增加/减少</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万元，主要原因是峨边彝族自治县司法局2025年没有使用政府性基金预算拨款安排的支出。</w:t>
      </w:r>
    </w:p>
    <w:p w14:paraId="11D91A40">
      <w:pPr>
        <w:rPr>
          <w:rStyle w:val="24"/>
          <w:rFonts w:hint="eastAsia" w:ascii="黑体" w:hAnsi="黑体" w:eastAsia="黑体" w:cs="黑体"/>
          <w:b w:val="0"/>
          <w:bCs/>
          <w:color w:val="auto"/>
        </w:rPr>
      </w:pPr>
      <w:r>
        <w:rPr>
          <w:rStyle w:val="24"/>
          <w:rFonts w:hint="eastAsia" w:ascii="黑体" w:hAnsi="黑体" w:eastAsia="黑体" w:cs="黑体"/>
          <w:b w:val="0"/>
          <w:bCs/>
          <w:color w:val="auto"/>
          <w:lang w:eastAsia="zh-CN"/>
        </w:rPr>
        <w:t>六</w:t>
      </w:r>
      <w:r>
        <w:rPr>
          <w:rStyle w:val="24"/>
          <w:rFonts w:hint="eastAsia" w:ascii="黑体" w:hAnsi="黑体" w:eastAsia="黑体" w:cs="黑体"/>
          <w:b w:val="0"/>
          <w:bCs/>
          <w:color w:val="auto"/>
        </w:rPr>
        <w:t>、国有资本经营预算支出规模及变化情况说明</w:t>
      </w:r>
    </w:p>
    <w:p w14:paraId="225A3D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2025年，峨边彝族自治县司法局国有资本经营预算支出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万元。其中：基本支出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万元，比2024年预算数增加/减少</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万元，主要原因是峨边彝族自治县司法局2025年没有使用国有资本经营预算拨款安排的支出。</w:t>
      </w:r>
    </w:p>
    <w:p w14:paraId="35C909FF">
      <w:pPr>
        <w:pStyle w:val="5"/>
        <w:bidi w:val="0"/>
        <w:rPr>
          <w:rStyle w:val="24"/>
          <w:rFonts w:hint="eastAsia" w:ascii="黑体" w:hAnsi="黑体" w:eastAsia="黑体" w:cs="黑体"/>
          <w:b w:val="0"/>
          <w:bCs/>
          <w:color w:val="auto"/>
          <w:lang w:eastAsia="zh-CN"/>
        </w:rPr>
      </w:pPr>
      <w:r>
        <w:rPr>
          <w:rStyle w:val="24"/>
          <w:rFonts w:hint="eastAsia" w:ascii="黑体" w:hAnsi="黑体" w:eastAsia="黑体" w:cs="黑体"/>
          <w:b w:val="0"/>
          <w:bCs/>
          <w:color w:val="auto"/>
          <w:lang w:eastAsia="zh-CN"/>
        </w:rPr>
        <w:t>七</w:t>
      </w:r>
      <w:r>
        <w:rPr>
          <w:rStyle w:val="24"/>
          <w:rFonts w:hint="eastAsia" w:ascii="黑体" w:hAnsi="黑体" w:eastAsia="黑体" w:cs="黑体"/>
          <w:b w:val="0"/>
          <w:bCs/>
          <w:color w:val="auto"/>
        </w:rPr>
        <w:t>、“三公”经费预算安排情况说明</w:t>
      </w:r>
    </w:p>
    <w:p w14:paraId="0AAAB4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峨边彝族自治县司法局2025年“三公”经费财政拨款预算数</w:t>
      </w:r>
      <w:r>
        <w:rPr>
          <w:rFonts w:hint="eastAsia" w:ascii="Times New Roman" w:hAnsi="Times New Roman" w:eastAsia="仿宋_GB2312" w:cs="仿宋_GB2312"/>
          <w:color w:val="auto"/>
          <w:kern w:val="0"/>
          <w:sz w:val="32"/>
          <w:szCs w:val="32"/>
          <w:lang w:val="en-US" w:eastAsia="zh-CN"/>
        </w:rPr>
        <w:t>7</w:t>
      </w:r>
      <w:r>
        <w:rPr>
          <w:rFonts w:hint="eastAsia" w:ascii="Times New Roman" w:hAnsi="Times New Roman" w:eastAsia="仿宋_GB2312" w:cs="仿宋_GB2312"/>
          <w:color w:val="auto"/>
          <w:kern w:val="0"/>
          <w:sz w:val="32"/>
          <w:szCs w:val="32"/>
          <w:lang w:eastAsia="zh-CN"/>
        </w:rPr>
        <w:t>万元。其中：因公出国（境）经费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万元，公务接待费</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lang w:eastAsia="zh-CN"/>
        </w:rPr>
        <w:t>万元，公务用车购置及运行维护费</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万元。</w:t>
      </w:r>
    </w:p>
    <w:p w14:paraId="5FF1C3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lang w:eastAsia="zh-CN"/>
        </w:rPr>
        <w:t>因公出国（境）经费较上年预算持平。主要原因是2025年和2024年均无因公出国（境）费用支出。</w:t>
      </w:r>
    </w:p>
    <w:p w14:paraId="5FB489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2.公务接待费较上年预算减少</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万元，下降</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w:t>
      </w:r>
    </w:p>
    <w:p w14:paraId="4C67B5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2025年公务接待费计划用于司法行政业务调研指导工作和周边区市县司法局来我单位交流学习等。 </w:t>
      </w:r>
    </w:p>
    <w:p w14:paraId="76A366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3.公务用车购置及运行维护费较上年预算增加</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lang w:eastAsia="zh-CN"/>
        </w:rPr>
        <w:t>万元，增加</w:t>
      </w:r>
      <w:r>
        <w:rPr>
          <w:rFonts w:hint="eastAsia" w:ascii="Times New Roman" w:hAnsi="Times New Roman" w:eastAsia="仿宋_GB2312" w:cs="仿宋_GB2312"/>
          <w:color w:val="auto"/>
          <w:kern w:val="0"/>
          <w:sz w:val="32"/>
          <w:szCs w:val="32"/>
          <w:lang w:val="en-US" w:eastAsia="zh-CN"/>
        </w:rPr>
        <w:t>25</w:t>
      </w:r>
      <w:r>
        <w:rPr>
          <w:rFonts w:hint="eastAsia" w:ascii="Times New Roman" w:hAnsi="Times New Roman" w:eastAsia="仿宋_GB2312" w:cs="仿宋_GB2312"/>
          <w:color w:val="auto"/>
          <w:kern w:val="0"/>
          <w:sz w:val="32"/>
          <w:szCs w:val="32"/>
          <w:lang w:eastAsia="zh-CN"/>
        </w:rPr>
        <w:t>%。主要原因是车辆需要维修及充值油费增加。</w:t>
      </w:r>
    </w:p>
    <w:p w14:paraId="267D00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单位现有公务用车</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lang w:eastAsia="zh-CN"/>
        </w:rPr>
        <w:t>辆，其中：轿车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辆，越野车</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lang w:eastAsia="zh-CN"/>
        </w:rPr>
        <w:t>辆，其他车型</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w:t>
      </w:r>
    </w:p>
    <w:p w14:paraId="1110A4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2025年安排公务用车购置费0万元。</w:t>
      </w:r>
    </w:p>
    <w:p w14:paraId="60098C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2025年安排公务用车运行维护费</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lang w:eastAsia="zh-CN"/>
        </w:rPr>
        <w:t>万元，用于公务用车燃油、维修、保险及其他车辆支出，主要保障相关工作开展。</w:t>
      </w:r>
    </w:p>
    <w:p w14:paraId="26B4D227">
      <w:pPr>
        <w:pStyle w:val="5"/>
        <w:bidi w:val="0"/>
        <w:rPr>
          <w:rStyle w:val="24"/>
          <w:rFonts w:hint="eastAsia" w:ascii="黑体" w:hAnsi="黑体" w:eastAsia="黑体" w:cs="黑体"/>
          <w:b w:val="0"/>
          <w:bCs/>
          <w:color w:val="auto"/>
          <w:lang w:eastAsia="zh-CN"/>
        </w:rPr>
      </w:pPr>
      <w:r>
        <w:rPr>
          <w:rStyle w:val="24"/>
          <w:rFonts w:hint="eastAsia" w:ascii="黑体" w:hAnsi="黑体" w:eastAsia="黑体" w:cs="黑体"/>
          <w:b w:val="0"/>
          <w:bCs/>
          <w:color w:val="auto"/>
          <w:lang w:eastAsia="zh-CN"/>
        </w:rPr>
        <w:t>八</w:t>
      </w:r>
      <w:r>
        <w:rPr>
          <w:rStyle w:val="24"/>
          <w:rFonts w:hint="eastAsia" w:ascii="黑体" w:hAnsi="黑体" w:eastAsia="黑体" w:cs="黑体"/>
          <w:b w:val="0"/>
          <w:bCs/>
          <w:color w:val="auto"/>
        </w:rPr>
        <w:t>、其他重要事项的情况说明</w:t>
      </w:r>
    </w:p>
    <w:p w14:paraId="727BA1F7">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（一）机关运行经费。</w:t>
      </w:r>
    </w:p>
    <w:p w14:paraId="20CF15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2025年，峨边彝族自治县司法局运行经费财政拨款预算为154.52万元，比2024年预算增加</w:t>
      </w:r>
      <w:r>
        <w:rPr>
          <w:rFonts w:hint="eastAsia" w:ascii="Times New Roman" w:hAnsi="Times New Roman" w:eastAsia="仿宋_GB2312" w:cs="仿宋_GB2312"/>
          <w:color w:val="auto"/>
          <w:kern w:val="0"/>
          <w:sz w:val="32"/>
          <w:szCs w:val="32"/>
          <w:lang w:val="en-US" w:eastAsia="zh-CN"/>
        </w:rPr>
        <w:t>19.89</w:t>
      </w:r>
      <w:r>
        <w:rPr>
          <w:rFonts w:hint="eastAsia" w:ascii="Times New Roman" w:hAnsi="Times New Roman" w:eastAsia="仿宋_GB2312" w:cs="仿宋_GB2312"/>
          <w:color w:val="auto"/>
          <w:kern w:val="0"/>
          <w:sz w:val="32"/>
          <w:szCs w:val="32"/>
          <w:lang w:eastAsia="zh-CN"/>
        </w:rPr>
        <w:t>万元，主要原因是人员增加。</w:t>
      </w:r>
    </w:p>
    <w:p w14:paraId="133177C1">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（二）政府采购情况。</w:t>
      </w:r>
    </w:p>
    <w:p w14:paraId="414871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2025年，峨边彝族自治县司法局安排政府采购预算</w:t>
      </w:r>
      <w:r>
        <w:rPr>
          <w:rFonts w:hint="eastAsia" w:ascii="Times New Roman" w:hAnsi="Times New Roman" w:eastAsia="仿宋_GB2312" w:cs="仿宋_GB2312"/>
          <w:color w:val="auto"/>
          <w:kern w:val="0"/>
          <w:sz w:val="32"/>
          <w:szCs w:val="32"/>
          <w:lang w:val="en-US" w:eastAsia="zh-CN"/>
        </w:rPr>
        <w:t>34</w:t>
      </w:r>
      <w:r>
        <w:rPr>
          <w:rFonts w:hint="eastAsia" w:ascii="Times New Roman" w:hAnsi="Times New Roman" w:eastAsia="仿宋_GB2312" w:cs="仿宋_GB2312"/>
          <w:color w:val="auto"/>
          <w:kern w:val="0"/>
          <w:sz w:val="32"/>
          <w:szCs w:val="32"/>
          <w:lang w:eastAsia="zh-CN"/>
        </w:rPr>
        <w:t>万元，其中，政府采购货物预算</w:t>
      </w: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lang w:eastAsia="zh-CN"/>
        </w:rPr>
        <w:t>万元；政府采购工程预算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万元；政府采购服务预算</w:t>
      </w:r>
      <w:r>
        <w:rPr>
          <w:rFonts w:hint="eastAsia" w:ascii="Times New Roman" w:hAnsi="Times New Roman" w:eastAsia="仿宋_GB2312" w:cs="仿宋_GB2312"/>
          <w:color w:val="auto"/>
          <w:kern w:val="0"/>
          <w:sz w:val="32"/>
          <w:szCs w:val="32"/>
          <w:lang w:val="en-US" w:eastAsia="zh-CN"/>
        </w:rPr>
        <w:t>30</w:t>
      </w:r>
      <w:r>
        <w:rPr>
          <w:rFonts w:hint="eastAsia" w:ascii="Times New Roman" w:hAnsi="Times New Roman" w:eastAsia="仿宋_GB2312" w:cs="仿宋_GB2312"/>
          <w:color w:val="auto"/>
          <w:kern w:val="0"/>
          <w:sz w:val="32"/>
          <w:szCs w:val="32"/>
          <w:lang w:eastAsia="zh-CN"/>
        </w:rPr>
        <w:t>万元。</w:t>
      </w:r>
    </w:p>
    <w:p w14:paraId="4066E7F1">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0ED8EC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截至2024年底，峨边彝族自治县司法局所属各预算单位共有车辆</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lang w:eastAsia="zh-CN"/>
        </w:rPr>
        <w:t>辆，其中，县级领导干部用车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辆、执法执勤用车</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lang w:eastAsia="zh-CN"/>
        </w:rPr>
        <w:t>辆。单位价值200万元以上大型设备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台（套）。</w:t>
      </w:r>
    </w:p>
    <w:p w14:paraId="33DE5D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2025年部门预算安排车辆购置经费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万元。其中，财政拨款预算安排</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万元，非财政拨款安排</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万元。拟购置县级领导干部用车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辆。安排大型设备购置经费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万元，购置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台（套）。</w:t>
      </w:r>
    </w:p>
    <w:p w14:paraId="72AC3F39">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四</w:t>
      </w:r>
      <w:r>
        <w:rPr>
          <w:rFonts w:hint="eastAsia" w:ascii="Times New Roman" w:hAnsi="Times New Roman" w:eastAsia="楷体_GB2312" w:cs="Times New Roman"/>
          <w:b w:val="0"/>
          <w:bCs/>
          <w:color w:val="auto"/>
          <w:sz w:val="32"/>
          <w:szCs w:val="32"/>
        </w:rPr>
        <w:t>）绩效目标设置情况。</w:t>
      </w:r>
    </w:p>
    <w:p w14:paraId="73A251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2025年，司法局按要求实行绩效目标管理，部门整体绩效目标涉及预算安排</w:t>
      </w:r>
      <w:r>
        <w:rPr>
          <w:rFonts w:hint="eastAsia" w:ascii="Times New Roman" w:hAnsi="Times New Roman" w:eastAsia="仿宋_GB2312" w:cs="仿宋_GB2312"/>
          <w:color w:val="auto"/>
          <w:kern w:val="0"/>
          <w:sz w:val="32"/>
          <w:szCs w:val="32"/>
          <w:lang w:val="en-US" w:eastAsia="zh-CN"/>
        </w:rPr>
        <w:t>884.26</w:t>
      </w:r>
      <w:r>
        <w:rPr>
          <w:rFonts w:hint="eastAsia" w:ascii="Times New Roman" w:hAnsi="Times New Roman" w:eastAsia="仿宋_GB2312" w:cs="仿宋_GB2312"/>
          <w:color w:val="auto"/>
          <w:kern w:val="0"/>
          <w:sz w:val="32"/>
          <w:szCs w:val="32"/>
          <w:lang w:eastAsia="zh-CN"/>
        </w:rPr>
        <w:t>万元，其中项目绩效目标预算</w:t>
      </w:r>
      <w:r>
        <w:rPr>
          <w:rFonts w:hint="eastAsia" w:ascii="Times New Roman" w:hAnsi="Times New Roman" w:eastAsia="仿宋_GB2312" w:cs="仿宋_GB2312"/>
          <w:color w:val="auto"/>
          <w:kern w:val="0"/>
          <w:sz w:val="32"/>
          <w:szCs w:val="32"/>
          <w:lang w:val="en-US" w:eastAsia="zh-CN"/>
        </w:rPr>
        <w:t>70</w:t>
      </w:r>
      <w:r>
        <w:rPr>
          <w:rFonts w:hint="eastAsia" w:ascii="Times New Roman" w:hAnsi="Times New Roman" w:eastAsia="仿宋_GB2312" w:cs="仿宋_GB2312"/>
          <w:color w:val="auto"/>
          <w:kern w:val="0"/>
          <w:sz w:val="32"/>
          <w:szCs w:val="32"/>
          <w:lang w:eastAsia="zh-CN"/>
        </w:rPr>
        <w:t>万元及上年结转</w:t>
      </w:r>
      <w:r>
        <w:rPr>
          <w:rFonts w:hint="eastAsia" w:ascii="Times New Roman" w:hAnsi="Times New Roman" w:eastAsia="仿宋_GB2312" w:cs="仿宋_GB2312"/>
          <w:color w:val="auto"/>
          <w:kern w:val="0"/>
          <w:sz w:val="32"/>
          <w:szCs w:val="32"/>
          <w:lang w:val="en-US" w:eastAsia="zh-CN"/>
        </w:rPr>
        <w:t>13.48万元共计83.48万元</w:t>
      </w:r>
      <w:r>
        <w:rPr>
          <w:rFonts w:hint="eastAsia" w:ascii="Times New Roman" w:hAnsi="Times New Roman" w:eastAsia="仿宋_GB2312" w:cs="仿宋_GB2312"/>
          <w:color w:val="auto"/>
          <w:kern w:val="0"/>
          <w:sz w:val="32"/>
          <w:szCs w:val="32"/>
          <w:lang w:eastAsia="zh-CN"/>
        </w:rPr>
        <w:t>，主要是法律顾问咨询服务、德古协会调解经费等</w:t>
      </w:r>
      <w:r>
        <w:rPr>
          <w:rFonts w:hint="eastAsia" w:ascii="Times New Roman" w:hAnsi="Times New Roman" w:eastAsia="仿宋_GB2312" w:cs="仿宋_GB2312"/>
          <w:color w:val="auto"/>
          <w:kern w:val="0"/>
          <w:sz w:val="32"/>
          <w:szCs w:val="32"/>
          <w:lang w:val="en-US" w:eastAsia="zh-CN"/>
        </w:rPr>
        <w:t>法治</w:t>
      </w:r>
      <w:r>
        <w:rPr>
          <w:rFonts w:hint="eastAsia" w:ascii="Times New Roman" w:hAnsi="Times New Roman" w:eastAsia="仿宋_GB2312" w:cs="仿宋_GB2312"/>
          <w:color w:val="auto"/>
          <w:kern w:val="0"/>
          <w:sz w:val="32"/>
          <w:szCs w:val="32"/>
          <w:lang w:eastAsia="zh-CN"/>
        </w:rPr>
        <w:t>宣传及司法专项经费。</w:t>
      </w:r>
    </w:p>
    <w:p w14:paraId="28018EE3">
      <w:pPr>
        <w:bidi w:val="0"/>
        <w:rPr>
          <w:rFonts w:hint="eastAsia" w:ascii="Times New Roman" w:hAnsi="Times New Roman" w:eastAsia="仿宋_GB2312" w:cs="仿宋_GB2312"/>
          <w:color w:val="auto"/>
          <w:kern w:val="0"/>
          <w:sz w:val="32"/>
          <w:szCs w:val="32"/>
          <w:lang w:eastAsia="zh-CN"/>
        </w:rPr>
      </w:pPr>
    </w:p>
    <w:p w14:paraId="75BD37C2">
      <w:pPr>
        <w:pStyle w:val="3"/>
        <w:numPr>
          <w:ilvl w:val="0"/>
          <w:numId w:val="0"/>
        </w:numPr>
        <w:bidi w:val="0"/>
        <w:jc w:val="both"/>
        <w:rPr>
          <w:rFonts w:hint="eastAsia"/>
          <w:color w:val="auto"/>
          <w:lang w:val="en-US" w:eastAsia="zh-CN"/>
        </w:rPr>
      </w:pPr>
    </w:p>
    <w:p w14:paraId="589FBAE2">
      <w:pPr>
        <w:rPr>
          <w:rFonts w:hint="eastAsia"/>
          <w:color w:val="auto"/>
          <w:lang w:val="en-US" w:eastAsia="zh-CN"/>
        </w:rPr>
      </w:pPr>
    </w:p>
    <w:p w14:paraId="6EE430F7">
      <w:pPr>
        <w:pStyle w:val="2"/>
        <w:rPr>
          <w:rFonts w:hint="eastAsia"/>
          <w:color w:val="auto"/>
          <w:lang w:val="en-US" w:eastAsia="zh-CN"/>
        </w:rPr>
      </w:pPr>
    </w:p>
    <w:p w14:paraId="246D5AB1">
      <w:pPr>
        <w:pStyle w:val="2"/>
        <w:rPr>
          <w:rFonts w:hint="eastAsia"/>
          <w:color w:val="auto"/>
          <w:lang w:val="en-US" w:eastAsia="zh-CN"/>
        </w:rPr>
      </w:pPr>
    </w:p>
    <w:p w14:paraId="4D7F6753">
      <w:pPr>
        <w:pStyle w:val="2"/>
        <w:rPr>
          <w:rFonts w:hint="eastAsia"/>
          <w:color w:val="auto"/>
          <w:lang w:val="en-US" w:eastAsia="zh-CN"/>
        </w:rPr>
      </w:pPr>
    </w:p>
    <w:p w14:paraId="7F9D669E">
      <w:pPr>
        <w:pStyle w:val="2"/>
        <w:rPr>
          <w:rFonts w:hint="eastAsia"/>
          <w:color w:val="auto"/>
          <w:lang w:val="en-US" w:eastAsia="zh-CN"/>
        </w:rPr>
      </w:pPr>
    </w:p>
    <w:p w14:paraId="3DFC86D3">
      <w:pPr>
        <w:pStyle w:val="2"/>
        <w:rPr>
          <w:rFonts w:hint="eastAsia"/>
          <w:color w:val="auto"/>
          <w:lang w:val="en-US" w:eastAsia="zh-CN"/>
        </w:rPr>
      </w:pPr>
    </w:p>
    <w:p w14:paraId="2000F0F0">
      <w:pPr>
        <w:pStyle w:val="2"/>
        <w:rPr>
          <w:rFonts w:hint="eastAsia"/>
          <w:color w:val="auto"/>
          <w:lang w:val="en-US" w:eastAsia="zh-CN"/>
        </w:rPr>
      </w:pPr>
    </w:p>
    <w:p w14:paraId="551A2EE4">
      <w:pPr>
        <w:rPr>
          <w:rFonts w:hint="eastAsia"/>
          <w:color w:val="auto"/>
          <w:lang w:val="en-US" w:eastAsia="zh-CN"/>
        </w:rPr>
      </w:pPr>
    </w:p>
    <w:p w14:paraId="571A2A82">
      <w:pPr>
        <w:rPr>
          <w:rFonts w:hint="eastAsia"/>
          <w:color w:val="auto"/>
          <w:lang w:val="en-US" w:eastAsia="zh-CN"/>
        </w:rPr>
      </w:pPr>
    </w:p>
    <w:p w14:paraId="3DF3FA5F">
      <w:pPr>
        <w:pStyle w:val="2"/>
        <w:rPr>
          <w:rFonts w:hint="eastAsia"/>
          <w:lang w:val="en-US" w:eastAsia="zh-CN"/>
        </w:rPr>
      </w:pPr>
      <w:bookmarkStart w:id="0" w:name="_GoBack"/>
      <w:bookmarkEnd w:id="0"/>
    </w:p>
    <w:p w14:paraId="062C272B">
      <w:pPr>
        <w:pStyle w:val="3"/>
        <w:numPr>
          <w:ilvl w:val="0"/>
          <w:numId w:val="2"/>
        </w:numPr>
        <w:bidi w:val="0"/>
        <w:jc w:val="center"/>
        <w:rPr>
          <w:rFonts w:hint="eastAsia" w:ascii="方正小标宋简体" w:hAnsi="方正小标宋简体" w:eastAsia="方正小标宋简体" w:cs="方正小标宋简体"/>
          <w:b w:val="0"/>
          <w:bCs/>
          <w:color w:val="auto"/>
          <w:lang w:val="en-US" w:eastAsia="zh-CN"/>
        </w:rPr>
      </w:pPr>
      <w:r>
        <w:rPr>
          <w:rFonts w:hint="eastAsia" w:ascii="方正小标宋简体" w:hAnsi="方正小标宋简体" w:eastAsia="方正小标宋简体" w:cs="方正小标宋简体"/>
          <w:b w:val="0"/>
          <w:bCs/>
          <w:color w:val="auto"/>
          <w:lang w:val="en-US" w:eastAsia="zh-CN"/>
        </w:rPr>
        <w:t xml:space="preserve"> 名词解释</w:t>
      </w:r>
    </w:p>
    <w:p w14:paraId="01FEA5E2">
      <w:pPr>
        <w:widowControl w:val="0"/>
        <w:numPr>
          <w:ilvl w:val="0"/>
          <w:numId w:val="0"/>
        </w:numPr>
        <w:spacing w:line="360" w:lineRule="auto"/>
        <w:jc w:val="left"/>
        <w:rPr>
          <w:rFonts w:hint="eastAsia"/>
          <w:lang w:val="en-US" w:eastAsia="zh-CN"/>
        </w:rPr>
      </w:pPr>
    </w:p>
    <w:p w14:paraId="109F69AE">
      <w:pPr>
        <w:pStyle w:val="2"/>
        <w:rPr>
          <w:rFonts w:hint="eastAsia"/>
          <w:lang w:val="en-US" w:eastAsia="zh-CN"/>
        </w:rPr>
      </w:pPr>
    </w:p>
    <w:p w14:paraId="6B8DB740">
      <w:pPr>
        <w:pStyle w:val="2"/>
        <w:rPr>
          <w:rFonts w:hint="eastAsia"/>
          <w:lang w:val="en-US" w:eastAsia="zh-CN"/>
        </w:rPr>
      </w:pPr>
    </w:p>
    <w:p w14:paraId="4E42894D">
      <w:pPr>
        <w:pStyle w:val="2"/>
        <w:rPr>
          <w:rFonts w:hint="eastAsia"/>
          <w:lang w:val="en-US" w:eastAsia="zh-CN"/>
        </w:rPr>
      </w:pPr>
    </w:p>
    <w:p w14:paraId="00233482">
      <w:pPr>
        <w:pStyle w:val="2"/>
        <w:rPr>
          <w:rFonts w:hint="eastAsia"/>
          <w:lang w:val="en-US" w:eastAsia="zh-CN"/>
        </w:rPr>
      </w:pPr>
    </w:p>
    <w:p w14:paraId="2030325C">
      <w:pPr>
        <w:pStyle w:val="2"/>
        <w:rPr>
          <w:rFonts w:hint="eastAsia"/>
          <w:lang w:val="en-US" w:eastAsia="zh-CN"/>
        </w:rPr>
      </w:pPr>
    </w:p>
    <w:p w14:paraId="7EFA597D">
      <w:pPr>
        <w:pStyle w:val="2"/>
        <w:rPr>
          <w:rFonts w:hint="eastAsia"/>
          <w:lang w:val="en-US" w:eastAsia="zh-CN"/>
        </w:rPr>
      </w:pPr>
    </w:p>
    <w:p w14:paraId="29260F0C">
      <w:pPr>
        <w:pStyle w:val="2"/>
        <w:rPr>
          <w:rFonts w:hint="eastAsia"/>
          <w:lang w:val="en-US" w:eastAsia="zh-CN"/>
        </w:rPr>
      </w:pPr>
    </w:p>
    <w:p w14:paraId="4C92E571">
      <w:pPr>
        <w:pStyle w:val="2"/>
        <w:rPr>
          <w:rFonts w:hint="eastAsia"/>
          <w:lang w:val="en-US" w:eastAsia="zh-CN"/>
        </w:rPr>
      </w:pPr>
    </w:p>
    <w:p w14:paraId="65F25A1E">
      <w:pPr>
        <w:pStyle w:val="2"/>
        <w:rPr>
          <w:rFonts w:hint="eastAsia"/>
          <w:lang w:val="en-US" w:eastAsia="zh-CN"/>
        </w:rPr>
      </w:pPr>
    </w:p>
    <w:p w14:paraId="2359F886">
      <w:pPr>
        <w:pStyle w:val="2"/>
        <w:rPr>
          <w:rFonts w:hint="eastAsia"/>
          <w:lang w:val="en-US" w:eastAsia="zh-CN"/>
        </w:rPr>
      </w:pPr>
    </w:p>
    <w:p w14:paraId="454E9A2B">
      <w:pPr>
        <w:pStyle w:val="2"/>
        <w:rPr>
          <w:rFonts w:hint="eastAsia"/>
          <w:lang w:val="en-US" w:eastAsia="zh-CN"/>
        </w:rPr>
      </w:pPr>
    </w:p>
    <w:p w14:paraId="6EA07442">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w:t>
      </w:r>
      <w:r>
        <w:rPr>
          <w:rFonts w:hint="eastAsia" w:ascii="楷体" w:hAnsi="楷体" w:eastAsia="楷体" w:cs="楷体"/>
          <w:color w:val="auto"/>
          <w:lang w:val="en-US" w:eastAsia="zh-CN"/>
        </w:rPr>
        <w:t>一</w:t>
      </w:r>
      <w:r>
        <w:rPr>
          <w:rFonts w:hint="eastAsia" w:ascii="楷体" w:hAnsi="楷体" w:eastAsia="楷体" w:cs="楷体"/>
          <w:color w:val="auto"/>
          <w:lang w:eastAsia="zh-CN"/>
        </w:rPr>
        <w:t>）</w:t>
      </w:r>
      <w:r>
        <w:rPr>
          <w:rFonts w:hint="eastAsia" w:ascii="楷体" w:hAnsi="楷体" w:eastAsia="楷体" w:cs="楷体"/>
          <w:color w:val="auto"/>
        </w:rPr>
        <w:t>财政拨款收支情况：</w:t>
      </w:r>
      <w:r>
        <w:rPr>
          <w:rFonts w:hint="eastAsia" w:ascii="Times New Roman" w:hAnsi="Times New Roman" w:eastAsia="仿宋_GB2312" w:cs="仿宋_GB2312"/>
          <w:color w:val="auto"/>
          <w:kern w:val="0"/>
          <w:sz w:val="32"/>
          <w:szCs w:val="32"/>
          <w:lang w:eastAsia="zh-CN"/>
        </w:rPr>
        <w:t>是指一般公共预算、政府性基金预算、国有资本经营预算拨款收支情况。</w:t>
      </w:r>
    </w:p>
    <w:p w14:paraId="76741F0A">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（二）财政拨款收入：</w:t>
      </w:r>
      <w:r>
        <w:rPr>
          <w:rFonts w:hint="eastAsia" w:ascii="Times New Roman" w:hAnsi="Times New Roman" w:eastAsia="仿宋_GB2312" w:cs="仿宋_GB2312"/>
          <w:color w:val="auto"/>
          <w:kern w:val="0"/>
          <w:sz w:val="32"/>
          <w:szCs w:val="32"/>
          <w:lang w:eastAsia="zh-CN"/>
        </w:rPr>
        <w:t>指县级财政当年拨付的资金。</w:t>
      </w:r>
    </w:p>
    <w:p w14:paraId="136114C3">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（三）事业收入：</w:t>
      </w:r>
      <w:r>
        <w:rPr>
          <w:rFonts w:hint="eastAsia" w:ascii="Times New Roman" w:hAnsi="Times New Roman" w:eastAsia="仿宋_GB2312" w:cs="仿宋_GB2312"/>
          <w:color w:val="auto"/>
          <w:kern w:val="0"/>
          <w:sz w:val="32"/>
          <w:szCs w:val="32"/>
          <w:lang w:eastAsia="zh-CN"/>
        </w:rPr>
        <w:t>指事业单位开展专业业务活动及辅助活动所取得的收入。</w:t>
      </w:r>
    </w:p>
    <w:p w14:paraId="6DA03151">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（四）事业单位经营收入：</w:t>
      </w:r>
      <w:r>
        <w:rPr>
          <w:rFonts w:hint="eastAsia" w:ascii="Times New Roman" w:hAnsi="Times New Roman" w:eastAsia="仿宋_GB2312" w:cs="仿宋_GB2312"/>
          <w:color w:val="auto"/>
          <w:kern w:val="0"/>
          <w:sz w:val="32"/>
          <w:szCs w:val="32"/>
          <w:lang w:eastAsia="zh-CN"/>
        </w:rPr>
        <w:t>指事业单位在专业业务活动及其辅助活动之外开展非独立核算经营活动取得的收入。</w:t>
      </w:r>
    </w:p>
    <w:p w14:paraId="6964F55C">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（五）其他收入：</w:t>
      </w:r>
      <w:r>
        <w:rPr>
          <w:rFonts w:hint="eastAsia" w:ascii="Times New Roman" w:hAnsi="Times New Roman" w:eastAsia="仿宋_GB2312" w:cs="仿宋_GB2312"/>
          <w:color w:val="auto"/>
          <w:kern w:val="0"/>
          <w:sz w:val="32"/>
          <w:szCs w:val="32"/>
          <w:lang w:eastAsia="zh-CN"/>
        </w:rPr>
        <w:t>指除上述“一般公共预算拨款收入”“事业收入”“事业单位经营收入”等以外的收入。主要是利息收入、国有资产出租收入等。</w:t>
      </w:r>
    </w:p>
    <w:p w14:paraId="2A9FA787">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val="en-US" w:eastAsia="zh-CN"/>
        </w:rPr>
        <w:t>（六）</w:t>
      </w:r>
      <w:r>
        <w:rPr>
          <w:rFonts w:hint="eastAsia" w:ascii="楷体" w:hAnsi="楷体" w:eastAsia="楷体" w:cs="楷体"/>
          <w:color w:val="auto"/>
          <w:lang w:eastAsia="zh-CN"/>
        </w:rPr>
        <w:t>上年结转：</w:t>
      </w:r>
      <w:r>
        <w:rPr>
          <w:rFonts w:hint="eastAsia" w:ascii="Times New Roman" w:hAnsi="Times New Roman" w:eastAsia="仿宋_GB2312" w:cs="仿宋_GB2312"/>
          <w:color w:val="auto"/>
          <w:kern w:val="0"/>
          <w:sz w:val="32"/>
          <w:szCs w:val="32"/>
          <w:lang w:eastAsia="zh-CN"/>
        </w:rPr>
        <w:t>指以前年度安排、结转到本年仍按原规定用途继续使用的资金。</w:t>
      </w:r>
    </w:p>
    <w:p w14:paraId="70B684A8">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val="en-US" w:eastAsia="zh-CN"/>
        </w:rPr>
        <w:t>（七）</w:t>
      </w:r>
      <w:r>
        <w:rPr>
          <w:rFonts w:hint="eastAsia" w:ascii="楷体" w:hAnsi="楷体" w:eastAsia="楷体" w:cs="楷体"/>
          <w:color w:val="auto"/>
          <w:lang w:eastAsia="zh-CN"/>
        </w:rPr>
        <w:t>社会保障和就业（类）行政事业单位养老支出（款）事业单位离退休（项）：</w:t>
      </w:r>
      <w:r>
        <w:rPr>
          <w:rFonts w:hint="eastAsia" w:ascii="Times New Roman" w:hAnsi="Times New Roman" w:eastAsia="仿宋_GB2312" w:cs="仿宋_GB2312"/>
          <w:color w:val="auto"/>
          <w:kern w:val="0"/>
          <w:sz w:val="32"/>
          <w:szCs w:val="32"/>
          <w:lang w:eastAsia="zh-CN"/>
        </w:rPr>
        <w:t>指事业单位开支的离退休经费。</w:t>
      </w:r>
    </w:p>
    <w:p w14:paraId="7DC48AE8">
      <w:pPr>
        <w:bidi w:val="0"/>
        <w:rPr>
          <w:rFonts w:hint="eastAsia" w:eastAsia="仿宋"/>
          <w:color w:val="auto"/>
          <w:lang w:eastAsia="zh-CN"/>
        </w:rPr>
      </w:pPr>
      <w:r>
        <w:rPr>
          <w:rFonts w:hint="eastAsia" w:ascii="楷体" w:hAnsi="楷体" w:eastAsia="楷体" w:cs="楷体"/>
          <w:color w:val="auto"/>
          <w:lang w:val="en-US" w:eastAsia="zh-CN"/>
        </w:rPr>
        <w:t>（八）</w:t>
      </w:r>
      <w:r>
        <w:rPr>
          <w:rFonts w:hint="eastAsia" w:ascii="楷体" w:hAnsi="楷体" w:eastAsia="楷体" w:cs="楷体"/>
          <w:color w:val="auto"/>
          <w:lang w:eastAsia="zh-CN"/>
        </w:rPr>
        <w:t>社会保障和就业支出（类）行政事业单位养老支出（款）行政单位离退休（项）：</w:t>
      </w:r>
      <w:r>
        <w:rPr>
          <w:rFonts w:hint="eastAsia" w:ascii="Times New Roman" w:hAnsi="Times New Roman" w:eastAsia="仿宋_GB2312" w:cs="仿宋_GB2312"/>
          <w:color w:val="auto"/>
          <w:kern w:val="0"/>
          <w:sz w:val="32"/>
          <w:szCs w:val="32"/>
          <w:lang w:eastAsia="zh-CN"/>
        </w:rPr>
        <w:t>指行政单位（包括实行公务员管理的事业单位）开支的离退休经费</w:t>
      </w:r>
      <w:r>
        <w:rPr>
          <w:rFonts w:hint="eastAsia" w:ascii="仿宋_GB2312" w:hAnsi="仿宋_GB2312" w:eastAsia="仿宋_GB2312" w:cs="仿宋_GB2312"/>
          <w:color w:val="auto"/>
          <w:lang w:eastAsia="zh-CN"/>
        </w:rPr>
        <w:t>。</w:t>
      </w:r>
    </w:p>
    <w:p w14:paraId="354545BE">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（九）社会保障和就业支出（类）行政事业单位养老支出（款）机关事业单位基本养老保险缴费支出（项）：</w:t>
      </w:r>
      <w:r>
        <w:rPr>
          <w:rFonts w:hint="eastAsia" w:ascii="Times New Roman" w:hAnsi="Times New Roman" w:eastAsia="仿宋_GB2312" w:cs="仿宋_GB2312"/>
          <w:color w:val="auto"/>
          <w:kern w:val="0"/>
          <w:sz w:val="32"/>
          <w:szCs w:val="32"/>
          <w:lang w:eastAsia="zh-CN"/>
        </w:rPr>
        <w:t>指机关事业单位实施养老保险制度由单位缴纳的基本养老保险费的支出。</w:t>
      </w:r>
    </w:p>
    <w:p w14:paraId="73D9A0DC">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（十）社会保障和就业支出（类）行政事业单位养老支出（款）机关事业单位职业年金缴费支出（项）：</w:t>
      </w:r>
      <w:r>
        <w:rPr>
          <w:rFonts w:hint="eastAsia" w:ascii="Times New Roman" w:hAnsi="Times New Roman" w:eastAsia="仿宋_GB2312" w:cs="仿宋_GB2312"/>
          <w:color w:val="auto"/>
          <w:kern w:val="0"/>
          <w:sz w:val="32"/>
          <w:szCs w:val="32"/>
          <w:lang w:eastAsia="zh-CN"/>
        </w:rPr>
        <w:t>指机关事业单位实施养老保险制度由单位缴纳的职业年金的支出（含职业年金补记支出）。</w:t>
      </w:r>
    </w:p>
    <w:p w14:paraId="0DD4BFEA">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（十一）社会保障和就业支出（类）其他社会保障和就业支出（款）其他社会保障和就业支出（项）：</w:t>
      </w:r>
      <w:r>
        <w:rPr>
          <w:rFonts w:hint="eastAsia" w:ascii="Times New Roman" w:hAnsi="Times New Roman" w:eastAsia="仿宋_GB2312" w:cs="仿宋_GB2312"/>
          <w:color w:val="auto"/>
          <w:kern w:val="0"/>
          <w:sz w:val="32"/>
          <w:szCs w:val="32"/>
          <w:lang w:eastAsia="zh-CN"/>
        </w:rPr>
        <w:t>指除上述项目以外的其他用于社会保障和就业方面的支出。</w:t>
      </w:r>
    </w:p>
    <w:p w14:paraId="5575BC58">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（十二）卫生健康支出（类）行政事业单位医疗（款）行政单位医疗（项）：</w:t>
      </w:r>
      <w:r>
        <w:rPr>
          <w:rFonts w:hint="eastAsia" w:ascii="Times New Roman" w:hAnsi="Times New Roman" w:eastAsia="仿宋_GB2312" w:cs="仿宋_GB2312"/>
          <w:color w:val="auto"/>
          <w:kern w:val="0"/>
          <w:sz w:val="32"/>
          <w:szCs w:val="32"/>
          <w:lang w:eastAsia="zh-CN"/>
        </w:rPr>
        <w:t>指财政部门安排的行政单位（包括实行公务员管理的事业单位）基本医疗保险缴费经费，未参加医疗保险的行政单位的公费医疗经费，按国家规定享受离休人员、红军老战士待遇人员的医疗经费。</w:t>
      </w:r>
    </w:p>
    <w:p w14:paraId="1DE34742">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（十三）卫生健康支出（类）行政事业单位医疗（款）事业单位医疗（项）：</w:t>
      </w:r>
      <w:r>
        <w:rPr>
          <w:rFonts w:hint="eastAsia" w:ascii="Times New Roman" w:hAnsi="Times New Roman" w:eastAsia="仿宋_GB2312" w:cs="仿宋_GB2312"/>
          <w:color w:val="auto"/>
          <w:kern w:val="0"/>
          <w:sz w:val="32"/>
          <w:szCs w:val="32"/>
          <w:lang w:eastAsia="zh-CN"/>
        </w:rPr>
        <w:t>指财政部门安排的事业单位基本医疗保险缴费经费，未参加医疗保险的事业单位的公费医疗经费，按国家规定享受离休人员待遇的医疗经费。</w:t>
      </w:r>
    </w:p>
    <w:p w14:paraId="0A67B911">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（十四）卫生健康支出（类）行政事业单位医疗（款）公务员医疗补助（项）：</w:t>
      </w:r>
      <w:r>
        <w:rPr>
          <w:rFonts w:hint="eastAsia" w:ascii="Times New Roman" w:hAnsi="Times New Roman" w:eastAsia="仿宋_GB2312" w:cs="仿宋_GB2312"/>
          <w:color w:val="auto"/>
          <w:kern w:val="0"/>
          <w:sz w:val="32"/>
          <w:szCs w:val="32"/>
          <w:lang w:eastAsia="zh-CN"/>
        </w:rPr>
        <w:t>指财政部门安排的公务员医疗补助经费。</w:t>
      </w:r>
    </w:p>
    <w:p w14:paraId="672DA91F">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（十五）住房保障支出（类）住房改革支出（款）住房公积金（项）：</w:t>
      </w:r>
      <w:r>
        <w:rPr>
          <w:rFonts w:hint="eastAsia" w:ascii="Times New Roman" w:hAnsi="Times New Roman" w:eastAsia="仿宋_GB2312" w:cs="仿宋_GB2312"/>
          <w:color w:val="auto"/>
          <w:kern w:val="0"/>
          <w:sz w:val="32"/>
          <w:szCs w:val="32"/>
          <w:lang w:eastAsia="zh-CN"/>
        </w:rPr>
        <w:t>指行政事业单位按人力资源和社会保障部、财政部规定的基本工资和津贴补贴以及规定比例为职工缴纳的住房公积金。</w:t>
      </w:r>
    </w:p>
    <w:p w14:paraId="5EC60464">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（十六）基本支出：</w:t>
      </w:r>
      <w:r>
        <w:rPr>
          <w:rFonts w:hint="eastAsia" w:ascii="Times New Roman" w:hAnsi="Times New Roman" w:eastAsia="仿宋_GB2312" w:cs="仿宋_GB2312"/>
          <w:color w:val="auto"/>
          <w:kern w:val="0"/>
          <w:sz w:val="32"/>
          <w:szCs w:val="32"/>
          <w:lang w:eastAsia="zh-CN"/>
        </w:rPr>
        <w:t>指为保障机构正常运转，完成日常工作任务而发生的人员支出和公用支出。</w:t>
      </w:r>
    </w:p>
    <w:p w14:paraId="4D58CB18">
      <w:pPr>
        <w:bidi w:val="0"/>
        <w:rPr>
          <w:rFonts w:hint="eastAsia" w:ascii="Times New Roman" w:hAnsi="Times New Roman" w:eastAsia="仿宋_GB2312" w:cs="仿宋_GB2312"/>
          <w:color w:val="auto"/>
          <w:kern w:val="0"/>
          <w:sz w:val="32"/>
          <w:szCs w:val="32"/>
          <w:lang w:eastAsia="zh-CN"/>
        </w:rPr>
      </w:pPr>
      <w:r>
        <w:rPr>
          <w:rFonts w:hint="eastAsia" w:ascii="楷体" w:hAnsi="楷体" w:eastAsia="楷体" w:cs="楷体"/>
          <w:color w:val="auto"/>
          <w:lang w:eastAsia="zh-CN"/>
        </w:rPr>
        <w:t>（十七）项目支出：</w:t>
      </w:r>
      <w:r>
        <w:rPr>
          <w:rFonts w:hint="eastAsia" w:ascii="Times New Roman" w:hAnsi="Times New Roman" w:eastAsia="仿宋_GB2312" w:cs="仿宋_GB2312"/>
          <w:color w:val="auto"/>
          <w:kern w:val="0"/>
          <w:sz w:val="32"/>
          <w:szCs w:val="32"/>
          <w:lang w:eastAsia="zh-CN"/>
        </w:rPr>
        <w:t>指在基本支出之外为完成特定行政任务或事业发展目标所发生的支出。</w:t>
      </w:r>
    </w:p>
    <w:p w14:paraId="7B84364C">
      <w:pPr>
        <w:bidi w:val="0"/>
        <w:rPr>
          <w:rFonts w:hint="eastAsia" w:ascii="Times New Roman" w:hAnsi="Times New Roman" w:eastAsia="仿宋_GB2312" w:cs="仿宋_GB2312"/>
          <w:color w:val="auto"/>
          <w:kern w:val="0"/>
          <w:sz w:val="32"/>
          <w:szCs w:val="32"/>
          <w:lang w:val="en-US" w:eastAsia="zh-CN"/>
        </w:rPr>
      </w:pPr>
      <w:r>
        <w:rPr>
          <w:rFonts w:hint="eastAsia" w:ascii="楷体" w:hAnsi="楷体" w:eastAsia="楷体" w:cs="楷体"/>
          <w:color w:val="auto"/>
          <w:lang w:eastAsia="zh-CN"/>
        </w:rPr>
        <w:t>（十八）“三公”经费：</w:t>
      </w:r>
      <w:r>
        <w:rPr>
          <w:rFonts w:hint="eastAsia" w:ascii="Times New Roman" w:hAnsi="Times New Roman" w:eastAsia="仿宋_GB2312" w:cs="仿宋_GB2312"/>
          <w:color w:val="auto"/>
          <w:kern w:val="0"/>
          <w:sz w:val="32"/>
          <w:szCs w:val="32"/>
          <w:lang w:eastAsia="zh-CN"/>
        </w:rPr>
        <w:t>纳入预算管理的“三公”经费，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单位按规定保留的公务用车燃料费、维修费、过路过桥费、保险费、安全奖励费用等支出；公务接待费反映单位按规定开支的各类公务接待（含外宾接待）支出。</w:t>
      </w:r>
    </w:p>
    <w:p w14:paraId="185EBDBA">
      <w:pPr>
        <w:bidi w:val="0"/>
        <w:rPr>
          <w:rFonts w:hint="eastAsia" w:ascii="Times New Roman" w:hAnsi="Times New Roman" w:eastAsia="仿宋_GB2312" w:cs="仿宋_GB2312"/>
          <w:color w:val="auto"/>
          <w:kern w:val="0"/>
          <w:sz w:val="32"/>
          <w:szCs w:val="32"/>
          <w:lang w:eastAsia="zh-CN"/>
        </w:rPr>
      </w:pP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DC7596B-490A-48DC-A744-22F5FF9616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5D3C758-6AF5-4FD2-9969-255E0023FB1D}"/>
  </w:font>
  <w:font w:name="仿宋">
    <w:panose1 w:val="02010609060101010101"/>
    <w:charset w:val="86"/>
    <w:family w:val="modern"/>
    <w:pitch w:val="default"/>
    <w:sig w:usb0="800002BF" w:usb1="38CF7CFA" w:usb2="00000016" w:usb3="00000000" w:csb0="00040001" w:csb1="00000000"/>
    <w:embedRegular r:id="rId3" w:fontKey="{DC894226-A90E-4615-B7BB-D17F17B4E2C9}"/>
  </w:font>
  <w:font w:name="方正小标宋简体">
    <w:panose1 w:val="02000000000000000000"/>
    <w:charset w:val="86"/>
    <w:family w:val="auto"/>
    <w:pitch w:val="default"/>
    <w:sig w:usb0="00000001" w:usb1="080E0000" w:usb2="00000000" w:usb3="00000000" w:csb0="00040000" w:csb1="00000000"/>
    <w:embedRegular r:id="rId4" w:fontKey="{880BB4CC-5E85-4CC5-AC7D-5DB2627963E6}"/>
  </w:font>
  <w:font w:name="仿宋_GB2312">
    <w:panose1 w:val="02010609030101010101"/>
    <w:charset w:val="86"/>
    <w:family w:val="modern"/>
    <w:pitch w:val="default"/>
    <w:sig w:usb0="00000001" w:usb1="080E0000" w:usb2="00000000" w:usb3="00000000" w:csb0="00040000" w:csb1="00000000"/>
    <w:embedRegular r:id="rId5" w:fontKey="{5F0697F1-36CB-4A43-B719-B4A7072C0B67}"/>
  </w:font>
  <w:font w:name="汉仪中宋简á..">
    <w:altName w:val="宋体"/>
    <w:panose1 w:val="00000000000000000000"/>
    <w:charset w:val="86"/>
    <w:family w:val="roma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2604E891-9ED0-495E-B6FD-A18F5B202703}"/>
  </w:font>
  <w:font w:name="楷体">
    <w:panose1 w:val="02010609060101010101"/>
    <w:charset w:val="86"/>
    <w:family w:val="auto"/>
    <w:pitch w:val="default"/>
    <w:sig w:usb0="800002BF" w:usb1="38CF7CFA" w:usb2="00000016" w:usb3="00000000" w:csb0="00040001" w:csb1="00000000"/>
    <w:embedRegular r:id="rId7" w:fontKey="{B0365148-110F-4F6B-B322-2A4769A4B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E626">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EAD630">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CEAD630">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7752C"/>
    <w:multiLevelType w:val="singleLevel"/>
    <w:tmpl w:val="A457752C"/>
    <w:lvl w:ilvl="0" w:tentative="0">
      <w:start w:val="4"/>
      <w:numFmt w:val="chineseCounting"/>
      <w:suff w:val="space"/>
      <w:lvlText w:val="第%1部分"/>
      <w:lvlJc w:val="left"/>
      <w:rPr>
        <w:rFonts w:hint="eastAsia"/>
      </w:rPr>
    </w:lvl>
  </w:abstractNum>
  <w:abstractNum w:abstractNumId="1">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4"/>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8E6119"/>
    <w:rsid w:val="0A913707"/>
    <w:rsid w:val="0ABE1F9B"/>
    <w:rsid w:val="0AC30DF6"/>
    <w:rsid w:val="0ADA1A81"/>
    <w:rsid w:val="0B29129C"/>
    <w:rsid w:val="0BB15CFC"/>
    <w:rsid w:val="0BE20302"/>
    <w:rsid w:val="0C31589B"/>
    <w:rsid w:val="0C343E9E"/>
    <w:rsid w:val="0C37316F"/>
    <w:rsid w:val="0C565E28"/>
    <w:rsid w:val="0C9E05B3"/>
    <w:rsid w:val="0CEF662F"/>
    <w:rsid w:val="0D15182E"/>
    <w:rsid w:val="0D1F7D7F"/>
    <w:rsid w:val="0D211BCC"/>
    <w:rsid w:val="0DA40415"/>
    <w:rsid w:val="0DC47C7E"/>
    <w:rsid w:val="0E1B6735"/>
    <w:rsid w:val="0E4507AD"/>
    <w:rsid w:val="0E5A24B2"/>
    <w:rsid w:val="0E5B7463"/>
    <w:rsid w:val="0E7C2A49"/>
    <w:rsid w:val="0E863207"/>
    <w:rsid w:val="0E8C67E6"/>
    <w:rsid w:val="0E995F08"/>
    <w:rsid w:val="0EFF2D5A"/>
    <w:rsid w:val="0F332E84"/>
    <w:rsid w:val="0F4F3EF9"/>
    <w:rsid w:val="0F5126AD"/>
    <w:rsid w:val="0F5C24C4"/>
    <w:rsid w:val="0F6D7648"/>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E508E3"/>
    <w:rsid w:val="12F04042"/>
    <w:rsid w:val="13030836"/>
    <w:rsid w:val="131A52D4"/>
    <w:rsid w:val="13B824DA"/>
    <w:rsid w:val="13F265CF"/>
    <w:rsid w:val="13F50541"/>
    <w:rsid w:val="13FD34D0"/>
    <w:rsid w:val="14030F44"/>
    <w:rsid w:val="1421019A"/>
    <w:rsid w:val="14250002"/>
    <w:rsid w:val="143546C3"/>
    <w:rsid w:val="14AF4B29"/>
    <w:rsid w:val="14C1181F"/>
    <w:rsid w:val="14D50328"/>
    <w:rsid w:val="14FF1C34"/>
    <w:rsid w:val="15016C82"/>
    <w:rsid w:val="15333760"/>
    <w:rsid w:val="15500F91"/>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69002C"/>
    <w:rsid w:val="19F7360C"/>
    <w:rsid w:val="1A045C10"/>
    <w:rsid w:val="1A577820"/>
    <w:rsid w:val="1A5E7EFB"/>
    <w:rsid w:val="1A7D5B0F"/>
    <w:rsid w:val="1A9C7E2B"/>
    <w:rsid w:val="1AE807BA"/>
    <w:rsid w:val="1AEF7DCF"/>
    <w:rsid w:val="1AFF4785"/>
    <w:rsid w:val="1B2E6628"/>
    <w:rsid w:val="1B5F7D27"/>
    <w:rsid w:val="1BF33119"/>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647774"/>
    <w:rsid w:val="217544DB"/>
    <w:rsid w:val="21971D65"/>
    <w:rsid w:val="21B957AE"/>
    <w:rsid w:val="22121464"/>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212915"/>
    <w:rsid w:val="265A431A"/>
    <w:rsid w:val="266B2A66"/>
    <w:rsid w:val="26710FF0"/>
    <w:rsid w:val="26B732BD"/>
    <w:rsid w:val="27104C6C"/>
    <w:rsid w:val="27263D7B"/>
    <w:rsid w:val="272D4172"/>
    <w:rsid w:val="279168B5"/>
    <w:rsid w:val="27A0205E"/>
    <w:rsid w:val="27CA2B49"/>
    <w:rsid w:val="27CB754F"/>
    <w:rsid w:val="280223C0"/>
    <w:rsid w:val="28115DC0"/>
    <w:rsid w:val="28A21C19"/>
    <w:rsid w:val="298D0C33"/>
    <w:rsid w:val="29A12E30"/>
    <w:rsid w:val="29B4649A"/>
    <w:rsid w:val="29DC2D0C"/>
    <w:rsid w:val="29EE4FAE"/>
    <w:rsid w:val="2A3E1EBB"/>
    <w:rsid w:val="2A480A06"/>
    <w:rsid w:val="2A663059"/>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2EC51EE"/>
    <w:rsid w:val="33180FDF"/>
    <w:rsid w:val="33AF50A4"/>
    <w:rsid w:val="33BF5A1C"/>
    <w:rsid w:val="34347CA8"/>
    <w:rsid w:val="346D1487"/>
    <w:rsid w:val="347C3BC1"/>
    <w:rsid w:val="347D7659"/>
    <w:rsid w:val="34B75DE4"/>
    <w:rsid w:val="34DE08FF"/>
    <w:rsid w:val="34EC234E"/>
    <w:rsid w:val="35070FE1"/>
    <w:rsid w:val="35413925"/>
    <w:rsid w:val="35B4718D"/>
    <w:rsid w:val="362000D5"/>
    <w:rsid w:val="362E53CF"/>
    <w:rsid w:val="36322589"/>
    <w:rsid w:val="36505C55"/>
    <w:rsid w:val="36877AF6"/>
    <w:rsid w:val="36AC602F"/>
    <w:rsid w:val="36B408B4"/>
    <w:rsid w:val="36C57B63"/>
    <w:rsid w:val="36D60EC8"/>
    <w:rsid w:val="36EB7A56"/>
    <w:rsid w:val="37072D43"/>
    <w:rsid w:val="37133F7E"/>
    <w:rsid w:val="375B12BA"/>
    <w:rsid w:val="375D1724"/>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C5763B9"/>
    <w:rsid w:val="3C9F7525"/>
    <w:rsid w:val="3CAD14EB"/>
    <w:rsid w:val="3CE10D53"/>
    <w:rsid w:val="3D7E788D"/>
    <w:rsid w:val="3DE5239C"/>
    <w:rsid w:val="3DF73841"/>
    <w:rsid w:val="3DFF6B24"/>
    <w:rsid w:val="3E337D9D"/>
    <w:rsid w:val="3E4A3184"/>
    <w:rsid w:val="3EA15BEA"/>
    <w:rsid w:val="3EEC3285"/>
    <w:rsid w:val="3F7517C8"/>
    <w:rsid w:val="3FAE1258"/>
    <w:rsid w:val="401D6094"/>
    <w:rsid w:val="402E2706"/>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14F84"/>
    <w:rsid w:val="46BD4700"/>
    <w:rsid w:val="46CD28E5"/>
    <w:rsid w:val="47770CCA"/>
    <w:rsid w:val="477A2AB4"/>
    <w:rsid w:val="48094AE2"/>
    <w:rsid w:val="481544D7"/>
    <w:rsid w:val="483E4E75"/>
    <w:rsid w:val="484E6897"/>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B5C6C"/>
    <w:rsid w:val="4ADC2291"/>
    <w:rsid w:val="4AFE168C"/>
    <w:rsid w:val="4B4C6658"/>
    <w:rsid w:val="4B6926B5"/>
    <w:rsid w:val="4B7A69E2"/>
    <w:rsid w:val="4B9C252E"/>
    <w:rsid w:val="4BBE5D06"/>
    <w:rsid w:val="4BCA09FA"/>
    <w:rsid w:val="4BE907F8"/>
    <w:rsid w:val="4BEB54D0"/>
    <w:rsid w:val="4C435437"/>
    <w:rsid w:val="4C570DA7"/>
    <w:rsid w:val="4C925D72"/>
    <w:rsid w:val="4CC70285"/>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627BF"/>
    <w:rsid w:val="504B7277"/>
    <w:rsid w:val="50765CB0"/>
    <w:rsid w:val="50801331"/>
    <w:rsid w:val="50924CFB"/>
    <w:rsid w:val="50DC614F"/>
    <w:rsid w:val="50E0282D"/>
    <w:rsid w:val="51050BFE"/>
    <w:rsid w:val="51395CD6"/>
    <w:rsid w:val="5166767E"/>
    <w:rsid w:val="51710636"/>
    <w:rsid w:val="51B1646C"/>
    <w:rsid w:val="51E16B86"/>
    <w:rsid w:val="51F040FB"/>
    <w:rsid w:val="51F71E1A"/>
    <w:rsid w:val="522E33FF"/>
    <w:rsid w:val="523F3B40"/>
    <w:rsid w:val="529507CD"/>
    <w:rsid w:val="5394668C"/>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7452A2"/>
    <w:rsid w:val="55A91AFC"/>
    <w:rsid w:val="55F00D78"/>
    <w:rsid w:val="56061562"/>
    <w:rsid w:val="565E2A78"/>
    <w:rsid w:val="56A566E4"/>
    <w:rsid w:val="56B82C6F"/>
    <w:rsid w:val="56F54CB6"/>
    <w:rsid w:val="571A40C7"/>
    <w:rsid w:val="57307786"/>
    <w:rsid w:val="57316DA0"/>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0D2FE7"/>
    <w:rsid w:val="5C1C4987"/>
    <w:rsid w:val="5C526A06"/>
    <w:rsid w:val="5C6D4FF3"/>
    <w:rsid w:val="5C8C12C8"/>
    <w:rsid w:val="5CA67BCF"/>
    <w:rsid w:val="5CAD3352"/>
    <w:rsid w:val="5CEF421A"/>
    <w:rsid w:val="5D0B390A"/>
    <w:rsid w:val="5D6E287B"/>
    <w:rsid w:val="5DD62F1B"/>
    <w:rsid w:val="5E0651AA"/>
    <w:rsid w:val="5E294F9F"/>
    <w:rsid w:val="5E566896"/>
    <w:rsid w:val="5E604B3E"/>
    <w:rsid w:val="5E64737F"/>
    <w:rsid w:val="5E77526B"/>
    <w:rsid w:val="5E921426"/>
    <w:rsid w:val="5EA77AD3"/>
    <w:rsid w:val="5EB95DD2"/>
    <w:rsid w:val="5F5C2EFA"/>
    <w:rsid w:val="5F5F7CDD"/>
    <w:rsid w:val="5F7255C6"/>
    <w:rsid w:val="5F785834"/>
    <w:rsid w:val="5FB13C1C"/>
    <w:rsid w:val="5FC75282"/>
    <w:rsid w:val="5FE1567A"/>
    <w:rsid w:val="5FEC1BF5"/>
    <w:rsid w:val="60C2709E"/>
    <w:rsid w:val="6106329C"/>
    <w:rsid w:val="610E451F"/>
    <w:rsid w:val="618333EA"/>
    <w:rsid w:val="61885C5D"/>
    <w:rsid w:val="61A265C7"/>
    <w:rsid w:val="61BE18D9"/>
    <w:rsid w:val="61F91876"/>
    <w:rsid w:val="62322474"/>
    <w:rsid w:val="626012F3"/>
    <w:rsid w:val="626E260B"/>
    <w:rsid w:val="62C84DC4"/>
    <w:rsid w:val="62D62068"/>
    <w:rsid w:val="630C0C9E"/>
    <w:rsid w:val="6341785E"/>
    <w:rsid w:val="63A96A13"/>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2D65F4"/>
    <w:rsid w:val="675A74FA"/>
    <w:rsid w:val="67DE101C"/>
    <w:rsid w:val="67FC099D"/>
    <w:rsid w:val="683A42B9"/>
    <w:rsid w:val="68413617"/>
    <w:rsid w:val="68FA5E7F"/>
    <w:rsid w:val="69206FE6"/>
    <w:rsid w:val="69275944"/>
    <w:rsid w:val="698E0308"/>
    <w:rsid w:val="69A56796"/>
    <w:rsid w:val="69A67CDD"/>
    <w:rsid w:val="69AA25B9"/>
    <w:rsid w:val="69B616A8"/>
    <w:rsid w:val="69E40712"/>
    <w:rsid w:val="6A5C2965"/>
    <w:rsid w:val="6ABE3F1A"/>
    <w:rsid w:val="6AEF5784"/>
    <w:rsid w:val="6AEF6426"/>
    <w:rsid w:val="6B256BBD"/>
    <w:rsid w:val="6C17358A"/>
    <w:rsid w:val="6C192DF4"/>
    <w:rsid w:val="6C2E3BAB"/>
    <w:rsid w:val="6CFD38B4"/>
    <w:rsid w:val="6D24124D"/>
    <w:rsid w:val="6D7831C7"/>
    <w:rsid w:val="6DA43D14"/>
    <w:rsid w:val="6DE93268"/>
    <w:rsid w:val="6DFC0A08"/>
    <w:rsid w:val="6E03556E"/>
    <w:rsid w:val="6E4C1DDD"/>
    <w:rsid w:val="6E4F4E79"/>
    <w:rsid w:val="6EB45CAC"/>
    <w:rsid w:val="6EBA7CE7"/>
    <w:rsid w:val="6F0526A1"/>
    <w:rsid w:val="6F683104"/>
    <w:rsid w:val="6FBA6E91"/>
    <w:rsid w:val="70525A28"/>
    <w:rsid w:val="70631405"/>
    <w:rsid w:val="707D4D66"/>
    <w:rsid w:val="707E15F9"/>
    <w:rsid w:val="70A231E6"/>
    <w:rsid w:val="70F463B4"/>
    <w:rsid w:val="70FB6077"/>
    <w:rsid w:val="712D20D3"/>
    <w:rsid w:val="7131157C"/>
    <w:rsid w:val="718370CE"/>
    <w:rsid w:val="71944CFF"/>
    <w:rsid w:val="71CC0D50"/>
    <w:rsid w:val="71F32E30"/>
    <w:rsid w:val="71F85BCF"/>
    <w:rsid w:val="71FC0F7A"/>
    <w:rsid w:val="720B57D9"/>
    <w:rsid w:val="721C18CD"/>
    <w:rsid w:val="72974BB0"/>
    <w:rsid w:val="730A62BA"/>
    <w:rsid w:val="731E4809"/>
    <w:rsid w:val="732A3637"/>
    <w:rsid w:val="73394FCE"/>
    <w:rsid w:val="733952EA"/>
    <w:rsid w:val="735D00D3"/>
    <w:rsid w:val="73B07BE6"/>
    <w:rsid w:val="73B155E8"/>
    <w:rsid w:val="741C4825"/>
    <w:rsid w:val="74280C84"/>
    <w:rsid w:val="742A2BFF"/>
    <w:rsid w:val="745921C5"/>
    <w:rsid w:val="74693BC7"/>
    <w:rsid w:val="74977010"/>
    <w:rsid w:val="74AC6903"/>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D356F30"/>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3">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4">
    <w:name w:val="heading 2"/>
    <w:basedOn w:val="1"/>
    <w:next w:val="1"/>
    <w:link w:val="21"/>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5">
    <w:name w:val="heading 3"/>
    <w:basedOn w:val="1"/>
    <w:next w:val="1"/>
    <w:link w:val="24"/>
    <w:unhideWhenUsed/>
    <w:qFormat/>
    <w:uiPriority w:val="0"/>
    <w:pPr>
      <w:keepNext/>
      <w:keepLines/>
      <w:spacing w:beforeLines="0" w:beforeAutospacing="0" w:afterLines="0" w:afterAutospacing="0" w:line="360" w:lineRule="auto"/>
      <w:outlineLvl w:val="2"/>
    </w:pPr>
    <w:rPr>
      <w:b/>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6">
    <w:name w:val="Normal Indent"/>
    <w:basedOn w:val="1"/>
    <w:qFormat/>
    <w:uiPriority w:val="0"/>
    <w:pPr>
      <w:ind w:firstLine="420" w:firstLineChars="200"/>
    </w:pPr>
  </w:style>
  <w:style w:type="paragraph" w:styleId="7">
    <w:name w:val="Body Text"/>
    <w:basedOn w:val="1"/>
    <w:next w:val="1"/>
    <w:unhideWhenUsed/>
    <w:qFormat/>
    <w:uiPriority w:val="99"/>
    <w:pPr>
      <w:spacing w:after="120"/>
    </w:pPr>
    <w:rPr>
      <w:rFonts w:ascii="Calibri" w:hAnsi="Calibri" w:eastAsia="宋体" w:cs="Times New Roman"/>
    </w:rPr>
  </w:style>
  <w:style w:type="paragraph" w:styleId="8">
    <w:name w:val="Date"/>
    <w:basedOn w:val="1"/>
    <w:next w:val="1"/>
    <w:link w:val="22"/>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itle"/>
    <w:basedOn w:val="1"/>
    <w:next w:val="1"/>
    <w:qFormat/>
    <w:uiPriority w:val="0"/>
    <w:pPr>
      <w:spacing w:line="700" w:lineRule="exact"/>
      <w:jc w:val="center"/>
    </w:pPr>
    <w:rPr>
      <w:rFonts w:eastAsia="方正小标宋简体"/>
      <w:color w:val="000000"/>
      <w:kern w:val="0"/>
      <w:sz w:val="44"/>
      <w:szCs w:val="44"/>
    </w:rPr>
  </w:style>
  <w:style w:type="character" w:styleId="14">
    <w:name w:val="page number"/>
    <w:basedOn w:val="13"/>
    <w:qFormat/>
    <w:uiPriority w:val="0"/>
  </w:style>
  <w:style w:type="paragraph" w:customStyle="1" w:styleId="15">
    <w:name w:val="Quote1"/>
    <w:basedOn w:val="1"/>
    <w:next w:val="1"/>
    <w:qFormat/>
    <w:uiPriority w:val="0"/>
    <w:rPr>
      <w:i/>
      <w:iCs/>
      <w:color w:val="000000"/>
    </w:rPr>
  </w:style>
  <w:style w:type="character" w:customStyle="1" w:styleId="16">
    <w:name w:val="NormalCharacter"/>
    <w:semiHidden/>
    <w:qFormat/>
    <w:uiPriority w:val="0"/>
  </w:style>
  <w:style w:type="paragraph" w:styleId="17">
    <w:name w:val="List Paragraph"/>
    <w:basedOn w:val="1"/>
    <w:qFormat/>
    <w:uiPriority w:val="34"/>
    <w:pPr>
      <w:ind w:firstLine="420" w:firstLineChars="200"/>
    </w:pPr>
  </w:style>
  <w:style w:type="paragraph" w:customStyle="1" w:styleId="18">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9">
    <w:name w:val="引用1"/>
    <w:basedOn w:val="1"/>
    <w:next w:val="1"/>
    <w:qFormat/>
    <w:uiPriority w:val="29"/>
    <w:rPr>
      <w:i/>
      <w:iCs/>
      <w:color w:val="000000"/>
    </w:rPr>
  </w:style>
  <w:style w:type="paragraph" w:customStyle="1" w:styleId="20">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1">
    <w:name w:val="标题 2 Char"/>
    <w:basedOn w:val="13"/>
    <w:link w:val="4"/>
    <w:qFormat/>
    <w:uiPriority w:val="0"/>
    <w:rPr>
      <w:rFonts w:ascii="Arial" w:hAnsi="Arial" w:eastAsia="黑体" w:cs="Arial"/>
      <w:b/>
      <w:bCs/>
      <w:kern w:val="2"/>
      <w:sz w:val="30"/>
      <w:szCs w:val="30"/>
    </w:rPr>
  </w:style>
  <w:style w:type="character" w:customStyle="1" w:styleId="22">
    <w:name w:val="日期 Char"/>
    <w:basedOn w:val="13"/>
    <w:link w:val="8"/>
    <w:qFormat/>
    <w:uiPriority w:val="0"/>
    <w:rPr>
      <w:rFonts w:asciiTheme="minorHAnsi" w:hAnsiTheme="minorHAnsi" w:eastAsiaTheme="minorEastAsia" w:cstheme="minorBidi"/>
      <w:kern w:val="2"/>
      <w:sz w:val="21"/>
      <w:szCs w:val="24"/>
    </w:rPr>
  </w:style>
  <w:style w:type="paragraph" w:customStyle="1" w:styleId="23">
    <w:name w:val="引用11"/>
    <w:basedOn w:val="1"/>
    <w:next w:val="1"/>
    <w:qFormat/>
    <w:uiPriority w:val="29"/>
    <w:rPr>
      <w:rFonts w:ascii="Calibri" w:hAnsi="Calibri" w:eastAsia="宋体" w:cs="Times New Roman"/>
      <w:i/>
      <w:iCs/>
      <w:color w:val="000000"/>
    </w:rPr>
  </w:style>
  <w:style w:type="character" w:customStyle="1" w:styleId="24">
    <w:name w:val="标题 3 Char"/>
    <w:link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1084</Words>
  <Characters>1115</Characters>
  <Lines>1</Lines>
  <Paragraphs>1</Paragraphs>
  <TotalTime>22</TotalTime>
  <ScaleCrop>false</ScaleCrop>
  <LinksUpToDate>false</LinksUpToDate>
  <CharactersWithSpaces>1125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2025-05-13T07:31:00Z</cp:lastPrinted>
  <dcterms:modified xsi:type="dcterms:W3CDTF">2025-05-13T09:48:44Z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eyJoZGlkIjoiNzI2ZGI0OGUzMDAzMzk0YmE1OTYyMDVlZGMwMmYyODYiLCJ1c2VySWQiOiIzNjIzMDEzMzQifQ==</vt:lpwstr>
  </property>
  <property fmtid="{D5CDD505-2E9C-101B-9397-08002B2CF9AE}" pid="4" name="ICV">
    <vt:lpwstr>C283DFD3B3064115897CED7B8301CEF7_13</vt:lpwstr>
  </property>
</Properties>
</file>