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9C48B">
      <w:pPr>
        <w:spacing w:line="600" w:lineRule="exact"/>
        <w:jc w:val="left"/>
        <w:outlineLvl w:val="0"/>
        <w:rPr>
          <w:rFonts w:ascii="方正小标宋简体" w:hAnsi="宋体" w:eastAsia="方正小标宋简体"/>
          <w:szCs w:val="21"/>
        </w:rPr>
      </w:pPr>
      <w:bookmarkStart w:id="0" w:name="_Toc15306267"/>
    </w:p>
    <w:p w14:paraId="2C218158">
      <w:pPr>
        <w:pStyle w:val="9"/>
        <w:spacing w:before="93"/>
      </w:pPr>
    </w:p>
    <w:p w14:paraId="7D677515">
      <w:pPr>
        <w:spacing w:line="600" w:lineRule="exact"/>
        <w:jc w:val="center"/>
        <w:outlineLvl w:val="0"/>
        <w:rPr>
          <w:rFonts w:ascii="方正小标宋简体" w:hAnsi="宋体" w:eastAsia="方正小标宋简体"/>
          <w:sz w:val="72"/>
          <w:szCs w:val="72"/>
        </w:rPr>
      </w:pPr>
    </w:p>
    <w:p w14:paraId="17050C41">
      <w:pPr>
        <w:spacing w:line="600" w:lineRule="exact"/>
        <w:jc w:val="center"/>
        <w:outlineLvl w:val="0"/>
        <w:rPr>
          <w:rFonts w:ascii="方正小标宋简体" w:hAnsi="宋体" w:eastAsia="方正小标宋简体"/>
          <w:sz w:val="72"/>
          <w:szCs w:val="72"/>
        </w:rPr>
      </w:pPr>
    </w:p>
    <w:p w14:paraId="5774C12C">
      <w:pPr>
        <w:adjustRightInd w:val="0"/>
        <w:snapToGrid w:val="0"/>
        <w:spacing w:line="360" w:lineRule="auto"/>
        <w:jc w:val="center"/>
        <w:outlineLvl w:val="0"/>
        <w:rPr>
          <w:rFonts w:hint="eastAsia" w:ascii="方正小标宋简体" w:hAnsi="宋体" w:eastAsia="方正小标宋简体" w:cs="Times New Roman"/>
          <w:color w:val="auto"/>
          <w:kern w:val="2"/>
          <w:sz w:val="44"/>
          <w:szCs w:val="44"/>
          <w:highlight w:val="none"/>
          <w:lang w:val="en-US" w:eastAsia="zh-CN" w:bidi="ar-SA"/>
        </w:rPr>
      </w:pPr>
      <w:bookmarkStart w:id="1" w:name="_Toc15396475"/>
      <w:bookmarkStart w:id="2" w:name="_Toc15377425"/>
      <w:bookmarkStart w:id="3" w:name="_Toc15396597"/>
      <w:bookmarkStart w:id="4" w:name="_Toc15377193"/>
      <w:bookmarkStart w:id="5" w:name="_Toc15378441"/>
    </w:p>
    <w:p w14:paraId="6A59B0AC">
      <w:pPr>
        <w:adjustRightInd w:val="0"/>
        <w:snapToGrid w:val="0"/>
        <w:spacing w:line="360" w:lineRule="auto"/>
        <w:jc w:val="center"/>
        <w:outlineLvl w:val="0"/>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2023年度</w:t>
      </w:r>
      <w:bookmarkEnd w:id="1"/>
      <w:bookmarkEnd w:id="2"/>
      <w:bookmarkEnd w:id="3"/>
      <w:bookmarkEnd w:id="4"/>
      <w:bookmarkEnd w:id="5"/>
    </w:p>
    <w:bookmarkEnd w:id="0"/>
    <w:p w14:paraId="703A87E8">
      <w:pPr>
        <w:adjustRightInd w:val="0"/>
        <w:snapToGrid w:val="0"/>
        <w:spacing w:line="360" w:lineRule="auto"/>
        <w:jc w:val="center"/>
        <w:outlineLvl w:val="0"/>
        <w:rPr>
          <w:rFonts w:hint="eastAsia" w:ascii="方正小标宋简体" w:hAnsi="宋体" w:eastAsia="方正小标宋简体" w:cs="Times New Roman"/>
          <w:color w:val="auto"/>
          <w:kern w:val="2"/>
          <w:sz w:val="44"/>
          <w:szCs w:val="44"/>
          <w:highlight w:val="none"/>
          <w:lang w:val="en-US" w:eastAsia="zh-CN" w:bidi="ar-SA"/>
        </w:rPr>
      </w:pPr>
      <w:bookmarkStart w:id="6" w:name="_Toc15377426"/>
      <w:bookmarkStart w:id="7" w:name="_Toc15377194"/>
      <w:bookmarkStart w:id="8" w:name="_Toc15396598"/>
      <w:bookmarkStart w:id="9" w:name="_Toc15396476"/>
      <w:bookmarkStart w:id="10" w:name="_Toc15378442"/>
      <w:bookmarkStart w:id="11" w:name="_Toc15306268"/>
      <w:r>
        <w:rPr>
          <w:rFonts w:hint="eastAsia" w:ascii="方正小标宋简体" w:hAnsi="宋体" w:eastAsia="方正小标宋简体" w:cs="Times New Roman"/>
          <w:color w:val="auto"/>
          <w:kern w:val="2"/>
          <w:sz w:val="44"/>
          <w:szCs w:val="44"/>
          <w:highlight w:val="none"/>
          <w:lang w:val="en-US" w:eastAsia="zh-CN" w:bidi="ar-SA"/>
        </w:rPr>
        <w:t>峨边彝族自治县司法局</w:t>
      </w:r>
    </w:p>
    <w:p w14:paraId="10036FC4">
      <w:pPr>
        <w:adjustRightInd w:val="0"/>
        <w:snapToGrid w:val="0"/>
        <w:spacing w:line="360" w:lineRule="auto"/>
        <w:jc w:val="center"/>
        <w:outlineLvl w:val="0"/>
        <w:rPr>
          <w:rFonts w:hint="eastAsia" w:ascii="方正小标宋简体" w:hAnsi="宋体" w:eastAsia="方正小标宋简体" w:cs="Times New Roman"/>
          <w:color w:val="auto"/>
          <w:kern w:val="2"/>
          <w:sz w:val="44"/>
          <w:szCs w:val="44"/>
          <w:highlight w:val="none"/>
          <w:lang w:val="en-US" w:eastAsia="zh-CN" w:bidi="ar-SA"/>
        </w:rPr>
      </w:pPr>
      <w:r>
        <w:rPr>
          <w:rFonts w:hint="eastAsia" w:ascii="方正小标宋简体" w:hAnsi="宋体" w:eastAsia="方正小标宋简体" w:cs="Times New Roman"/>
          <w:color w:val="auto"/>
          <w:kern w:val="2"/>
          <w:sz w:val="44"/>
          <w:szCs w:val="44"/>
          <w:highlight w:val="none"/>
          <w:lang w:val="en-US" w:eastAsia="zh-CN" w:bidi="ar-SA"/>
        </w:rPr>
        <w:t>单位决算</w:t>
      </w:r>
      <w:bookmarkEnd w:id="6"/>
      <w:bookmarkEnd w:id="7"/>
      <w:bookmarkEnd w:id="8"/>
      <w:bookmarkEnd w:id="9"/>
      <w:bookmarkEnd w:id="10"/>
      <w:bookmarkEnd w:id="11"/>
    </w:p>
    <w:p w14:paraId="281B7398">
      <w:pPr>
        <w:widowControl/>
        <w:jc w:val="center"/>
        <w:rPr>
          <w:rFonts w:hint="eastAsia" w:ascii="黑体" w:hAnsi="黑体" w:eastAsia="黑体"/>
          <w:sz w:val="48"/>
          <w:szCs w:val="48"/>
        </w:rPr>
        <w:sectPr>
          <w:headerReference r:id="rId3" w:type="default"/>
          <w:footerReference r:id="rId4" w:type="default"/>
          <w:pgSz w:w="11906" w:h="16838"/>
          <w:pgMar w:top="2098" w:right="1474" w:bottom="1984" w:left="1587" w:header="851" w:footer="992" w:gutter="0"/>
          <w:pgNumType w:fmt="numberInDash" w:start="1"/>
          <w:cols w:space="425" w:num="1"/>
          <w:titlePg/>
          <w:docGrid w:type="lines" w:linePitch="312" w:charSpace="0"/>
        </w:sectPr>
      </w:pPr>
    </w:p>
    <w:p w14:paraId="366AAB92">
      <w:pPr>
        <w:widowControl/>
        <w:jc w:val="center"/>
        <w:rPr>
          <w:rFonts w:ascii="黑体" w:hAnsi="黑体" w:eastAsia="黑体" w:cstheme="minorBidi"/>
          <w:sz w:val="28"/>
          <w:szCs w:val="28"/>
        </w:rPr>
      </w:pPr>
      <w:r>
        <w:rPr>
          <w:rFonts w:hint="eastAsia" w:ascii="方正小标宋简体" w:hAnsi="方正小标宋简体" w:eastAsia="方正小标宋简体" w:cs="方正小标宋简体"/>
          <w:sz w:val="44"/>
          <w:szCs w:val="44"/>
        </w:rPr>
        <w:t>目录</w:t>
      </w:r>
    </w:p>
    <w:p w14:paraId="79E2528A">
      <w:pPr>
        <w:pStyle w:val="14"/>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公开时间：2023年</w:t>
      </w: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28</w:t>
      </w:r>
      <w:r>
        <w:rPr>
          <w:rFonts w:hint="eastAsia" w:ascii="楷体_GB2312" w:hAnsi="楷体_GB2312" w:eastAsia="楷体_GB2312" w:cs="楷体_GB2312"/>
          <w:sz w:val="32"/>
          <w:szCs w:val="32"/>
        </w:rPr>
        <w:t>日</w:t>
      </w:r>
    </w:p>
    <w:p w14:paraId="589CBB44">
      <w:pPr>
        <w:rPr>
          <w:rFonts w:hint="eastAsia" w:ascii="仿宋_GB2312" w:hAnsi="仿宋_GB2312" w:eastAsia="仿宋_GB2312" w:cs="仿宋_GB2312"/>
          <w:sz w:val="32"/>
          <w:szCs w:val="32"/>
        </w:rPr>
      </w:pPr>
    </w:p>
    <w:p w14:paraId="5A3E68C2">
      <w:pPr>
        <w:pStyle w:val="2"/>
        <w:rPr>
          <w:rFonts w:hint="eastAsia"/>
        </w:rPr>
      </w:pPr>
    </w:p>
    <w:p w14:paraId="24E4BF9D">
      <w:pPr>
        <w:pStyle w:val="14"/>
        <w:adjustRightInd w:val="0"/>
        <w:snapToGrid w:val="0"/>
        <w:spacing w:before="0"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第一部分 单位概况</w:t>
      </w:r>
    </w:p>
    <w:p w14:paraId="46D92203">
      <w:pPr>
        <w:pStyle w:val="15"/>
        <w:keepNext w:val="0"/>
        <w:keepLines w:val="0"/>
        <w:pageBreakBefore w:val="0"/>
        <w:widowControl w:val="0"/>
        <w:kinsoku/>
        <w:wordWrap/>
        <w:overflowPunct/>
        <w:topLinePunct w:val="0"/>
        <w:autoSpaceDE/>
        <w:autoSpaceDN/>
        <w:bidi w:val="0"/>
        <w:adjustRightInd w:val="0"/>
        <w:snapToGrid w:val="0"/>
        <w:spacing w:line="44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一、主要职责</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lang w:val="en-US" w:eastAsia="zh-CN"/>
        </w:rPr>
        <w:t>1</w:t>
      </w:r>
    </w:p>
    <w:p w14:paraId="02733D7E">
      <w:pPr>
        <w:pStyle w:val="15"/>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二、机构设置</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lang w:val="en-US" w:eastAsia="zh-CN"/>
        </w:rPr>
        <w:t>1</w:t>
      </w:r>
    </w:p>
    <w:p w14:paraId="75930456">
      <w:pPr>
        <w:pStyle w:val="14"/>
        <w:adjustRightInd w:val="0"/>
        <w:snapToGrid w:val="0"/>
        <w:spacing w:before="0"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第二部分 2023年度单位决算情况说明</w:t>
      </w:r>
    </w:p>
    <w:p w14:paraId="0FCF5F37">
      <w:pPr>
        <w:pStyle w:val="15"/>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一、收入支出决算总体情况说明</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lang w:val="en-US" w:eastAsia="zh-CN"/>
        </w:rPr>
        <w:t>2</w:t>
      </w:r>
    </w:p>
    <w:p w14:paraId="5C7B9D19">
      <w:pPr>
        <w:pStyle w:val="15"/>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二、收入决算情况说明</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lang w:val="en-US" w:eastAsia="zh-CN"/>
        </w:rPr>
        <w:t>3</w:t>
      </w:r>
    </w:p>
    <w:p w14:paraId="11DB25CF">
      <w:pPr>
        <w:pStyle w:val="15"/>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三、支出决算情况说明</w:t>
      </w:r>
      <w:r>
        <w:rPr>
          <w:rFonts w:hint="eastAsia" w:ascii="仿宋_GB2312" w:hAnsi="仿宋_GB2312" w:eastAsia="仿宋_GB2312" w:cs="仿宋_GB2312"/>
          <w:sz w:val="32"/>
          <w:szCs w:val="32"/>
          <w:lang w:val="en-US" w:eastAsia="zh-CN"/>
        </w:rPr>
        <w:t>-----------------------------4</w:t>
      </w:r>
    </w:p>
    <w:p w14:paraId="104353E5">
      <w:pPr>
        <w:pStyle w:val="15"/>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四、财政拨款收入支出决算总体情况说明</w:t>
      </w:r>
      <w:r>
        <w:rPr>
          <w:rFonts w:hint="eastAsia" w:ascii="仿宋_GB2312" w:hAnsi="仿宋_GB2312" w:eastAsia="仿宋_GB2312" w:cs="仿宋_GB2312"/>
          <w:sz w:val="32"/>
          <w:szCs w:val="32"/>
          <w:lang w:val="en-US" w:eastAsia="zh-CN"/>
        </w:rPr>
        <w:t>-------------4</w:t>
      </w:r>
    </w:p>
    <w:p w14:paraId="62C519C9">
      <w:pPr>
        <w:pStyle w:val="15"/>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五、一般公共预算财政拨款支出决算情况说明</w:t>
      </w:r>
      <w:r>
        <w:rPr>
          <w:rFonts w:hint="eastAsia" w:ascii="仿宋_GB2312" w:hAnsi="仿宋_GB2312" w:eastAsia="仿宋_GB2312" w:cs="仿宋_GB2312"/>
          <w:sz w:val="32"/>
          <w:szCs w:val="32"/>
          <w:lang w:val="en-US" w:eastAsia="zh-CN"/>
        </w:rPr>
        <w:t>---------4</w:t>
      </w:r>
    </w:p>
    <w:p w14:paraId="12770E5A">
      <w:pPr>
        <w:pStyle w:val="15"/>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六、一般公共预算财政拨款基本支出决算情况说明</w:t>
      </w:r>
      <w:r>
        <w:rPr>
          <w:rFonts w:hint="eastAsia" w:ascii="仿宋_GB2312" w:hAnsi="仿宋_GB2312" w:eastAsia="仿宋_GB2312" w:cs="仿宋_GB2312"/>
          <w:sz w:val="32"/>
          <w:szCs w:val="32"/>
          <w:lang w:val="en-US" w:eastAsia="zh-CN"/>
        </w:rPr>
        <w:t>-----8</w:t>
      </w:r>
    </w:p>
    <w:p w14:paraId="368F7CE6">
      <w:pPr>
        <w:pStyle w:val="15"/>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七、财政拨款“三公”经费支出决算情况说明</w:t>
      </w:r>
      <w:r>
        <w:rPr>
          <w:rFonts w:hint="eastAsia" w:ascii="仿宋_GB2312" w:hAnsi="仿宋_GB2312" w:eastAsia="仿宋_GB2312" w:cs="仿宋_GB2312"/>
          <w:sz w:val="32"/>
          <w:szCs w:val="32"/>
          <w:lang w:val="en-US" w:eastAsia="zh-CN"/>
        </w:rPr>
        <w:t>---------9</w:t>
      </w:r>
    </w:p>
    <w:p w14:paraId="4B9FB633">
      <w:pPr>
        <w:pStyle w:val="15"/>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八、政府性基金预算支出决算情况说明</w:t>
      </w:r>
      <w:r>
        <w:rPr>
          <w:rFonts w:hint="eastAsia" w:ascii="仿宋_GB2312" w:hAnsi="仿宋_GB2312" w:eastAsia="仿宋_GB2312" w:cs="仿宋_GB2312"/>
          <w:sz w:val="32"/>
          <w:szCs w:val="32"/>
          <w:lang w:val="en-US" w:eastAsia="zh-CN"/>
        </w:rPr>
        <w:t>--------------11</w:t>
      </w:r>
    </w:p>
    <w:p w14:paraId="37AF302F">
      <w:pPr>
        <w:pStyle w:val="15"/>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九、国有资本经营预算支出决算情况说明</w:t>
      </w:r>
      <w:r>
        <w:rPr>
          <w:rFonts w:hint="eastAsia" w:ascii="仿宋_GB2312" w:hAnsi="仿宋_GB2312" w:eastAsia="仿宋_GB2312" w:cs="仿宋_GB2312"/>
          <w:sz w:val="32"/>
          <w:szCs w:val="32"/>
          <w:lang w:val="en-US" w:eastAsia="zh-CN"/>
        </w:rPr>
        <w:t>------------11</w:t>
      </w:r>
    </w:p>
    <w:p w14:paraId="0A3A12AE">
      <w:pPr>
        <w:pStyle w:val="15"/>
        <w:adjustRightInd w:val="0"/>
        <w:snapToGrid w:val="0"/>
        <w:spacing w:line="440" w:lineRule="exact"/>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十、其他重要事项的情况说明</w:t>
      </w:r>
      <w:r>
        <w:rPr>
          <w:rFonts w:hint="eastAsia" w:ascii="仿宋_GB2312" w:hAnsi="仿宋_GB2312" w:eastAsia="仿宋_GB2312" w:cs="仿宋_GB2312"/>
          <w:sz w:val="32"/>
          <w:szCs w:val="32"/>
          <w:lang w:val="en-US" w:eastAsia="zh-CN"/>
        </w:rPr>
        <w:t>----------------------11</w:t>
      </w:r>
    </w:p>
    <w:p w14:paraId="7C50538B">
      <w:pPr>
        <w:pStyle w:val="14"/>
        <w:adjustRightInd w:val="0"/>
        <w:snapToGrid w:val="0"/>
        <w:spacing w:before="0"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第三部分 名词解释</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lang w:val="en-US" w:eastAsia="zh-CN"/>
        </w:rPr>
        <w:t>13</w:t>
      </w:r>
    </w:p>
    <w:p w14:paraId="1976A8A1">
      <w:pPr>
        <w:pStyle w:val="14"/>
        <w:adjustRightInd w:val="0"/>
        <w:snapToGrid w:val="0"/>
        <w:spacing w:before="0"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第四部分 附件</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lang w:val="en-US" w:eastAsia="zh-CN"/>
        </w:rPr>
        <w:t>16</w:t>
      </w:r>
    </w:p>
    <w:p w14:paraId="33AC7ED9">
      <w:pPr>
        <w:pStyle w:val="14"/>
        <w:adjustRightInd w:val="0"/>
        <w:snapToGrid w:val="0"/>
        <w:spacing w:before="0" w:line="440" w:lineRule="exact"/>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第五部分 附表</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lang w:val="en-US" w:eastAsia="zh-CN"/>
        </w:rPr>
        <w:t>20</w:t>
      </w:r>
    </w:p>
    <w:p w14:paraId="6C33401B">
      <w:pPr>
        <w:pStyle w:val="15"/>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139C3D2D">
      <w:pPr>
        <w:pStyle w:val="15"/>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00E49D2F">
      <w:pPr>
        <w:pStyle w:val="15"/>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3CD3AA2C">
      <w:pPr>
        <w:pStyle w:val="15"/>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590A45E5">
      <w:pPr>
        <w:pStyle w:val="15"/>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五、财政拨款支出决算明细表</w:t>
      </w:r>
    </w:p>
    <w:p w14:paraId="3654E7DC">
      <w:pPr>
        <w:pStyle w:val="15"/>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六、一般公共预算财政拨款支出决算表</w:t>
      </w:r>
    </w:p>
    <w:p w14:paraId="48C328BE">
      <w:pPr>
        <w:pStyle w:val="15"/>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七、一般公共预算财政拨款支出决算明细表</w:t>
      </w:r>
    </w:p>
    <w:p w14:paraId="08FC5A7A">
      <w:pPr>
        <w:pStyle w:val="15"/>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八、一般公共预算财政拨款基本支出决算明细表</w:t>
      </w:r>
    </w:p>
    <w:p w14:paraId="14C10E83">
      <w:pPr>
        <w:pStyle w:val="15"/>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九、一般公共预算财政拨款项目支出决算表</w:t>
      </w:r>
    </w:p>
    <w:p w14:paraId="60575FFD">
      <w:pPr>
        <w:pStyle w:val="15"/>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十、政府性基金预算财政拨款收入支出决算表</w:t>
      </w:r>
    </w:p>
    <w:p w14:paraId="50559EB8">
      <w:pPr>
        <w:pStyle w:val="15"/>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十一、国有资本经营预算财政拨款收入支出决算表</w:t>
      </w:r>
    </w:p>
    <w:p w14:paraId="0F031D0F">
      <w:pPr>
        <w:pStyle w:val="15"/>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十二、国有资本经营预算财政拨款支出决算表</w:t>
      </w:r>
    </w:p>
    <w:p w14:paraId="679F79BB">
      <w:pPr>
        <w:pStyle w:val="15"/>
        <w:adjustRightInd w:val="0"/>
        <w:snapToGrid w:val="0"/>
        <w:spacing w:line="44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十三、财政拨款“三公”经费支出决算表</w:t>
      </w:r>
    </w:p>
    <w:p w14:paraId="20B1C521">
      <w:pPr>
        <w:pStyle w:val="5"/>
        <w:jc w:val="center"/>
        <w:rPr>
          <w:rFonts w:hint="eastAsia" w:ascii="仿宋_GB2312" w:hAnsi="仿宋_GB2312" w:eastAsia="仿宋_GB2312" w:cs="仿宋_GB2312"/>
          <w:b w:val="0"/>
          <w:sz w:val="32"/>
          <w:szCs w:val="32"/>
        </w:rPr>
        <w:sectPr>
          <w:footerReference r:id="rId5" w:type="default"/>
          <w:pgSz w:w="11906" w:h="16838"/>
          <w:pgMar w:top="1440" w:right="1800" w:bottom="1440" w:left="1800" w:header="851" w:footer="992" w:gutter="0"/>
          <w:pgNumType w:fmt="numberInDash" w:start="1"/>
          <w:cols w:space="425" w:num="1"/>
          <w:docGrid w:type="lines" w:linePitch="312" w:charSpace="0"/>
        </w:sectPr>
      </w:pPr>
      <w:bookmarkStart w:id="12" w:name="_Toc15377196"/>
      <w:bookmarkStart w:id="13" w:name="_Toc15396599"/>
    </w:p>
    <w:p w14:paraId="4C1AE50F">
      <w:pPr>
        <w:pStyle w:val="5"/>
        <w:jc w:val="center"/>
        <w:rPr>
          <w:rStyle w:val="30"/>
          <w:rFonts w:hint="eastAsia" w:ascii="方正小标宋简体" w:hAnsi="方正小标宋简体" w:eastAsia="方正小标宋简体" w:cs="方正小标宋简体"/>
          <w:b/>
          <w:bCs w:val="0"/>
        </w:rPr>
      </w:pPr>
      <w:r>
        <w:rPr>
          <w:rFonts w:hint="eastAsia" w:ascii="方正小标宋简体" w:hAnsi="方正小标宋简体" w:eastAsia="方正小标宋简体" w:cs="方正小标宋简体"/>
          <w:b w:val="0"/>
        </w:rPr>
        <w:t>第一部分 单位</w:t>
      </w:r>
      <w:r>
        <w:rPr>
          <w:rStyle w:val="30"/>
          <w:rFonts w:hint="eastAsia" w:ascii="方正小标宋简体" w:hAnsi="方正小标宋简体" w:eastAsia="方正小标宋简体" w:cs="方正小标宋简体"/>
          <w:b w:val="0"/>
          <w:bCs w:val="0"/>
        </w:rPr>
        <w:t>概况</w:t>
      </w:r>
      <w:bookmarkEnd w:id="12"/>
      <w:bookmarkEnd w:id="13"/>
    </w:p>
    <w:p w14:paraId="53E13ADB">
      <w:pPr>
        <w:widowControl/>
        <w:jc w:val="left"/>
        <w:rPr>
          <w:rFonts w:ascii="黑体" w:eastAsia="黑体"/>
          <w:sz w:val="32"/>
          <w:szCs w:val="32"/>
        </w:rPr>
      </w:pPr>
    </w:p>
    <w:p w14:paraId="1E86D78C">
      <w:pPr>
        <w:pStyle w:val="6"/>
        <w:pageBreakBefore w:val="0"/>
        <w:widowControl w:val="0"/>
        <w:numPr>
          <w:ilvl w:val="0"/>
          <w:numId w:val="0"/>
        </w:numPr>
        <w:kinsoku/>
        <w:wordWrap/>
        <w:overflowPunct/>
        <w:topLinePunct w:val="0"/>
        <w:autoSpaceDE/>
        <w:autoSpaceDN/>
        <w:bidi w:val="0"/>
        <w:spacing w:before="0" w:after="0" w:line="600" w:lineRule="exact"/>
        <w:ind w:leftChars="0" w:firstLine="640" w:firstLineChars="200"/>
        <w:textAlignment w:val="auto"/>
        <w:rPr>
          <w:rFonts w:hint="eastAsia" w:ascii="黑体" w:hAnsi="黑体" w:eastAsia="黑体" w:cs="黑体"/>
          <w:b w:val="0"/>
          <w:color w:val="auto"/>
          <w:sz w:val="32"/>
          <w:szCs w:val="32"/>
          <w:highlight w:val="none"/>
          <w:lang w:eastAsia="zh-CN"/>
        </w:rPr>
      </w:pPr>
      <w:r>
        <w:rPr>
          <w:rFonts w:hint="eastAsia" w:ascii="黑体" w:hAnsi="黑体" w:eastAsia="黑体" w:cs="黑体"/>
          <w:b w:val="0"/>
          <w:bCs/>
          <w:color w:val="auto"/>
          <w:kern w:val="2"/>
          <w:sz w:val="32"/>
          <w:szCs w:val="32"/>
          <w:lang w:val="en-US" w:eastAsia="zh-CN" w:bidi="ar-SA"/>
        </w:rPr>
        <w:t>一、</w:t>
      </w:r>
      <w:r>
        <w:rPr>
          <w:rFonts w:hint="eastAsia" w:ascii="黑体" w:hAnsi="黑体" w:eastAsia="黑体" w:cs="黑体"/>
          <w:b w:val="0"/>
          <w:color w:val="auto"/>
          <w:sz w:val="32"/>
          <w:szCs w:val="32"/>
          <w:highlight w:val="none"/>
          <w:lang w:eastAsia="zh-CN"/>
        </w:rPr>
        <w:t>主要职责</w:t>
      </w:r>
    </w:p>
    <w:p w14:paraId="395B5520">
      <w:pPr>
        <w:pStyle w:val="6"/>
        <w:pageBreakBefore w:val="0"/>
        <w:widowControl w:val="0"/>
        <w:numPr>
          <w:ilvl w:val="0"/>
          <w:numId w:val="0"/>
        </w:numPr>
        <w:kinsoku/>
        <w:wordWrap/>
        <w:overflowPunct/>
        <w:topLinePunct w:val="0"/>
        <w:autoSpaceDE/>
        <w:autoSpaceDN/>
        <w:bidi w:val="0"/>
        <w:spacing w:before="0" w:after="0" w:line="600" w:lineRule="exact"/>
        <w:ind w:leftChars="0"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b w:val="0"/>
          <w:bCs w:val="0"/>
          <w:color w:val="000000"/>
          <w:sz w:val="32"/>
          <w:szCs w:val="32"/>
        </w:rPr>
        <w:t>根据自治县人民政府批准的三定方案，我单位的主要职责是：县司法局承担着</w:t>
      </w:r>
      <w:r>
        <w:rPr>
          <w:rFonts w:hint="eastAsia" w:ascii="仿宋_GB2312" w:hAnsi="仿宋_GB2312" w:eastAsia="仿宋_GB2312" w:cs="仿宋_GB2312"/>
          <w:b w:val="0"/>
          <w:bCs w:val="0"/>
          <w:color w:val="000000"/>
          <w:sz w:val="32"/>
          <w:szCs w:val="32"/>
          <w:lang w:eastAsia="zh-CN"/>
        </w:rPr>
        <w:t>依法治县重大问题的政策研究，协调部署督查督办工作，承办县人大及其常委会委托的立法工作，负责县政府规范性文件、重大行政决策发布前的合法性审查，承担统筹推进法治政府建设的责任，承担统筹规划法治社会建设的责任，承担</w:t>
      </w:r>
      <w:r>
        <w:rPr>
          <w:rFonts w:hint="eastAsia" w:ascii="仿宋_GB2312" w:hAnsi="仿宋_GB2312" w:eastAsia="仿宋_GB2312" w:cs="仿宋_GB2312"/>
          <w:b w:val="0"/>
          <w:bCs w:val="0"/>
          <w:color w:val="000000"/>
          <w:sz w:val="32"/>
          <w:szCs w:val="32"/>
        </w:rPr>
        <w:t>人民调解、法治宣传、社区矫正、安置帮教、法律援助、律师公证管理、德古调解、基层司法所等职能，其中法律援助工作纳入市下达的目标任务。</w:t>
      </w:r>
    </w:p>
    <w:p w14:paraId="7696F3E0">
      <w:pPr>
        <w:pStyle w:val="6"/>
        <w:pageBreakBefore w:val="0"/>
        <w:widowControl w:val="0"/>
        <w:numPr>
          <w:ilvl w:val="0"/>
          <w:numId w:val="0"/>
        </w:numPr>
        <w:kinsoku/>
        <w:wordWrap/>
        <w:overflowPunct/>
        <w:topLinePunct w:val="0"/>
        <w:autoSpaceDE/>
        <w:autoSpaceDN/>
        <w:bidi w:val="0"/>
        <w:spacing w:before="0" w:after="0" w:line="600" w:lineRule="exact"/>
        <w:ind w:leftChars="0" w:firstLine="640" w:firstLineChars="200"/>
        <w:textAlignment w:val="auto"/>
        <w:rPr>
          <w:rFonts w:hint="eastAsia" w:ascii="黑体" w:hAnsi="黑体" w:eastAsia="黑体" w:cs="黑体"/>
          <w:b w:val="0"/>
          <w:bCs/>
          <w:color w:val="auto"/>
          <w:kern w:val="2"/>
          <w:sz w:val="32"/>
          <w:szCs w:val="32"/>
          <w:lang w:val="en-US" w:eastAsia="zh-CN" w:bidi="ar-SA"/>
        </w:rPr>
      </w:pPr>
      <w:bookmarkStart w:id="14" w:name="_Toc15396601"/>
      <w:bookmarkStart w:id="15" w:name="_Toc15377200"/>
      <w:r>
        <w:rPr>
          <w:rFonts w:hint="eastAsia" w:ascii="黑体" w:hAnsi="黑体" w:eastAsia="黑体" w:cs="黑体"/>
          <w:b w:val="0"/>
          <w:bCs/>
          <w:color w:val="auto"/>
          <w:kern w:val="2"/>
          <w:sz w:val="32"/>
          <w:szCs w:val="32"/>
          <w:lang w:val="en-US" w:eastAsia="zh-CN" w:bidi="ar-SA"/>
        </w:rPr>
        <w:t>二、机构设置</w:t>
      </w:r>
      <w:bookmarkEnd w:id="14"/>
      <w:bookmarkEnd w:id="15"/>
    </w:p>
    <w:p w14:paraId="6CD8C67C">
      <w:pPr>
        <w:pageBreakBefore w:val="0"/>
        <w:widowControl w:val="0"/>
        <w:kinsoku/>
        <w:wordWrap/>
        <w:overflowPunct/>
        <w:topLinePunct w:val="0"/>
        <w:autoSpaceDE/>
        <w:autoSpaceDN/>
        <w:bidi w:val="0"/>
        <w:spacing w:line="600" w:lineRule="exact"/>
        <w:ind w:leftChars="0"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司法局下属二级单位2个，参照公务员法管理的事业单位1个，其他事业单位1个。</w:t>
      </w:r>
      <w:bookmarkStart w:id="16" w:name="_Toc15377204"/>
      <w:bookmarkStart w:id="17" w:name="_Toc15396602"/>
      <w:bookmarkStart w:id="18" w:name="_Toc15377226"/>
    </w:p>
    <w:p w14:paraId="2FEA2922">
      <w:pPr>
        <w:pStyle w:val="2"/>
        <w:rPr>
          <w:rFonts w:hint="eastAsia" w:ascii="仿宋_GB2312" w:hAnsi="仿宋_GB2312" w:eastAsia="仿宋_GB2312" w:cs="仿宋_GB2312"/>
          <w:b w:val="0"/>
          <w:bCs w:val="0"/>
          <w:color w:val="000000"/>
          <w:kern w:val="2"/>
          <w:sz w:val="32"/>
          <w:szCs w:val="32"/>
          <w:lang w:val="en-US" w:eastAsia="zh-CN" w:bidi="ar-SA"/>
        </w:rPr>
      </w:pPr>
    </w:p>
    <w:p w14:paraId="1F0C35BE">
      <w:pPr>
        <w:pStyle w:val="2"/>
        <w:rPr>
          <w:rFonts w:hint="eastAsia" w:ascii="仿宋_GB2312" w:hAnsi="仿宋_GB2312" w:eastAsia="仿宋_GB2312" w:cs="仿宋_GB2312"/>
          <w:b w:val="0"/>
          <w:bCs w:val="0"/>
          <w:color w:val="000000"/>
          <w:kern w:val="2"/>
          <w:sz w:val="32"/>
          <w:szCs w:val="32"/>
          <w:lang w:val="en-US" w:eastAsia="zh-CN" w:bidi="ar-SA"/>
        </w:rPr>
      </w:pPr>
    </w:p>
    <w:p w14:paraId="0DAC32CC">
      <w:pPr>
        <w:pStyle w:val="3"/>
        <w:rPr>
          <w:rFonts w:hint="eastAsia"/>
          <w:lang w:val="en-US" w:eastAsia="zh-CN"/>
        </w:rPr>
      </w:pPr>
    </w:p>
    <w:p w14:paraId="505C35B0">
      <w:pPr>
        <w:pStyle w:val="5"/>
        <w:keepNext/>
        <w:keepLines/>
        <w:pageBreakBefore w:val="0"/>
        <w:widowControl w:val="0"/>
        <w:kinsoku/>
        <w:wordWrap/>
        <w:overflowPunct/>
        <w:topLinePunct w:val="0"/>
        <w:autoSpaceDE/>
        <w:autoSpaceDN/>
        <w:bidi w:val="0"/>
        <w:adjustRightInd/>
        <w:snapToGrid/>
        <w:spacing w:before="0" w:after="0" w:line="240" w:lineRule="auto"/>
        <w:jc w:val="center"/>
        <w:textAlignment w:val="auto"/>
        <w:rPr>
          <w:rFonts w:hint="eastAsia" w:ascii="方正小标宋简体" w:hAnsi="方正小标宋简体" w:eastAsia="方正小标宋简体" w:cs="方正小标宋简体"/>
          <w:b w:val="0"/>
          <w:color w:val="auto"/>
          <w:highlight w:val="none"/>
        </w:rPr>
      </w:pPr>
      <w:r>
        <w:rPr>
          <w:rFonts w:hint="eastAsia" w:ascii="方正小标宋简体" w:hAnsi="方正小标宋简体" w:eastAsia="方正小标宋简体" w:cs="方正小标宋简体"/>
          <w:b w:val="0"/>
          <w:color w:val="auto"/>
          <w:highlight w:val="none"/>
          <w:lang w:val="en-US" w:eastAsia="zh-CN"/>
        </w:rPr>
        <w:t>第二部分 2023年度</w:t>
      </w:r>
      <w:r>
        <w:rPr>
          <w:rFonts w:hint="eastAsia" w:ascii="方正小标宋简体" w:hAnsi="方正小标宋简体" w:eastAsia="方正小标宋简体" w:cs="方正小标宋简体"/>
          <w:b w:val="0"/>
          <w:color w:val="auto"/>
          <w:highlight w:val="none"/>
          <w:lang w:eastAsia="zh-CN"/>
        </w:rPr>
        <w:t>单位</w:t>
      </w:r>
      <w:r>
        <w:rPr>
          <w:rFonts w:hint="eastAsia" w:ascii="方正小标宋简体" w:hAnsi="方正小标宋简体" w:eastAsia="方正小标宋简体" w:cs="方正小标宋简体"/>
          <w:b w:val="0"/>
          <w:color w:val="auto"/>
          <w:highlight w:val="none"/>
        </w:rPr>
        <w:t>决算情况说明</w:t>
      </w:r>
      <w:bookmarkEnd w:id="16"/>
      <w:bookmarkEnd w:id="17"/>
    </w:p>
    <w:p w14:paraId="53969B7E">
      <w:pPr>
        <w:pStyle w:val="6"/>
        <w:pageBreakBefore w:val="0"/>
        <w:widowControl w:val="0"/>
        <w:numPr>
          <w:ilvl w:val="0"/>
          <w:numId w:val="0"/>
        </w:numPr>
        <w:kinsoku/>
        <w:wordWrap/>
        <w:overflowPunct/>
        <w:topLinePunct w:val="0"/>
        <w:autoSpaceDE/>
        <w:autoSpaceDN/>
        <w:bidi w:val="0"/>
        <w:spacing w:before="0" w:after="0" w:line="600" w:lineRule="exact"/>
        <w:ind w:leftChars="0" w:firstLine="640" w:firstLineChars="200"/>
        <w:textAlignment w:val="auto"/>
        <w:rPr>
          <w:rFonts w:hint="default" w:ascii="黑体" w:hAnsi="黑体" w:eastAsia="黑体" w:cs="黑体"/>
          <w:b w:val="0"/>
          <w:bCs/>
          <w:color w:val="auto"/>
          <w:kern w:val="2"/>
          <w:sz w:val="32"/>
          <w:szCs w:val="32"/>
          <w:lang w:val="en-US" w:eastAsia="zh-CN" w:bidi="ar-SA"/>
        </w:rPr>
      </w:pPr>
      <w:bookmarkStart w:id="19" w:name="_Toc15377205"/>
      <w:bookmarkStart w:id="20" w:name="_Toc15396603"/>
    </w:p>
    <w:p w14:paraId="6C7A787B">
      <w:pPr>
        <w:pStyle w:val="6"/>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b w:val="0"/>
          <w:bCs/>
          <w:color w:val="auto"/>
          <w:kern w:val="2"/>
          <w:sz w:val="32"/>
          <w:szCs w:val="32"/>
          <w:lang w:val="en-US" w:eastAsia="zh-CN" w:bidi="ar-SA"/>
        </w:rPr>
      </w:pPr>
      <w:r>
        <w:rPr>
          <w:rFonts w:hint="default" w:ascii="黑体" w:hAnsi="黑体" w:eastAsia="黑体" w:cs="黑体"/>
          <w:b w:val="0"/>
          <w:bCs/>
          <w:color w:val="auto"/>
          <w:kern w:val="2"/>
          <w:sz w:val="32"/>
          <w:szCs w:val="32"/>
          <w:lang w:val="en-US" w:eastAsia="zh-CN" w:bidi="ar-SA"/>
        </w:rPr>
        <w:t>一、</w:t>
      </w:r>
      <w:r>
        <w:rPr>
          <w:rFonts w:hint="eastAsia" w:ascii="黑体" w:hAnsi="黑体" w:eastAsia="黑体" w:cs="黑体"/>
          <w:b w:val="0"/>
          <w:bCs/>
          <w:color w:val="auto"/>
          <w:kern w:val="2"/>
          <w:sz w:val="32"/>
          <w:szCs w:val="32"/>
          <w:lang w:val="en-US" w:eastAsia="zh-CN" w:bidi="ar-SA"/>
        </w:rPr>
        <w:t>收入支出决算总体情况说</w:t>
      </w:r>
      <w:bookmarkEnd w:id="19"/>
      <w:bookmarkEnd w:id="20"/>
      <w:r>
        <w:rPr>
          <w:rFonts w:hint="eastAsia" w:ascii="黑体" w:hAnsi="黑体" w:eastAsia="黑体" w:cs="黑体"/>
          <w:b w:val="0"/>
          <w:bCs/>
          <w:color w:val="auto"/>
          <w:kern w:val="2"/>
          <w:sz w:val="32"/>
          <w:szCs w:val="32"/>
          <w:lang w:val="en-US" w:eastAsia="zh-CN" w:bidi="ar-SA"/>
        </w:rPr>
        <w:t>明</w:t>
      </w:r>
    </w:p>
    <w:p w14:paraId="7EB4846B">
      <w:pPr>
        <w:pStyle w:val="29"/>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2023</w:t>
      </w:r>
      <w:bookmarkStart w:id="21" w:name="OLE_LINK2"/>
      <w:r>
        <w:rPr>
          <w:rFonts w:hint="eastAsia" w:ascii="仿宋_GB2312" w:hAnsi="仿宋_GB2312" w:eastAsia="仿宋_GB2312" w:cs="仿宋_GB2312"/>
          <w:b w:val="0"/>
          <w:bCs w:val="0"/>
          <w:color w:val="000000"/>
          <w:kern w:val="2"/>
          <w:sz w:val="32"/>
          <w:szCs w:val="32"/>
          <w:lang w:val="en-US" w:eastAsia="zh-CN" w:bidi="ar-SA"/>
        </w:rPr>
        <w:t>年度收、支总计均为1171.99万元。与2022年度相比，收、支总计各增加205.56万元，增长21.27%。主要变动原因是政府性基金增加。</w:t>
      </w:r>
    </w:p>
    <w:p w14:paraId="12819210">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（图1：收、支决算总计变动情况图）（柱状图）</w:t>
      </w:r>
    </w:p>
    <w:bookmarkEnd w:id="21"/>
    <w:p w14:paraId="10685F54">
      <w:pPr>
        <w:pageBreakBefore w:val="0"/>
        <w:kinsoku/>
        <w:wordWrap/>
        <w:overflowPunct/>
        <w:topLinePunct w:val="0"/>
        <w:bidi w:val="0"/>
        <w:spacing w:line="360" w:lineRule="auto"/>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drawing>
          <wp:inline distT="0" distB="0" distL="114300" distR="114300">
            <wp:extent cx="5260340" cy="2743200"/>
            <wp:effectExtent l="4445" t="4445" r="1206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D0621FE">
      <w:pPr>
        <w:pStyle w:val="6"/>
        <w:pageBreakBefore w:val="0"/>
        <w:widowControl w:val="0"/>
        <w:numPr>
          <w:ilvl w:val="0"/>
          <w:numId w:val="0"/>
        </w:numPr>
        <w:kinsoku/>
        <w:wordWrap/>
        <w:overflowPunct/>
        <w:topLinePunct w:val="0"/>
        <w:autoSpaceDE/>
        <w:autoSpaceDN/>
        <w:bidi w:val="0"/>
        <w:adjustRightInd/>
        <w:snapToGrid/>
        <w:spacing w:before="0" w:after="0" w:line="600" w:lineRule="atLeast"/>
        <w:ind w:leftChars="0" w:firstLine="640" w:firstLineChars="200"/>
        <w:textAlignment w:val="auto"/>
        <w:rPr>
          <w:rFonts w:hint="eastAsia" w:ascii="黑体" w:hAnsi="黑体" w:eastAsia="黑体" w:cs="黑体"/>
          <w:b w:val="0"/>
          <w:bCs/>
          <w:color w:val="auto"/>
          <w:kern w:val="2"/>
          <w:sz w:val="32"/>
          <w:szCs w:val="32"/>
          <w:lang w:val="en-US" w:eastAsia="zh-CN" w:bidi="ar-SA"/>
        </w:rPr>
      </w:pPr>
      <w:bookmarkStart w:id="22" w:name="_Toc15377206"/>
      <w:bookmarkStart w:id="23" w:name="_Toc15396604"/>
      <w:r>
        <w:rPr>
          <w:rFonts w:hint="default" w:ascii="黑体" w:hAnsi="黑体" w:eastAsia="黑体" w:cs="黑体"/>
          <w:b w:val="0"/>
          <w:bCs/>
          <w:color w:val="auto"/>
          <w:kern w:val="2"/>
          <w:sz w:val="32"/>
          <w:szCs w:val="32"/>
          <w:lang w:val="en-US" w:eastAsia="zh-CN" w:bidi="ar-SA"/>
        </w:rPr>
        <w:t>二、</w:t>
      </w:r>
      <w:r>
        <w:rPr>
          <w:rFonts w:hint="eastAsia" w:ascii="黑体" w:hAnsi="黑体" w:eastAsia="黑体" w:cs="黑体"/>
          <w:b w:val="0"/>
          <w:bCs/>
          <w:color w:val="auto"/>
          <w:kern w:val="2"/>
          <w:sz w:val="32"/>
          <w:szCs w:val="32"/>
          <w:lang w:val="en-US" w:eastAsia="zh-CN" w:bidi="ar-SA"/>
        </w:rPr>
        <w:t>收入决算情况说明</w:t>
      </w:r>
      <w:bookmarkEnd w:id="22"/>
      <w:bookmarkEnd w:id="23"/>
    </w:p>
    <w:p w14:paraId="5260C150">
      <w:pPr>
        <w:pageBreakBefore w:val="0"/>
        <w:widowControl w:val="0"/>
        <w:kinsoku/>
        <w:wordWrap/>
        <w:overflowPunct/>
        <w:topLinePunct w:val="0"/>
        <w:autoSpaceDE/>
        <w:autoSpaceDN/>
        <w:bidi w:val="0"/>
        <w:adjustRightInd/>
        <w:snapToGrid/>
        <w:spacing w:line="600" w:lineRule="atLeast"/>
        <w:ind w:firstLine="640" w:firstLineChars="200"/>
        <w:textAlignment w:val="auto"/>
        <w:outlineLvl w:val="1"/>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2023年度收入合计1171.99万元，其中：一般公共预算财政拨款收入1047.81万元，占89.41%；政府性基金预算财政拨款收入124.18万元，占10.59%；国有资本经营预算财政拨款收入0万元，占0%；上级补助收入0万元，占0%；事业收入0万元，占0%；经营收入0万元，占0%；附属单位上缴收入0万元，占0%；其他收入0万元，占0%。</w:t>
      </w:r>
    </w:p>
    <w:p w14:paraId="1E6E7DAF">
      <w:pPr>
        <w:pageBreakBefore w:val="0"/>
        <w:widowControl w:val="0"/>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（图2：收入决算结构图）（饼状图）</w:t>
      </w:r>
    </w:p>
    <w:p w14:paraId="7F2AE4B2">
      <w:pPr>
        <w:pageBreakBefore w:val="0"/>
        <w:kinsoku/>
        <w:wordWrap/>
        <w:overflowPunct/>
        <w:topLinePunct w:val="0"/>
        <w:bidi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sz w:val="32"/>
          <w:szCs w:val="32"/>
        </w:rPr>
        <w:drawing>
          <wp:inline distT="0" distB="0" distL="114300" distR="114300">
            <wp:extent cx="5187950" cy="2971800"/>
            <wp:effectExtent l="4445" t="4445" r="8255" b="1460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FD66B01">
      <w:pPr>
        <w:pStyle w:val="6"/>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b w:val="0"/>
          <w:bCs/>
          <w:color w:val="auto"/>
          <w:kern w:val="2"/>
          <w:sz w:val="32"/>
          <w:szCs w:val="32"/>
          <w:lang w:val="en-US" w:eastAsia="zh-CN" w:bidi="ar-SA"/>
        </w:rPr>
      </w:pPr>
      <w:bookmarkStart w:id="24" w:name="_Toc15377207"/>
      <w:bookmarkStart w:id="25" w:name="_Toc15396605"/>
      <w:r>
        <w:rPr>
          <w:rFonts w:hint="default" w:ascii="黑体" w:hAnsi="黑体" w:eastAsia="黑体" w:cs="黑体"/>
          <w:b w:val="0"/>
          <w:bCs/>
          <w:color w:val="auto"/>
          <w:kern w:val="2"/>
          <w:sz w:val="32"/>
          <w:szCs w:val="32"/>
          <w:lang w:val="en-US" w:eastAsia="zh-CN" w:bidi="ar-SA"/>
        </w:rPr>
        <w:t>三、</w:t>
      </w:r>
      <w:r>
        <w:rPr>
          <w:rFonts w:hint="eastAsia" w:ascii="黑体" w:hAnsi="黑体" w:eastAsia="黑体" w:cs="黑体"/>
          <w:b w:val="0"/>
          <w:bCs/>
          <w:color w:val="auto"/>
          <w:kern w:val="2"/>
          <w:sz w:val="32"/>
          <w:szCs w:val="32"/>
          <w:lang w:val="en-US" w:eastAsia="zh-CN" w:bidi="ar-SA"/>
        </w:rPr>
        <w:t>支出决算情况说明</w:t>
      </w:r>
      <w:bookmarkEnd w:id="24"/>
      <w:bookmarkEnd w:id="25"/>
    </w:p>
    <w:p w14:paraId="325F5F75">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1"/>
        <w:rPr>
          <w:rFonts w:hint="eastAsia" w:ascii="仿宋" w:hAnsi="仿宋" w:eastAsia="仿宋" w:cs="仿宋"/>
          <w:color w:val="auto"/>
          <w:sz w:val="32"/>
          <w:szCs w:val="32"/>
          <w:highlight w:val="none"/>
          <w:shd w:val="pct10" w:color="auto" w:fill="FFFFFF"/>
        </w:rPr>
      </w:pPr>
      <w:r>
        <w:rPr>
          <w:rFonts w:hint="eastAsia" w:ascii="仿宋_GB2312" w:hAnsi="仿宋_GB2312" w:eastAsia="仿宋_GB2312" w:cs="仿宋_GB2312"/>
          <w:b w:val="0"/>
          <w:bCs w:val="0"/>
          <w:color w:val="000000"/>
          <w:kern w:val="2"/>
          <w:sz w:val="32"/>
          <w:szCs w:val="32"/>
          <w:lang w:val="en-US" w:eastAsia="zh-CN" w:bidi="ar-SA"/>
        </w:rPr>
        <w:t>2023年度支出合计1171.99万元，其中：基本支出965.66万元，占82.39%；项目支出2,06.34万元，占17.61%；上缴上级支出0万元，占0%；经营支出0万元，占0%；对附属单位补助支出0万元，占0%。</w:t>
      </w:r>
    </w:p>
    <w:p w14:paraId="5BAD5B7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（图3：支出决算结构图）（饼状图）</w:t>
      </w:r>
    </w:p>
    <w:p w14:paraId="7C0154D1">
      <w:pPr>
        <w:pageBreakBefore w:val="0"/>
        <w:kinsoku/>
        <w:wordWrap/>
        <w:overflowPunct/>
        <w:topLinePunct w:val="0"/>
        <w:bidi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sz w:val="32"/>
          <w:szCs w:val="32"/>
        </w:rPr>
        <w:drawing>
          <wp:inline distT="0" distB="0" distL="114300" distR="114300">
            <wp:extent cx="5204460" cy="2743200"/>
            <wp:effectExtent l="4445" t="4445" r="10795" b="1460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A1FA5B">
      <w:pPr>
        <w:pStyle w:val="6"/>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b w:val="0"/>
          <w:bCs/>
          <w:color w:val="auto"/>
          <w:kern w:val="2"/>
          <w:sz w:val="32"/>
          <w:szCs w:val="32"/>
          <w:lang w:val="en-US" w:eastAsia="zh-CN" w:bidi="ar-SA"/>
        </w:rPr>
      </w:pPr>
      <w:bookmarkStart w:id="26" w:name="_Toc15377208"/>
      <w:bookmarkStart w:id="27" w:name="_Toc15396606"/>
      <w:r>
        <w:rPr>
          <w:rFonts w:hint="eastAsia" w:ascii="黑体" w:hAnsi="黑体" w:eastAsia="黑体" w:cs="黑体"/>
          <w:b w:val="0"/>
          <w:bCs/>
          <w:color w:val="auto"/>
          <w:kern w:val="2"/>
          <w:sz w:val="32"/>
          <w:szCs w:val="32"/>
          <w:lang w:val="en-US" w:eastAsia="zh-CN" w:bidi="ar-SA"/>
        </w:rPr>
        <w:t>四、财政拨款收入支出决算总体情况说明</w:t>
      </w:r>
      <w:bookmarkEnd w:id="26"/>
      <w:bookmarkEnd w:id="27"/>
    </w:p>
    <w:p w14:paraId="4490B19E">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2023年度财政拨款收、支总计均为1171.99万元。与2022年度相比，财政拨款收、支总计各增加205.56万元，增长21.27%。主要变动原因是政府性基金增加。</w:t>
      </w:r>
    </w:p>
    <w:p w14:paraId="66D5BD18">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（图4：财政拨款收、支决算总计变动情况）（柱状图）</w:t>
      </w:r>
    </w:p>
    <w:p w14:paraId="6BCDCAE4">
      <w:pPr>
        <w:pageBreakBefore w:val="0"/>
        <w:kinsoku/>
        <w:wordWrap/>
        <w:overflowPunct/>
        <w:topLinePunct w:val="0"/>
        <w:bidi w:val="0"/>
        <w:spacing w:line="360" w:lineRule="auto"/>
        <w:ind w:firstLine="640" w:firstLineChars="200"/>
        <w:rPr>
          <w:rFonts w:hint="eastAsia" w:ascii="仿宋" w:hAnsi="仿宋" w:eastAsia="仿宋" w:cs="仿宋"/>
          <w:b/>
          <w:color w:val="auto"/>
          <w:sz w:val="32"/>
          <w:szCs w:val="32"/>
          <w:highlight w:val="yellow"/>
          <w:lang w:val="en-US" w:eastAsia="zh-CN"/>
        </w:rPr>
      </w:pPr>
      <w:r>
        <w:rPr>
          <w:rFonts w:hint="eastAsia" w:ascii="仿宋" w:hAnsi="仿宋" w:eastAsia="仿宋" w:cs="仿宋"/>
          <w:sz w:val="32"/>
          <w:szCs w:val="32"/>
        </w:rPr>
        <w:drawing>
          <wp:inline distT="0" distB="0" distL="114300" distR="114300">
            <wp:extent cx="4789170" cy="2514600"/>
            <wp:effectExtent l="4445" t="4445" r="6985" b="146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3C8D5E">
      <w:pPr>
        <w:pStyle w:val="6"/>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textAlignment w:val="auto"/>
        <w:rPr>
          <w:rFonts w:hint="eastAsia" w:ascii="黑体" w:hAnsi="黑体" w:eastAsia="黑体" w:cs="黑体"/>
          <w:b w:val="0"/>
          <w:bCs/>
          <w:color w:val="auto"/>
          <w:kern w:val="2"/>
          <w:sz w:val="32"/>
          <w:szCs w:val="32"/>
          <w:lang w:val="en-US" w:eastAsia="zh-CN" w:bidi="ar-SA"/>
        </w:rPr>
      </w:pPr>
      <w:bookmarkStart w:id="28" w:name="_Toc15377209"/>
      <w:bookmarkStart w:id="29" w:name="_Toc15396607"/>
      <w:r>
        <w:rPr>
          <w:rFonts w:hint="eastAsia" w:ascii="黑体" w:hAnsi="黑体" w:eastAsia="黑体" w:cs="黑体"/>
          <w:b w:val="0"/>
          <w:bCs/>
          <w:color w:val="auto"/>
          <w:kern w:val="2"/>
          <w:sz w:val="32"/>
          <w:szCs w:val="32"/>
          <w:lang w:val="en-US" w:eastAsia="zh-CN" w:bidi="ar-SA"/>
        </w:rPr>
        <w:t>五、一般公共预算财政拨款支出决算情况说明</w:t>
      </w:r>
      <w:bookmarkEnd w:id="28"/>
      <w:bookmarkEnd w:id="29"/>
    </w:p>
    <w:p w14:paraId="6820447C">
      <w:pPr>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30" w:name="_Toc15377210"/>
      <w:r>
        <w:rPr>
          <w:rFonts w:hint="eastAsia" w:ascii="楷体_GB2312" w:hAnsi="楷体_GB2312" w:eastAsia="楷体_GB2312" w:cs="楷体_GB2312"/>
          <w:b w:val="0"/>
          <w:bCs/>
          <w:color w:val="auto"/>
          <w:sz w:val="32"/>
          <w:szCs w:val="32"/>
          <w:highlight w:val="none"/>
        </w:rPr>
        <w:t>（一）一般公共预算财政拨款支出决算总体情况</w:t>
      </w:r>
      <w:bookmarkEnd w:id="30"/>
    </w:p>
    <w:p w14:paraId="4A95B95E">
      <w:pPr>
        <w:pageBreakBefore w:val="0"/>
        <w:widowControl w:val="0"/>
        <w:kinsoku/>
        <w:wordWrap/>
        <w:overflowPunct/>
        <w:topLinePunct w:val="0"/>
        <w:autoSpaceDE/>
        <w:autoSpaceDN/>
        <w:bidi w:val="0"/>
        <w:adjustRightInd/>
        <w:snapToGrid/>
        <w:spacing w:line="600" w:lineRule="exact"/>
        <w:ind w:left="319" w:leftChars="152"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2023年度一般公共预算财政拨款支出1047.81万元，占本年支出合计的89.4%。与2022年度相比，一般公共预算财政拨款支出增加55.3万元，增长5.58%。主要变动原因是人员经费增加。</w:t>
      </w:r>
    </w:p>
    <w:p w14:paraId="4E4C37A1">
      <w:pPr>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（图5：一般公共预算财政拨款支出决算变动情况）（柱状图）</w:t>
      </w:r>
    </w:p>
    <w:p w14:paraId="69636D08">
      <w:pPr>
        <w:pageBreakBefore w:val="0"/>
        <w:kinsoku/>
        <w:wordWrap/>
        <w:overflowPunct/>
        <w:topLinePunct w:val="0"/>
        <w:bidi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sz w:val="32"/>
          <w:szCs w:val="32"/>
        </w:rPr>
        <w:drawing>
          <wp:inline distT="0" distB="0" distL="114300" distR="114300">
            <wp:extent cx="4773295" cy="2228850"/>
            <wp:effectExtent l="5080" t="4445" r="22225" b="1460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C4DB2E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31" w:name="_Toc15377211"/>
      <w:r>
        <w:rPr>
          <w:rFonts w:hint="eastAsia" w:ascii="楷体_GB2312" w:hAnsi="楷体_GB2312" w:eastAsia="楷体_GB2312" w:cs="楷体_GB2312"/>
          <w:b w:val="0"/>
          <w:bCs/>
          <w:color w:val="auto"/>
          <w:sz w:val="32"/>
          <w:szCs w:val="32"/>
          <w:highlight w:val="none"/>
        </w:rPr>
        <w:t>（二）一般公共预算财政拨款支出决算结构情况</w:t>
      </w:r>
      <w:bookmarkEnd w:id="31"/>
    </w:p>
    <w:p w14:paraId="2EE813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2023年度一般公共预算财政拨款支出1047.81万元，主要用于以下方面：</w:t>
      </w:r>
      <w:r>
        <w:rPr>
          <w:rFonts w:hint="eastAsia" w:ascii="仿宋" w:hAnsi="仿宋" w:eastAsia="仿宋" w:cs="仿宋"/>
          <w:b w:val="0"/>
          <w:bCs/>
          <w:color w:val="auto"/>
          <w:sz w:val="32"/>
          <w:szCs w:val="32"/>
          <w:highlight w:val="none"/>
        </w:rPr>
        <w:t>一般公共服务支出</w:t>
      </w:r>
      <w:r>
        <w:rPr>
          <w:rFonts w:hint="eastAsia" w:ascii="仿宋_GB2312" w:hAnsi="仿宋_GB2312" w:eastAsia="仿宋_GB2312" w:cs="仿宋_GB2312"/>
          <w:b w:val="0"/>
          <w:bCs/>
          <w:color w:val="000000"/>
          <w:kern w:val="2"/>
          <w:sz w:val="32"/>
          <w:szCs w:val="32"/>
          <w:lang w:val="en-US" w:eastAsia="zh-CN" w:bidi="ar-SA"/>
        </w:rPr>
        <w:t>825.22万元，占78.76%；</w:t>
      </w:r>
      <w:r>
        <w:rPr>
          <w:rFonts w:hint="eastAsia" w:ascii="仿宋" w:hAnsi="仿宋" w:eastAsia="仿宋" w:cs="仿宋"/>
          <w:b w:val="0"/>
          <w:bCs/>
          <w:color w:val="auto"/>
          <w:sz w:val="32"/>
          <w:szCs w:val="32"/>
          <w:highlight w:val="none"/>
        </w:rPr>
        <w:t>社会保障和就业支出</w:t>
      </w:r>
      <w:r>
        <w:rPr>
          <w:rFonts w:hint="eastAsia" w:ascii="仿宋_GB2312" w:hAnsi="仿宋_GB2312" w:eastAsia="仿宋_GB2312" w:cs="仿宋_GB2312"/>
          <w:b w:val="0"/>
          <w:bCs/>
          <w:color w:val="000000"/>
          <w:kern w:val="2"/>
          <w:sz w:val="32"/>
          <w:szCs w:val="32"/>
          <w:lang w:val="en-US" w:eastAsia="zh-CN" w:bidi="ar-SA"/>
        </w:rPr>
        <w:t>143.04万元，占13.65%；</w:t>
      </w:r>
      <w:r>
        <w:rPr>
          <w:rFonts w:hint="eastAsia" w:ascii="仿宋" w:hAnsi="仿宋" w:eastAsia="仿宋" w:cs="仿宋"/>
          <w:b w:val="0"/>
          <w:bCs/>
          <w:color w:val="auto"/>
          <w:sz w:val="32"/>
          <w:szCs w:val="32"/>
          <w:highlight w:val="none"/>
        </w:rPr>
        <w:t>卫生健康支出</w:t>
      </w:r>
      <w:r>
        <w:rPr>
          <w:rFonts w:hint="eastAsia" w:ascii="仿宋_GB2312" w:hAnsi="仿宋_GB2312" w:eastAsia="仿宋_GB2312" w:cs="仿宋_GB2312"/>
          <w:b w:val="0"/>
          <w:bCs/>
          <w:color w:val="000000"/>
          <w:kern w:val="2"/>
          <w:sz w:val="32"/>
          <w:szCs w:val="32"/>
          <w:lang w:val="en-US" w:eastAsia="zh-CN" w:bidi="ar-SA"/>
        </w:rPr>
        <w:t>20.6万元，占1.96%；</w:t>
      </w:r>
      <w:r>
        <w:rPr>
          <w:rFonts w:hint="eastAsia" w:ascii="仿宋" w:hAnsi="仿宋" w:eastAsia="仿宋" w:cs="仿宋"/>
          <w:b w:val="0"/>
          <w:bCs/>
          <w:color w:val="auto"/>
          <w:sz w:val="32"/>
          <w:szCs w:val="32"/>
          <w:highlight w:val="none"/>
        </w:rPr>
        <w:t>住房保障支出</w:t>
      </w:r>
      <w:r>
        <w:rPr>
          <w:rFonts w:hint="eastAsia" w:ascii="仿宋_GB2312" w:hAnsi="仿宋_GB2312" w:eastAsia="仿宋_GB2312" w:cs="仿宋_GB2312"/>
          <w:b w:val="0"/>
          <w:bCs/>
          <w:color w:val="000000"/>
          <w:kern w:val="2"/>
          <w:sz w:val="32"/>
          <w:szCs w:val="32"/>
          <w:lang w:val="en-US" w:eastAsia="zh-CN" w:bidi="ar-SA"/>
        </w:rPr>
        <w:t>58.95万元，占5.63%。</w:t>
      </w:r>
    </w:p>
    <w:p w14:paraId="4DBA8A6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_GB2312" w:hAnsi="仿宋_GB2312" w:eastAsia="仿宋_GB2312" w:cs="仿宋_GB2312"/>
          <w:b w:val="0"/>
          <w:bCs w:val="0"/>
          <w:color w:val="000000"/>
          <w:kern w:val="2"/>
          <w:sz w:val="32"/>
          <w:szCs w:val="32"/>
          <w:lang w:val="en-US" w:eastAsia="zh-CN" w:bidi="ar-SA"/>
        </w:rPr>
        <w:t>（图6：一般公共预算财政拨款支出决算结构）（饼状图）</w:t>
      </w:r>
    </w:p>
    <w:p w14:paraId="496B04E9">
      <w:pPr>
        <w:pageBreakBefore w:val="0"/>
        <w:kinsoku/>
        <w:wordWrap/>
        <w:overflowPunct/>
        <w:topLinePunct w:val="0"/>
        <w:bidi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sz w:val="32"/>
          <w:szCs w:val="32"/>
        </w:rPr>
        <w:drawing>
          <wp:inline distT="0" distB="0" distL="114300" distR="114300">
            <wp:extent cx="4810760" cy="3316605"/>
            <wp:effectExtent l="4445" t="4445" r="23495" b="1270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556BB40">
      <w:pPr>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楷体_GB2312" w:hAnsi="楷体_GB2312" w:eastAsia="楷体_GB2312" w:cs="楷体_GB2312"/>
          <w:b w:val="0"/>
          <w:bCs/>
          <w:color w:val="auto"/>
          <w:sz w:val="32"/>
          <w:szCs w:val="32"/>
          <w:highlight w:val="none"/>
        </w:rPr>
      </w:pPr>
      <w:bookmarkStart w:id="32" w:name="_Toc15377212"/>
      <w:r>
        <w:rPr>
          <w:rFonts w:hint="eastAsia" w:ascii="楷体_GB2312" w:hAnsi="楷体_GB2312" w:eastAsia="楷体_GB2312" w:cs="楷体_GB2312"/>
          <w:b w:val="0"/>
          <w:bCs/>
          <w:color w:val="auto"/>
          <w:sz w:val="32"/>
          <w:szCs w:val="32"/>
          <w:highlight w:val="none"/>
        </w:rPr>
        <w:t>（三）一般公共预算财政拨款支出决算具体情况</w:t>
      </w:r>
      <w:bookmarkEnd w:id="32"/>
    </w:p>
    <w:p w14:paraId="60CFFF4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仿宋_GB2312" w:hAnsi="仿宋_GB2312" w:eastAsia="仿宋_GB2312" w:cs="仿宋_GB2312"/>
          <w:b w:val="0"/>
          <w:bCs w:val="0"/>
          <w:color w:val="000000"/>
          <w:kern w:val="2"/>
          <w:sz w:val="32"/>
          <w:szCs w:val="32"/>
          <w:lang w:val="en-US" w:eastAsia="zh-CN" w:bidi="ar-SA"/>
        </w:rPr>
      </w:pPr>
      <w:bookmarkStart w:id="33" w:name="_Toc15377213"/>
      <w:bookmarkStart w:id="34" w:name="_Toc15378460"/>
      <w:bookmarkStart w:id="35" w:name="_Toc15377444"/>
      <w:r>
        <w:rPr>
          <w:rFonts w:hint="eastAsia" w:ascii="仿宋_GB2312" w:hAnsi="仿宋_GB2312" w:eastAsia="仿宋_GB2312" w:cs="仿宋_GB2312"/>
          <w:b w:val="0"/>
          <w:bCs w:val="0"/>
          <w:color w:val="000000"/>
          <w:kern w:val="2"/>
          <w:sz w:val="32"/>
          <w:szCs w:val="32"/>
          <w:lang w:val="en-US" w:eastAsia="zh-CN" w:bidi="ar-SA"/>
        </w:rPr>
        <w:t>2023年度一般公共预算支出决算数为1047.81万元，完成预算的100%</w:t>
      </w:r>
      <w:bookmarkEnd w:id="33"/>
      <w:bookmarkEnd w:id="34"/>
      <w:bookmarkEnd w:id="35"/>
      <w:r>
        <w:rPr>
          <w:rFonts w:hint="eastAsia" w:ascii="仿宋_GB2312" w:hAnsi="仿宋_GB2312" w:eastAsia="仿宋_GB2312" w:cs="仿宋_GB2312"/>
          <w:b w:val="0"/>
          <w:bCs w:val="0"/>
          <w:color w:val="000000"/>
          <w:kern w:val="2"/>
          <w:sz w:val="32"/>
          <w:szCs w:val="32"/>
          <w:lang w:val="en-US" w:eastAsia="zh-CN" w:bidi="ar-SA"/>
        </w:rPr>
        <w:t>。其中：</w:t>
      </w:r>
    </w:p>
    <w:p w14:paraId="4A7930DA">
      <w:pPr>
        <w:pStyle w:val="8"/>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1、公共安全支出（类）司法（款）行政运行（项）：</w:t>
      </w:r>
      <w:bookmarkStart w:id="68" w:name="_GoBack"/>
      <w:bookmarkEnd w:id="68"/>
      <w:r>
        <w:rPr>
          <w:rFonts w:hint="eastAsia" w:ascii="仿宋_GB2312" w:hAnsi="仿宋_GB2312" w:eastAsia="仿宋_GB2312" w:cs="仿宋_GB2312"/>
          <w:b w:val="0"/>
          <w:bCs w:val="0"/>
          <w:color w:val="000000"/>
          <w:kern w:val="2"/>
          <w:sz w:val="32"/>
          <w:szCs w:val="32"/>
          <w:lang w:val="en-US" w:eastAsia="zh-CN" w:bidi="ar-SA"/>
        </w:rPr>
        <w:t xml:space="preserve"> 支出决算为719.78万元，完成预算的100%，主要用于：机关及参公管理事业单位正常运转的基本支出，包括基本工资、津贴补贴、绩效奖金等人员经费。完成预算的100%，决算数与预算数持平。</w:t>
      </w:r>
    </w:p>
    <w:p w14:paraId="6294DE43">
      <w:pPr>
        <w:pStyle w:val="8"/>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公共安全支出（类）司法（款）一般行政管理事务（项）：2023年支出决算数为82.16万元，主要用于：反映行政单位（包括实行公务员管理的事业单位）未单独设置项级科目的其他项目支出，完成预算100%，决算数与预算数持平。</w:t>
      </w:r>
    </w:p>
    <w:p w14:paraId="4C5B7E49">
      <w:pPr>
        <w:pStyle w:val="8"/>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3.公共安全支出（类）司法（款）事业运行（项）：2023年决算数为23.28万元，主要用于：反映事业单位的基本支出，不包括行政单位（包括实行公务员管理的事业单位）后勤服务中心、医务室等附属事业单位。完成预算100%，决算数与预算数持平。</w:t>
      </w:r>
    </w:p>
    <w:p w14:paraId="23B90D4A">
      <w:pPr>
        <w:pStyle w:val="8"/>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4.社会保障和就业（类）行政单位养老支出（款）机关事业单位基本养老保险缴费支出（项）：2023年决算数为73.71万元，主要用于：实施养老保险制度后，部门按规定由单位缴纳的基本养老保险费支出。完成预算100%，决算数与预算数持平</w:t>
      </w:r>
    </w:p>
    <w:p w14:paraId="0B9E5428">
      <w:pPr>
        <w:pStyle w:val="8"/>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5.社会保障和就业（类）行政单位养老支出（款）机关事业单位职业年金缴费支出（项）：2023年决算数为36.35万元，主要用于：实施养老保险制度后，部门按规定由单位缴纳的职业年金支出。完成预算的100%，决算数与预算数持平。</w:t>
      </w:r>
    </w:p>
    <w:p w14:paraId="473890B3">
      <w:pPr>
        <w:pStyle w:val="8"/>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6.社会保障（类）其他社会保障支出（款）其他社会保障支出（项）：2023年决算数为10.45万元，主要反映用于除上述项目以外规定的其他用于促进就业的补助支出。完成预算的100%，决算数与预算数持平。</w:t>
      </w:r>
      <w:r>
        <w:rPr>
          <w:rFonts w:hint="eastAsia" w:ascii="仿宋_GB2312" w:hAnsi="仿宋_GB2312" w:eastAsia="仿宋_GB2312" w:cs="仿宋_GB2312"/>
          <w:b w:val="0"/>
          <w:bCs w:val="0"/>
          <w:color w:val="000000"/>
          <w:kern w:val="2"/>
          <w:sz w:val="32"/>
          <w:szCs w:val="32"/>
          <w:lang w:val="en-US" w:eastAsia="zh-CN" w:bidi="ar-SA"/>
        </w:rPr>
        <w:br w:type="textWrapping"/>
      </w:r>
      <w:r>
        <w:rPr>
          <w:rFonts w:hint="eastAsia" w:ascii="仿宋_GB2312" w:hAnsi="仿宋_GB2312" w:eastAsia="仿宋_GB2312" w:cs="仿宋_GB2312"/>
          <w:b w:val="0"/>
          <w:bCs w:val="0"/>
          <w:color w:val="000000"/>
          <w:kern w:val="2"/>
          <w:sz w:val="32"/>
          <w:szCs w:val="32"/>
          <w:lang w:val="en-US" w:eastAsia="zh-CN" w:bidi="ar-SA"/>
        </w:rPr>
        <w:t>　　7.社会保障和就业（类）行政单位养老支出（款）死亡抚恤（项）：2023年决算数为22.53万元，主要用于：反映用于病故人员家属的一次性抚恤金。完成预算的100%，决算数与预算数持平。</w:t>
      </w:r>
      <w:r>
        <w:rPr>
          <w:rFonts w:hint="eastAsia" w:ascii="仿宋_GB2312" w:hAnsi="仿宋_GB2312" w:eastAsia="仿宋_GB2312" w:cs="仿宋_GB2312"/>
          <w:b w:val="0"/>
          <w:bCs w:val="0"/>
          <w:color w:val="000000"/>
          <w:kern w:val="2"/>
          <w:sz w:val="32"/>
          <w:szCs w:val="32"/>
          <w:lang w:val="en-US" w:eastAsia="zh-CN" w:bidi="ar-SA"/>
        </w:rPr>
        <w:br w:type="textWrapping"/>
      </w:r>
      <w:r>
        <w:rPr>
          <w:rFonts w:hint="eastAsia" w:ascii="仿宋_GB2312" w:hAnsi="仿宋_GB2312" w:eastAsia="仿宋_GB2312" w:cs="仿宋_GB2312"/>
          <w:b w:val="0"/>
          <w:bCs w:val="0"/>
          <w:color w:val="000000"/>
          <w:kern w:val="2"/>
          <w:sz w:val="32"/>
          <w:szCs w:val="32"/>
          <w:lang w:val="en-US" w:eastAsia="zh-CN" w:bidi="ar-SA"/>
        </w:rPr>
        <w:t>　　8.卫生健康（类）行政事业单位医疗（款）行政单位医疗（项）：2023年决算数为20.6万元，主要用于：机关及参公管理事业单位基本医疗保险缴费支出。完成预算100%，决算数与预算数持平。　　</w:t>
      </w:r>
    </w:p>
    <w:p w14:paraId="1089F4CE">
      <w:pPr>
        <w:pStyle w:val="8"/>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9.住房保障支出（类）住房改革支出（款）住房公积金（项）：2023年预算数为58.95万元，主要用于：部门按人力资源和社会保障部、财政部规定的基本工资和津贴补贴以及规定比例为职工缴纳的住房公积金支出。完成预算的100%，决算数与预算数持平。</w:t>
      </w:r>
    </w:p>
    <w:p w14:paraId="6C307025">
      <w:pPr>
        <w:pageBreakBefore w:val="0"/>
        <w:widowControl w:val="0"/>
        <w:tabs>
          <w:tab w:val="right" w:pos="8306"/>
        </w:tabs>
        <w:kinsoku/>
        <w:wordWrap/>
        <w:overflowPunct/>
        <w:topLinePunct w:val="0"/>
        <w:autoSpaceDE/>
        <w:autoSpaceDN/>
        <w:bidi w:val="0"/>
        <w:adjustRightInd/>
        <w:snapToGrid/>
        <w:spacing w:line="600" w:lineRule="exact"/>
        <w:ind w:firstLine="640" w:firstLineChars="200"/>
        <w:jc w:val="both"/>
        <w:textAlignment w:val="auto"/>
        <w:outlineLvl w:val="1"/>
        <w:rPr>
          <w:rStyle w:val="36"/>
          <w:rFonts w:hint="eastAsia" w:ascii="仿宋" w:hAnsi="仿宋" w:eastAsia="仿宋" w:cs="仿宋"/>
          <w:color w:val="auto"/>
          <w:sz w:val="32"/>
          <w:szCs w:val="32"/>
          <w:highlight w:val="none"/>
        </w:rPr>
      </w:pPr>
      <w:bookmarkStart w:id="36" w:name="_Toc15377214"/>
      <w:bookmarkStart w:id="37" w:name="_Toc15396608"/>
      <w:r>
        <w:rPr>
          <w:rFonts w:hint="eastAsia" w:ascii="黑体" w:hAnsi="黑体" w:eastAsia="黑体" w:cs="黑体"/>
          <w:b w:val="0"/>
          <w:bCs/>
          <w:color w:val="auto"/>
          <w:kern w:val="2"/>
          <w:sz w:val="32"/>
          <w:szCs w:val="32"/>
          <w:lang w:val="en-US" w:eastAsia="zh-CN" w:bidi="ar-SA"/>
        </w:rPr>
        <w:t>六、一般公共预算财政拨款基本支出决算情况说明</w:t>
      </w:r>
      <w:bookmarkEnd w:id="36"/>
      <w:bookmarkEnd w:id="37"/>
      <w:r>
        <w:rPr>
          <w:rStyle w:val="36"/>
          <w:rFonts w:hint="eastAsia" w:ascii="仿宋" w:hAnsi="仿宋" w:eastAsia="仿宋" w:cs="仿宋"/>
          <w:b w:val="0"/>
          <w:color w:val="auto"/>
          <w:sz w:val="32"/>
          <w:szCs w:val="32"/>
          <w:highlight w:val="none"/>
        </w:rPr>
        <w:tab/>
      </w:r>
    </w:p>
    <w:p w14:paraId="63438B05">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2023年度一般公共预算财政拨款基本支出965.66万元，其中：</w:t>
      </w:r>
    </w:p>
    <w:p w14:paraId="757F454F">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人员经费826.86万元，主要包括：基本工资</w:t>
      </w:r>
      <w:r>
        <w:rPr>
          <w:rFonts w:hint="eastAsia" w:ascii="仿宋_GB2312" w:hAnsi="仿宋_GB2312" w:eastAsia="仿宋_GB2312" w:cs="仿宋_GB2312"/>
          <w:b w:val="0"/>
          <w:bCs w:val="0"/>
          <w:color w:val="000000"/>
          <w:kern w:val="2"/>
          <w:sz w:val="32"/>
          <w:szCs w:val="32"/>
          <w:highlight w:val="none"/>
          <w:lang w:val="en-US" w:eastAsia="zh-CN" w:bidi="ar-SA"/>
        </w:rPr>
        <w:t>177.89万</w:t>
      </w:r>
      <w:r>
        <w:rPr>
          <w:rFonts w:hint="eastAsia" w:ascii="仿宋_GB2312" w:hAnsi="仿宋_GB2312" w:eastAsia="仿宋_GB2312" w:cs="仿宋_GB2312"/>
          <w:b w:val="0"/>
          <w:bCs w:val="0"/>
          <w:color w:val="000000"/>
          <w:kern w:val="2"/>
          <w:sz w:val="32"/>
          <w:szCs w:val="32"/>
          <w:lang w:val="en-US" w:eastAsia="zh-CN" w:bidi="ar-SA"/>
        </w:rPr>
        <w:t>元、津贴补贴164.44万元、奖金166.75万元、伙食补助费8.96万元、绩效工资7.17万元、机关事业单位基本养老保险缴费73.71万元、职业年金缴费36.35万元、职工基本医疗保险费18.2万元、公务员医疗补助缴费2.4万元、其他社会保障缴费8.14万元、住房公积金58.95万元、其他工资福利支出74.66万元、抚恤金22.53万元、生活补助4.4万元、其他对个人和家庭的补助支出2.31万元等。　　</w:t>
      </w:r>
    </w:p>
    <w:p w14:paraId="67A0A016">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公用经费138.8万元，主要包括：办公费36.99万元、印刷费2.54万元、邮电费4.24万元、差旅费20.00万元、维修（护）费3.2万元、公务接待费0.65万元、劳务费1.96万元、工会经费9.69万元、福利费13.88万元、公务用车运行维护费3.11万元、其他交通费28.69万元、其他商品和服务支出13.86万元。</w:t>
      </w:r>
    </w:p>
    <w:p w14:paraId="4144CDEB">
      <w:pPr>
        <w:pStyle w:val="6"/>
        <w:pageBreakBefore w:val="0"/>
        <w:widowControl w:val="0"/>
        <w:numPr>
          <w:ilvl w:val="0"/>
          <w:numId w:val="0"/>
        </w:numPr>
        <w:kinsoku/>
        <w:wordWrap/>
        <w:overflowPunct/>
        <w:topLinePunct w:val="0"/>
        <w:autoSpaceDE/>
        <w:autoSpaceDN/>
        <w:bidi w:val="0"/>
        <w:adjustRightInd/>
        <w:snapToGrid/>
        <w:spacing w:before="0" w:after="0" w:line="600" w:lineRule="exact"/>
        <w:ind w:leftChars="0" w:firstLine="640" w:firstLineChars="200"/>
        <w:jc w:val="both"/>
        <w:textAlignment w:val="auto"/>
        <w:rPr>
          <w:rFonts w:hint="eastAsia" w:ascii="黑体" w:hAnsi="黑体" w:eastAsia="黑体" w:cs="黑体"/>
          <w:b w:val="0"/>
          <w:bCs/>
          <w:color w:val="auto"/>
          <w:kern w:val="2"/>
          <w:sz w:val="32"/>
          <w:szCs w:val="32"/>
          <w:lang w:val="en-US" w:eastAsia="zh-CN" w:bidi="ar-SA"/>
        </w:rPr>
      </w:pPr>
      <w:bookmarkStart w:id="38" w:name="_Toc15396609"/>
      <w:bookmarkStart w:id="39" w:name="_Toc15377215"/>
      <w:r>
        <w:rPr>
          <w:rFonts w:hint="eastAsia" w:ascii="黑体" w:hAnsi="黑体" w:eastAsia="黑体" w:cs="黑体"/>
          <w:b w:val="0"/>
          <w:bCs/>
          <w:color w:val="auto"/>
          <w:kern w:val="2"/>
          <w:sz w:val="32"/>
          <w:szCs w:val="32"/>
          <w:lang w:val="en-US" w:eastAsia="zh-CN" w:bidi="ar-SA"/>
        </w:rPr>
        <w:t>七、财政拨款“三公”经费支出决算情况说明</w:t>
      </w:r>
      <w:bookmarkEnd w:id="38"/>
      <w:bookmarkEnd w:id="39"/>
    </w:p>
    <w:p w14:paraId="42164DDF">
      <w:pPr>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楷体_GB2312" w:hAnsi="楷体_GB2312" w:eastAsia="楷体_GB2312" w:cs="楷体_GB2312"/>
          <w:b w:val="0"/>
          <w:bCs/>
          <w:color w:val="auto"/>
          <w:sz w:val="32"/>
          <w:szCs w:val="32"/>
          <w:highlight w:val="none"/>
        </w:rPr>
      </w:pPr>
      <w:bookmarkStart w:id="40" w:name="_Toc15377216"/>
      <w:r>
        <w:rPr>
          <w:rFonts w:hint="eastAsia" w:ascii="楷体_GB2312" w:hAnsi="楷体_GB2312" w:eastAsia="楷体_GB2312" w:cs="楷体_GB2312"/>
          <w:b w:val="0"/>
          <w:bCs/>
          <w:color w:val="auto"/>
          <w:sz w:val="32"/>
          <w:szCs w:val="32"/>
          <w:highlight w:val="none"/>
        </w:rPr>
        <w:t>（一）“三公”经费财政拨款支出决算总体情况说明</w:t>
      </w:r>
      <w:bookmarkEnd w:id="40"/>
    </w:p>
    <w:p w14:paraId="3D25D027">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2023年度“三公”经费财政拨款支出决算为3.76万元，完成预算的100%，较上年度减少6.78万元，下降44.49%。决算数小于预算数的主要原因是节约开支。</w:t>
      </w:r>
    </w:p>
    <w:p w14:paraId="4C10DB25">
      <w:pPr>
        <w:pageBreakBefore w:val="0"/>
        <w:widowControl w:val="0"/>
        <w:kinsoku/>
        <w:wordWrap/>
        <w:overflowPunct/>
        <w:topLinePunct w:val="0"/>
        <w:autoSpaceDE/>
        <w:autoSpaceDN/>
        <w:bidi w:val="0"/>
        <w:adjustRightInd/>
        <w:snapToGrid/>
        <w:spacing w:line="600" w:lineRule="exact"/>
        <w:ind w:firstLine="640" w:firstLineChars="200"/>
        <w:jc w:val="both"/>
        <w:textAlignment w:val="auto"/>
        <w:outlineLvl w:val="2"/>
        <w:rPr>
          <w:rFonts w:hint="eastAsia" w:ascii="楷体_GB2312" w:hAnsi="楷体_GB2312" w:eastAsia="楷体_GB2312" w:cs="楷体_GB2312"/>
          <w:b w:val="0"/>
          <w:bCs/>
          <w:color w:val="auto"/>
          <w:sz w:val="32"/>
          <w:szCs w:val="32"/>
          <w:highlight w:val="none"/>
        </w:rPr>
      </w:pPr>
      <w:bookmarkStart w:id="41" w:name="_Toc15377217"/>
      <w:r>
        <w:rPr>
          <w:rFonts w:hint="eastAsia" w:ascii="楷体_GB2312" w:hAnsi="楷体_GB2312" w:eastAsia="楷体_GB2312" w:cs="楷体_GB2312"/>
          <w:b w:val="0"/>
          <w:bCs/>
          <w:color w:val="auto"/>
          <w:sz w:val="32"/>
          <w:szCs w:val="32"/>
          <w:highlight w:val="none"/>
        </w:rPr>
        <w:t>（二）“三公”经费财政拨款支出决算具体情况说明</w:t>
      </w:r>
      <w:bookmarkEnd w:id="41"/>
    </w:p>
    <w:p w14:paraId="0AF1060B">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2023年度“三公”经费财政拨款支出决算中，因公出国（境）费支出决算0万元，占0%；公务用车购置及运行维护费支出决算0万元，占0%；公务接待费支出决算0万元，占0%。</w:t>
      </w:r>
    </w:p>
    <w:p w14:paraId="696CA2C8">
      <w:pPr>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（图7：“三公”经费财政拨款支出结构）（饼状图）</w:t>
      </w:r>
    </w:p>
    <w:p w14:paraId="0552FCAB">
      <w:pPr>
        <w:pStyle w:val="2"/>
        <w:pageBreakBefore w:val="0"/>
        <w:kinsoku/>
        <w:wordWrap/>
        <w:overflowPunct/>
        <w:topLinePunct w:val="0"/>
        <w:bidi w:val="0"/>
        <w:spacing w:line="360" w:lineRule="auto"/>
        <w:ind w:firstLine="640" w:firstLineChars="200"/>
        <w:rPr>
          <w:rFonts w:hint="eastAsia" w:ascii="仿宋" w:hAnsi="仿宋" w:eastAsia="仿宋" w:cs="仿宋"/>
          <w:color w:val="auto"/>
          <w:sz w:val="32"/>
          <w:szCs w:val="32"/>
          <w:highlight w:val="none"/>
        </w:rPr>
      </w:pPr>
      <w:r>
        <w:rPr>
          <w:rFonts w:hint="eastAsia" w:ascii="仿宋" w:hAnsi="仿宋" w:eastAsia="仿宋" w:cs="仿宋"/>
          <w:sz w:val="32"/>
          <w:szCs w:val="32"/>
        </w:rPr>
        <w:drawing>
          <wp:inline distT="0" distB="0" distL="114300" distR="114300">
            <wp:extent cx="4565015" cy="2734945"/>
            <wp:effectExtent l="4445" t="4445" r="21590" b="2286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EC3C618">
      <w:pPr>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w:t>
      </w:r>
      <w:r>
        <w:rPr>
          <w:rFonts w:hint="eastAsia" w:ascii="仿宋" w:hAnsi="仿宋" w:eastAsia="仿宋" w:cs="仿宋"/>
          <w:b/>
          <w:color w:val="auto"/>
          <w:sz w:val="32"/>
          <w:szCs w:val="32"/>
          <w:highlight w:val="none"/>
        </w:rPr>
        <w:t>因公出国（境）经费支出</w:t>
      </w:r>
      <w:r>
        <w:rPr>
          <w:rFonts w:hint="eastAsia" w:ascii="仿宋_GB2312" w:hAnsi="仿宋_GB2312" w:eastAsia="仿宋_GB2312" w:cs="仿宋_GB2312"/>
          <w:b w:val="0"/>
          <w:bCs w:val="0"/>
          <w:color w:val="000000"/>
          <w:kern w:val="2"/>
          <w:sz w:val="32"/>
          <w:szCs w:val="32"/>
          <w:lang w:val="en-US" w:eastAsia="zh-CN" w:bidi="ar-SA"/>
        </w:rPr>
        <w:t>0万元，完成预算0%。全年安排因公出国（境）团组0次，出国（境）0人。因公出国（境）支出决算比2022年增加/减少0万元，增长/下降0%。主要原因是无因公出国情况。</w:t>
      </w:r>
    </w:p>
    <w:p w14:paraId="1A5DE761">
      <w:pPr>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 w:cs="仿宋"/>
          <w:color w:val="auto"/>
          <w:sz w:val="32"/>
          <w:szCs w:val="32"/>
          <w:highlight w:val="none"/>
        </w:rPr>
      </w:pPr>
      <w:r>
        <w:rPr>
          <w:rFonts w:hint="eastAsia" w:ascii="仿宋_GB2312" w:hAnsi="仿宋_GB2312" w:eastAsia="仿宋_GB2312" w:cs="仿宋_GB2312"/>
          <w:b w:val="0"/>
          <w:bCs w:val="0"/>
          <w:color w:val="000000"/>
          <w:kern w:val="2"/>
          <w:sz w:val="32"/>
          <w:szCs w:val="32"/>
          <w:lang w:val="en-US" w:eastAsia="zh-CN" w:bidi="ar-SA"/>
        </w:rPr>
        <w:t>开支内容包括：无。</w:t>
      </w:r>
    </w:p>
    <w:p w14:paraId="05B372AE">
      <w:pPr>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w:t>
      </w:r>
      <w:r>
        <w:rPr>
          <w:rFonts w:hint="eastAsia" w:ascii="仿宋" w:hAnsi="仿宋" w:eastAsia="仿宋" w:cs="仿宋"/>
          <w:b/>
          <w:color w:val="auto"/>
          <w:sz w:val="32"/>
          <w:szCs w:val="32"/>
          <w:highlight w:val="none"/>
        </w:rPr>
        <w:t>公务用车购置及运行维护费支出</w:t>
      </w:r>
      <w:r>
        <w:rPr>
          <w:rFonts w:hint="eastAsia" w:ascii="仿宋_GB2312" w:hAnsi="仿宋_GB2312" w:eastAsia="仿宋_GB2312" w:cs="仿宋_GB2312"/>
          <w:b w:val="0"/>
          <w:bCs w:val="0"/>
          <w:color w:val="000000"/>
          <w:kern w:val="2"/>
          <w:sz w:val="32"/>
          <w:szCs w:val="32"/>
          <w:lang w:val="en-US" w:eastAsia="zh-CN" w:bidi="ar-SA"/>
        </w:rPr>
        <w:t>3.11万元，完成预算的100%。公务用车购置及运行维护费支出决算比2022年度减少2.24万元，下降41.85%。主要原因是未购置车辆。</w:t>
      </w:r>
    </w:p>
    <w:p w14:paraId="4B4D222C">
      <w:pPr>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其中：</w:t>
      </w:r>
      <w:r>
        <w:rPr>
          <w:rFonts w:hint="eastAsia" w:ascii="仿宋_GB2312" w:hAnsi="仿宋_GB2312" w:eastAsia="仿宋_GB2312" w:cs="仿宋_GB2312"/>
          <w:b/>
          <w:bCs/>
          <w:color w:val="000000"/>
          <w:kern w:val="2"/>
          <w:sz w:val="32"/>
          <w:szCs w:val="32"/>
          <w:lang w:val="en-US" w:eastAsia="zh-CN" w:bidi="ar-SA"/>
        </w:rPr>
        <w:t>公务用车购置支出</w:t>
      </w:r>
      <w:r>
        <w:rPr>
          <w:rFonts w:hint="eastAsia" w:ascii="仿宋_GB2312" w:hAnsi="仿宋_GB2312" w:eastAsia="仿宋_GB2312" w:cs="仿宋_GB2312"/>
          <w:b w:val="0"/>
          <w:bCs w:val="0"/>
          <w:color w:val="000000"/>
          <w:kern w:val="2"/>
          <w:sz w:val="32"/>
          <w:szCs w:val="32"/>
          <w:lang w:val="en-US" w:eastAsia="zh-CN" w:bidi="ar-SA"/>
        </w:rPr>
        <w:t>0万元。全年按规定更新购置公务用车0辆，其中：轿车0辆、金额0万元，越野车0辆、金额0万元，载客汽车0辆、金额0万元。截至2023年12月31日，单位共有公务用车0辆，其中：轿车0辆、越野车0辆、载客汽车0辆。</w:t>
      </w:r>
    </w:p>
    <w:p w14:paraId="38929E26">
      <w:pPr>
        <w:pageBreakBefore w:val="0"/>
        <w:widowControl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 w:hAnsi="仿宋" w:eastAsia="仿宋" w:cs="仿宋"/>
          <w:b/>
          <w:color w:val="auto"/>
          <w:sz w:val="32"/>
          <w:szCs w:val="32"/>
          <w:highlight w:val="none"/>
        </w:rPr>
        <w:t>公务用车运行维护费支出</w:t>
      </w:r>
      <w:r>
        <w:rPr>
          <w:rFonts w:hint="eastAsia" w:ascii="仿宋_GB2312" w:hAnsi="仿宋_GB2312" w:eastAsia="仿宋_GB2312" w:cs="仿宋_GB2312"/>
          <w:b w:val="0"/>
          <w:bCs w:val="0"/>
          <w:color w:val="000000"/>
          <w:kern w:val="2"/>
          <w:sz w:val="32"/>
          <w:szCs w:val="32"/>
          <w:lang w:val="en-US" w:eastAsia="zh-CN" w:bidi="ar-SA"/>
        </w:rPr>
        <w:t>3.11万元。主要用于执法用车所需的公务用车燃料费、维修费、过路过桥费、保险费等支出。</w:t>
      </w:r>
    </w:p>
    <w:p w14:paraId="3E7222CD">
      <w:pPr>
        <w:pageBreakBefore w:val="0"/>
        <w:widowControl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 w:hAnsi="仿宋" w:eastAsia="仿宋" w:cs="仿宋"/>
          <w:b/>
          <w:color w:val="auto"/>
          <w:sz w:val="32"/>
          <w:szCs w:val="32"/>
          <w:highlight w:val="none"/>
        </w:rPr>
        <w:t>3.公务接待费支出</w:t>
      </w:r>
      <w:r>
        <w:rPr>
          <w:rFonts w:hint="eastAsia" w:ascii="仿宋_GB2312" w:hAnsi="仿宋_GB2312" w:eastAsia="仿宋_GB2312" w:cs="仿宋_GB2312"/>
          <w:b w:val="0"/>
          <w:bCs w:val="0"/>
          <w:color w:val="000000"/>
          <w:kern w:val="2"/>
          <w:sz w:val="32"/>
          <w:szCs w:val="32"/>
          <w:lang w:val="en-US" w:eastAsia="zh-CN" w:bidi="ar-SA"/>
        </w:rPr>
        <w:t>0.65万元，完成预算100%。公务接待费支出决算比2022年度减少0.78万元，下降54.39%。主要原因是节约开支。其中：</w:t>
      </w:r>
    </w:p>
    <w:p w14:paraId="008AB717">
      <w:pPr>
        <w:pageBreakBefore w:val="0"/>
        <w:widowControl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 w:hAnsi="仿宋" w:eastAsia="仿宋" w:cs="仿宋"/>
          <w:b/>
          <w:color w:val="auto"/>
          <w:sz w:val="32"/>
          <w:szCs w:val="32"/>
          <w:highlight w:val="none"/>
        </w:rPr>
        <w:t>国内公务接待支出</w:t>
      </w:r>
      <w:r>
        <w:rPr>
          <w:rFonts w:hint="eastAsia" w:ascii="仿宋_GB2312" w:hAnsi="仿宋_GB2312" w:eastAsia="仿宋_GB2312" w:cs="仿宋_GB2312"/>
          <w:b w:val="0"/>
          <w:bCs w:val="0"/>
          <w:color w:val="000000"/>
          <w:kern w:val="2"/>
          <w:sz w:val="32"/>
          <w:szCs w:val="32"/>
          <w:lang w:val="en-US" w:eastAsia="zh-CN" w:bidi="ar-SA"/>
        </w:rPr>
        <w:t>0.65万元，主要用于执行公务、开展业务活动开支的交通费、住宿费、用餐费等。国内公务接待15批次，103人次（不包括陪同人员），共计支出0.65万元，具体内容包括：安排工作餐，交通费用 。</w:t>
      </w:r>
    </w:p>
    <w:p w14:paraId="3D27F0DF">
      <w:pPr>
        <w:pageBreakBefore w:val="0"/>
        <w:widowControl w:val="0"/>
        <w:kinsoku/>
        <w:wordWrap/>
        <w:overflowPunct/>
        <w:topLinePunct w:val="0"/>
        <w:bidi w:val="0"/>
        <w:snapToGrid/>
        <w:spacing w:line="600" w:lineRule="exact"/>
        <w:ind w:firstLine="643"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 w:hAnsi="仿宋" w:eastAsia="仿宋" w:cs="仿宋"/>
          <w:b/>
          <w:color w:val="auto"/>
          <w:sz w:val="32"/>
          <w:szCs w:val="32"/>
          <w:highlight w:val="none"/>
        </w:rPr>
        <w:t>外事接待支出</w:t>
      </w:r>
      <w:r>
        <w:rPr>
          <w:rFonts w:hint="eastAsia" w:ascii="仿宋_GB2312" w:hAnsi="仿宋_GB2312" w:eastAsia="仿宋_GB2312" w:cs="仿宋_GB2312"/>
          <w:b w:val="0"/>
          <w:bCs w:val="0"/>
          <w:color w:val="000000"/>
          <w:kern w:val="2"/>
          <w:sz w:val="32"/>
          <w:szCs w:val="32"/>
          <w:lang w:val="en-US" w:eastAsia="zh-CN" w:bidi="ar-SA"/>
        </w:rPr>
        <w:t>0万元，主要用于接待（具体项目无）。外事接待0次，0人次（不包括陪同人员），支出0万元。</w:t>
      </w:r>
      <w:bookmarkStart w:id="42" w:name="_Toc15377218"/>
      <w:bookmarkStart w:id="43" w:name="_Toc15396610"/>
    </w:p>
    <w:p w14:paraId="470EF098">
      <w:pPr>
        <w:pStyle w:val="6"/>
        <w:pageBreakBefore w:val="0"/>
        <w:widowControl w:val="0"/>
        <w:numPr>
          <w:ilvl w:val="0"/>
          <w:numId w:val="0"/>
        </w:numPr>
        <w:kinsoku/>
        <w:wordWrap/>
        <w:overflowPunct/>
        <w:topLinePunct w:val="0"/>
        <w:autoSpaceDE/>
        <w:autoSpaceDN/>
        <w:bidi w:val="0"/>
        <w:snapToGrid/>
        <w:spacing w:before="0" w:after="0" w:line="600" w:lineRule="exact"/>
        <w:ind w:leftChars="0" w:firstLine="640" w:firstLineChars="200"/>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八、政府性基金预算支出决算情况说明</w:t>
      </w:r>
      <w:bookmarkEnd w:id="42"/>
      <w:bookmarkEnd w:id="43"/>
    </w:p>
    <w:p w14:paraId="27A75236">
      <w:pPr>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2023年度政府性基金预算财政拨款支出124.18万元</w:t>
      </w:r>
    </w:p>
    <w:p w14:paraId="44BE7EAC">
      <w:pPr>
        <w:pageBreakBefore w:val="0"/>
        <w:widowControl w:val="0"/>
        <w:numPr>
          <w:ilvl w:val="0"/>
          <w:numId w:val="0"/>
        </w:numPr>
        <w:kinsoku/>
        <w:wordWrap/>
        <w:overflowPunct/>
        <w:topLinePunct w:val="0"/>
        <w:bidi w:val="0"/>
        <w:snapToGrid/>
        <w:spacing w:line="600" w:lineRule="exact"/>
        <w:ind w:firstLine="640" w:firstLineChars="200"/>
        <w:textAlignment w:val="auto"/>
        <w:outlineLvl w:val="1"/>
        <w:rPr>
          <w:rFonts w:hint="eastAsia" w:ascii="黑体" w:hAnsi="黑体" w:eastAsia="黑体" w:cs="黑体"/>
          <w:b w:val="0"/>
          <w:bCs/>
          <w:color w:val="auto"/>
          <w:kern w:val="2"/>
          <w:sz w:val="32"/>
          <w:szCs w:val="32"/>
          <w:lang w:val="en-US" w:eastAsia="zh-CN" w:bidi="ar-SA"/>
        </w:rPr>
      </w:pPr>
      <w:bookmarkStart w:id="44" w:name="_Toc15377219"/>
      <w:bookmarkStart w:id="45" w:name="_Toc15396611"/>
      <w:r>
        <w:rPr>
          <w:rFonts w:hint="eastAsia" w:ascii="黑体" w:hAnsi="黑体" w:eastAsia="黑体" w:cs="黑体"/>
          <w:b w:val="0"/>
          <w:bCs/>
          <w:color w:val="auto"/>
          <w:kern w:val="2"/>
          <w:sz w:val="32"/>
          <w:szCs w:val="32"/>
          <w:lang w:val="en-US" w:eastAsia="zh-CN" w:bidi="ar-SA"/>
        </w:rPr>
        <w:t>九、国有资本经营预算支出决算情况说明</w:t>
      </w:r>
      <w:bookmarkEnd w:id="44"/>
      <w:bookmarkEnd w:id="45"/>
    </w:p>
    <w:p w14:paraId="2E6381BC">
      <w:pPr>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2023年度国有资本经营预算财政拨款支出0万元。</w:t>
      </w:r>
    </w:p>
    <w:p w14:paraId="005A2238">
      <w:pPr>
        <w:pageBreakBefore w:val="0"/>
        <w:widowControl w:val="0"/>
        <w:numPr>
          <w:ilvl w:val="0"/>
          <w:numId w:val="0"/>
        </w:numPr>
        <w:kinsoku/>
        <w:wordWrap/>
        <w:overflowPunct/>
        <w:topLinePunct w:val="0"/>
        <w:bidi w:val="0"/>
        <w:snapToGrid/>
        <w:spacing w:line="600" w:lineRule="exact"/>
        <w:ind w:firstLine="640" w:firstLineChars="200"/>
        <w:textAlignment w:val="auto"/>
        <w:outlineLvl w:val="1"/>
        <w:rPr>
          <w:rFonts w:hint="eastAsia" w:ascii="黑体" w:hAnsi="黑体" w:eastAsia="黑体" w:cs="黑体"/>
          <w:b w:val="0"/>
          <w:bCs/>
          <w:color w:val="auto"/>
          <w:kern w:val="2"/>
          <w:sz w:val="32"/>
          <w:szCs w:val="32"/>
          <w:lang w:val="en-US" w:eastAsia="zh-CN" w:bidi="ar-SA"/>
        </w:rPr>
      </w:pPr>
      <w:bookmarkStart w:id="46" w:name="_Toc15377221"/>
      <w:bookmarkStart w:id="47" w:name="_Toc15396612"/>
      <w:r>
        <w:rPr>
          <w:rFonts w:hint="eastAsia" w:ascii="黑体" w:hAnsi="黑体" w:eastAsia="黑体" w:cs="黑体"/>
          <w:b w:val="0"/>
          <w:bCs/>
          <w:color w:val="auto"/>
          <w:kern w:val="2"/>
          <w:sz w:val="32"/>
          <w:szCs w:val="32"/>
          <w:lang w:val="en-US" w:eastAsia="zh-CN" w:bidi="ar-SA"/>
        </w:rPr>
        <w:t>十、其他重要事项的情况说明</w:t>
      </w:r>
      <w:bookmarkEnd w:id="46"/>
      <w:bookmarkEnd w:id="47"/>
    </w:p>
    <w:p w14:paraId="468D2DC0">
      <w:pPr>
        <w:pageBreakBefore w:val="0"/>
        <w:widowControl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48" w:name="_Toc15377222"/>
      <w:r>
        <w:rPr>
          <w:rFonts w:hint="eastAsia" w:ascii="楷体_GB2312" w:hAnsi="楷体_GB2312" w:eastAsia="楷体_GB2312" w:cs="楷体_GB2312"/>
          <w:b w:val="0"/>
          <w:bCs/>
          <w:color w:val="auto"/>
          <w:sz w:val="32"/>
          <w:szCs w:val="32"/>
          <w:highlight w:val="none"/>
        </w:rPr>
        <w:t>（一）机关运行经费支出情况</w:t>
      </w:r>
      <w:bookmarkEnd w:id="48"/>
    </w:p>
    <w:p w14:paraId="46492607">
      <w:pPr>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2023年度，司法局机关运行经费支出138.8万元，比2022年度增加13.07万元，增长10.4%。主要原因是人员经费增加。</w:t>
      </w:r>
    </w:p>
    <w:p w14:paraId="33263147">
      <w:pPr>
        <w:pageBreakBefore w:val="0"/>
        <w:widowControl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bookmarkStart w:id="49" w:name="_Toc15377223"/>
      <w:r>
        <w:rPr>
          <w:rFonts w:hint="eastAsia" w:ascii="楷体_GB2312" w:hAnsi="楷体_GB2312" w:eastAsia="楷体_GB2312" w:cs="楷体_GB2312"/>
          <w:b w:val="0"/>
          <w:bCs/>
          <w:color w:val="auto"/>
          <w:sz w:val="32"/>
          <w:szCs w:val="32"/>
          <w:highlight w:val="none"/>
        </w:rPr>
        <w:t>（二）政府采购支出情况</w:t>
      </w:r>
      <w:bookmarkEnd w:id="49"/>
    </w:p>
    <w:p w14:paraId="09B6C501">
      <w:pPr>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bookmarkStart w:id="50" w:name="_Toc15377224"/>
      <w:r>
        <w:rPr>
          <w:rFonts w:hint="eastAsia" w:ascii="仿宋_GB2312" w:hAnsi="仿宋_GB2312" w:eastAsia="仿宋_GB2312" w:cs="仿宋_GB2312"/>
          <w:b w:val="0"/>
          <w:bCs w:val="0"/>
          <w:color w:val="000000"/>
          <w:kern w:val="2"/>
          <w:sz w:val="32"/>
          <w:szCs w:val="32"/>
          <w:lang w:val="en-US" w:eastAsia="zh-CN" w:bidi="ar-SA"/>
        </w:rPr>
        <w:t>2023年度，司法局政府采购预算158.95万元，支出总额48.7万元，其中：政府采购货物支出0万元、政府采购工程支出48.7万元、政府采购服务支出0万元。主要用于乾池法治公园建设。授予中小企业合同金额0万元，占政府采购支出总额的0%，其中：授予小微企业合同金额0万元，占政府采购支出总额的0%。</w:t>
      </w:r>
    </w:p>
    <w:p w14:paraId="72183E51">
      <w:pPr>
        <w:pageBreakBefore w:val="0"/>
        <w:widowControl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（三）国有资产占有使用情况</w:t>
      </w:r>
      <w:bookmarkEnd w:id="50"/>
    </w:p>
    <w:p w14:paraId="033D75FF">
      <w:pPr>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截至2023年12月31日，司法局共有车辆2辆，其中：主要领导干部用车0辆、机要通信用车0辆、应急保障用车0辆、其他用车2辆，其他用车主要是用于执法执勤。单价100万元以上设备（不含车辆）0台（套）。</w:t>
      </w:r>
    </w:p>
    <w:p w14:paraId="646B6BED">
      <w:pPr>
        <w:pageBreakBefore w:val="0"/>
        <w:widowControl w:val="0"/>
        <w:kinsoku/>
        <w:wordWrap/>
        <w:overflowPunct/>
        <w:topLinePunct w:val="0"/>
        <w:bidi w:val="0"/>
        <w:snapToGrid/>
        <w:spacing w:line="600" w:lineRule="exact"/>
        <w:ind w:firstLine="640" w:firstLineChars="200"/>
        <w:textAlignment w:val="auto"/>
        <w:outlineLvl w:val="2"/>
        <w:rPr>
          <w:rFonts w:hint="eastAsia" w:ascii="楷体_GB2312" w:hAnsi="楷体_GB2312" w:eastAsia="楷体_GB2312" w:cs="楷体_GB2312"/>
          <w:b w:val="0"/>
          <w:bCs/>
          <w:color w:val="auto"/>
          <w:sz w:val="32"/>
          <w:szCs w:val="32"/>
          <w:highlight w:val="none"/>
        </w:rPr>
      </w:pPr>
      <w:r>
        <w:rPr>
          <w:rFonts w:hint="eastAsia" w:ascii="楷体_GB2312" w:hAnsi="楷体_GB2312" w:eastAsia="楷体_GB2312" w:cs="楷体_GB2312"/>
          <w:b w:val="0"/>
          <w:bCs/>
          <w:color w:val="auto"/>
          <w:sz w:val="32"/>
          <w:szCs w:val="32"/>
          <w:highlight w:val="none"/>
        </w:rPr>
        <w:t>（四）预算绩效管理情况</w:t>
      </w:r>
    </w:p>
    <w:p w14:paraId="4C693C0A">
      <w:pPr>
        <w:keepNext w:val="0"/>
        <w:keepLines w:val="0"/>
        <w:pageBreakBefore w:val="0"/>
        <w:widowControl w:val="0"/>
        <w:numPr>
          <w:ilvl w:val="0"/>
          <w:numId w:val="0"/>
        </w:numPr>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根据预算绩效管理要求，本部门在2023年度预算编制阶段，组织对德古协会调解经费项目、法律顾问咨询服务、法制宣传及司法专项经费等5个项目开展了预算事前绩效评估，对5个项目编制了绩效目标，预算执行过程中，选取5个项目开展绩效监控。</w:t>
      </w:r>
    </w:p>
    <w:p w14:paraId="3030A184">
      <w:pPr>
        <w:keepNext w:val="0"/>
        <w:keepLines w:val="0"/>
        <w:pageBreakBefore w:val="0"/>
        <w:widowControl w:val="0"/>
        <w:numPr>
          <w:ilvl w:val="0"/>
          <w:numId w:val="0"/>
        </w:numPr>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组织对2023年度预算全面开展绩效自评，形成司法局整体绩效自评报告，对德古协会调解、法律顾问咨询服务、法制宣传及司法专项经费等专项预算项目绩效自评报告，其中，司法局整体绩效自评得分为94分，2023年，根据年初工作规划和重点工作，围绕县委、县政府的工作部署，积极履行职责，强化管理，较好地完成了年度工作目标，同时加强预算收支的管理，建立健全内部管理制度，严格内部管理流程，部门整体支出管理得到了提升。</w:t>
      </w:r>
    </w:p>
    <w:p w14:paraId="13AE07E4">
      <w:pPr>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3、专项预算项目绩效自评均得分为94分：德古协会调解项目，经费预算25.547万元，支出25.547万元；法律顾问咨询服务项目预算68.9万元，支出68.9万元；普法宣传及司法专项经费预算 26.97万元，支出26.97万元。</w:t>
      </w:r>
    </w:p>
    <w:p w14:paraId="2429DF6D">
      <w:pPr>
        <w:rPr>
          <w:rFonts w:hint="eastAsia" w:ascii="仿宋" w:hAnsi="仿宋" w:eastAsia="仿宋" w:cs="仿宋"/>
          <w:sz w:val="32"/>
          <w:szCs w:val="32"/>
        </w:rPr>
      </w:pPr>
    </w:p>
    <w:p w14:paraId="73A6F2DF">
      <w:pPr>
        <w:pageBreakBefore w:val="0"/>
        <w:numPr>
          <w:ilvl w:val="0"/>
          <w:numId w:val="0"/>
        </w:numPr>
        <w:kinsoku/>
        <w:wordWrap/>
        <w:overflowPunct/>
        <w:topLinePunct w:val="0"/>
        <w:bidi w:val="0"/>
        <w:spacing w:line="360" w:lineRule="auto"/>
        <w:jc w:val="center"/>
        <w:outlineLvl w:val="0"/>
        <w:rPr>
          <w:rFonts w:hint="eastAsia" w:ascii="方正小标宋简体" w:hAnsi="方正小标宋简体" w:eastAsia="方正小标宋简体" w:cs="方正小标宋简体"/>
          <w:b w:val="0"/>
          <w:bCs/>
          <w:color w:val="auto"/>
          <w:kern w:val="44"/>
          <w:sz w:val="44"/>
          <w:szCs w:val="44"/>
          <w:lang w:val="en-US" w:eastAsia="zh-CN" w:bidi="ar-SA"/>
        </w:rPr>
      </w:pPr>
      <w:bookmarkStart w:id="51" w:name="_Toc15396613"/>
      <w:bookmarkStart w:id="52" w:name="_Toc15377225"/>
    </w:p>
    <w:p w14:paraId="0BCE4412">
      <w:pPr>
        <w:pageBreakBefore w:val="0"/>
        <w:numPr>
          <w:ilvl w:val="0"/>
          <w:numId w:val="0"/>
        </w:numPr>
        <w:kinsoku/>
        <w:wordWrap/>
        <w:overflowPunct/>
        <w:topLinePunct w:val="0"/>
        <w:bidi w:val="0"/>
        <w:spacing w:line="360" w:lineRule="auto"/>
        <w:jc w:val="center"/>
        <w:outlineLvl w:val="0"/>
        <w:rPr>
          <w:rFonts w:hint="eastAsia" w:ascii="方正小标宋简体" w:hAnsi="方正小标宋简体" w:eastAsia="方正小标宋简体" w:cs="方正小标宋简体"/>
          <w:b w:val="0"/>
          <w:bCs/>
          <w:color w:val="auto"/>
          <w:kern w:val="44"/>
          <w:sz w:val="44"/>
          <w:szCs w:val="44"/>
          <w:highlight w:val="none"/>
          <w:lang w:val="en-US" w:eastAsia="zh-CN" w:bidi="ar-SA"/>
        </w:rPr>
      </w:pPr>
      <w:r>
        <w:rPr>
          <w:rFonts w:hint="eastAsia" w:ascii="方正小标宋简体" w:hAnsi="方正小标宋简体" w:eastAsia="方正小标宋简体" w:cs="方正小标宋简体"/>
          <w:b w:val="0"/>
          <w:bCs/>
          <w:color w:val="auto"/>
          <w:kern w:val="44"/>
          <w:sz w:val="44"/>
          <w:szCs w:val="44"/>
          <w:lang w:val="en-US" w:eastAsia="zh-CN" w:bidi="ar-SA"/>
        </w:rPr>
        <w:t xml:space="preserve">第三部分 </w:t>
      </w:r>
      <w:r>
        <w:rPr>
          <w:rFonts w:hint="eastAsia" w:ascii="方正小标宋简体" w:hAnsi="方正小标宋简体" w:eastAsia="方正小标宋简体" w:cs="方正小标宋简体"/>
          <w:b w:val="0"/>
          <w:bCs/>
          <w:color w:val="auto"/>
          <w:kern w:val="44"/>
          <w:sz w:val="44"/>
          <w:szCs w:val="44"/>
          <w:highlight w:val="none"/>
          <w:lang w:val="en-US" w:eastAsia="zh-CN" w:bidi="ar-SA"/>
        </w:rPr>
        <w:t>名词解释</w:t>
      </w:r>
      <w:bookmarkEnd w:id="51"/>
      <w:bookmarkEnd w:id="52"/>
    </w:p>
    <w:p w14:paraId="19786A50">
      <w:pPr>
        <w:pStyle w:val="28"/>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p>
    <w:p w14:paraId="5D21E03C">
      <w:pPr>
        <w:pStyle w:val="28"/>
        <w:keepNext w:val="0"/>
        <w:keepLines w:val="0"/>
        <w:pageBreakBefore w:val="0"/>
        <w:widowControl w:val="0"/>
        <w:numPr>
          <w:ilvl w:val="0"/>
          <w:numId w:val="0"/>
        </w:numPr>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1.财政拨款收入：指单位从同级财政部门取得的财政预算资金，其中行政运行经费、一般行政管理事务、事业运行经费、社会保障经费、卫生健康支出经费、住房保障支出、其他城乡社区（项目）。</w:t>
      </w:r>
    </w:p>
    <w:p w14:paraId="567C2B31">
      <w:pPr>
        <w:pStyle w:val="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2.公共安全支出（类）司法（款）行政运行（项）：用于机关及参公管理事业单位正常运转的基本支出，包括基本工资、津贴补贴等人员经费以及办公费、印刷费、水电费等日常公用经费。</w:t>
      </w:r>
    </w:p>
    <w:p w14:paraId="7C6EDF90">
      <w:pPr>
        <w:pStyle w:val="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3.公共安全支出（类）司法（款）事业运行（项）：反映事业单位的基本支出，不包括行政单位（包括实行公务员管理的事业单位）后勤服务中心、医务室等附属事业单位。 </w:t>
      </w:r>
    </w:p>
    <w:p w14:paraId="36427CBF">
      <w:pPr>
        <w:pStyle w:val="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4.社会保障和就业（类）行政单位养老支出（款）机关事业单位基本养老保险缴费支出（项）：实施养老保险制度后，部门按规定由单位缴纳的基本养老保险费支出。　　</w:t>
      </w:r>
    </w:p>
    <w:p w14:paraId="4DD0D82A">
      <w:pPr>
        <w:pStyle w:val="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5.社会保障和就业（类）行政单位养老支出（款）机关事业单位职业年金缴费支出（项）：实施养老保险制度后，部门按规定由单位缴纳的职业年金支出。 </w:t>
      </w:r>
    </w:p>
    <w:p w14:paraId="26D0028C">
      <w:pPr>
        <w:pStyle w:val="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6.社会保障和就业（类）行政单位养老支出（款）死亡抚恤（项）：2023年决算数为22.53万元，主要用于：反映用于病故人员家属的一次性抚恤金</w:t>
      </w:r>
    </w:p>
    <w:p w14:paraId="1BB49A09">
      <w:pPr>
        <w:pStyle w:val="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7.社会保障（类）其他社会保障支出（款）其他社会保障支出（项）：机关及参公管理事业单位失业保险和工伤保险缴费支出。 </w:t>
      </w:r>
    </w:p>
    <w:p w14:paraId="47BFE760">
      <w:pPr>
        <w:pStyle w:val="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8.卫生健康（类）行政事业单位医疗（款）行政单位医疗（项）：机关及参公管理事业单位基本医疗保险缴费支出。 </w:t>
      </w:r>
    </w:p>
    <w:p w14:paraId="597EE9FC">
      <w:pPr>
        <w:pStyle w:val="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9.住房保障支出（类）住房改革支出（款）住房公积金（项）：部门按人力资源和社会保障部、财政部规定的基本工资和津贴补贴以及规定比例为职工缴纳的住房公积金支出。</w:t>
      </w:r>
    </w:p>
    <w:p w14:paraId="6DEB6C7D">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10.基本支出：指为保障机构正常运转、完成日常工作任务而发生的人员支出和公用支出。</w:t>
      </w:r>
    </w:p>
    <w:p w14:paraId="5B5AF44F">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 xml:space="preserve">11.项目支出：指在基本支出之外为完成特定行政任务和事业发展目标所发生的支出。 </w:t>
      </w:r>
    </w:p>
    <w:p w14:paraId="5151F5FE">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12.“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D9E47B0">
      <w:pPr>
        <w:pStyle w:val="28"/>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13.机关运行经费：为保障行政单位（含参照公务员法管理的事业单位）运行用于购买货物和服务的各项资金，包括办公及印刷费、邮电费、差旅费、会议费、福利费、日常维修费、办公用房水电费、公务用车运行维护费以及其他费用。</w:t>
      </w:r>
    </w:p>
    <w:p w14:paraId="5180478E">
      <w:pPr>
        <w:spacing w:line="600" w:lineRule="exact"/>
        <w:jc w:val="center"/>
        <w:outlineLvl w:val="0"/>
        <w:rPr>
          <w:rStyle w:val="30"/>
          <w:rFonts w:hint="eastAsia" w:ascii="黑体" w:hAnsi="黑体" w:eastAsia="黑体"/>
          <w:b w:val="0"/>
        </w:rPr>
      </w:pPr>
      <w:r>
        <w:rPr>
          <w:rFonts w:ascii="宋体"/>
          <w:b/>
          <w:sz w:val="44"/>
          <w:szCs w:val="44"/>
        </w:rPr>
        <w:br w:type="page"/>
      </w:r>
      <w:bookmarkStart w:id="53" w:name="_Toc15396614"/>
      <w:r>
        <w:rPr>
          <w:rFonts w:hint="eastAsia" w:ascii="方正小标宋简体" w:hAnsi="方正小标宋简体" w:eastAsia="方正小标宋简体" w:cs="方正小标宋简体"/>
          <w:b w:val="0"/>
          <w:bCs/>
          <w:color w:val="auto"/>
          <w:kern w:val="44"/>
          <w:sz w:val="44"/>
          <w:szCs w:val="44"/>
          <w:highlight w:val="none"/>
          <w:lang w:val="en-US" w:eastAsia="zh-CN" w:bidi="ar-SA"/>
        </w:rPr>
        <w:t>第四部分 附件</w:t>
      </w:r>
      <w:bookmarkEnd w:id="53"/>
    </w:p>
    <w:p w14:paraId="03EC9C2C">
      <w:pPr>
        <w:spacing w:line="600" w:lineRule="exact"/>
        <w:jc w:val="center"/>
        <w:outlineLvl w:val="0"/>
        <w:rPr>
          <w:rStyle w:val="30"/>
          <w:rFonts w:ascii="黑体" w:hAnsi="黑体" w:eastAsia="黑体"/>
          <w:b w:val="0"/>
        </w:rPr>
      </w:pPr>
      <w:r>
        <w:rPr>
          <w:rFonts w:hint="eastAsia" w:ascii="楷体_GB2312" w:hAnsi="楷体_GB2312" w:eastAsia="楷体_GB2312" w:cs="楷体_GB2312"/>
          <w:sz w:val="32"/>
          <w:szCs w:val="32"/>
        </w:rPr>
        <w:t>部门预算项目支出绩效自评表（2023年度）</w:t>
      </w:r>
    </w:p>
    <w:tbl>
      <w:tblPr>
        <w:tblStyle w:val="17"/>
        <w:tblpPr w:leftFromText="180" w:rightFromText="180" w:vertAnchor="text" w:horzAnchor="page" w:tblpX="608" w:tblpY="331"/>
        <w:tblOverlap w:val="never"/>
        <w:tblW w:w="10340" w:type="dxa"/>
        <w:tblInd w:w="0" w:type="dxa"/>
        <w:tblLayout w:type="autofit"/>
        <w:tblCellMar>
          <w:top w:w="0" w:type="dxa"/>
          <w:left w:w="0" w:type="dxa"/>
          <w:bottom w:w="0" w:type="dxa"/>
          <w:right w:w="0" w:type="dxa"/>
        </w:tblCellMar>
      </w:tblPr>
      <w:tblGrid>
        <w:gridCol w:w="1528"/>
        <w:gridCol w:w="597"/>
        <w:gridCol w:w="597"/>
        <w:gridCol w:w="4757"/>
        <w:gridCol w:w="1048"/>
        <w:gridCol w:w="804"/>
        <w:gridCol w:w="1009"/>
      </w:tblGrid>
      <w:tr w14:paraId="3AACA7A9">
        <w:tblPrEx>
          <w:tblCellMar>
            <w:top w:w="0" w:type="dxa"/>
            <w:left w:w="0" w:type="dxa"/>
            <w:bottom w:w="0" w:type="dxa"/>
            <w:right w:w="0" w:type="dxa"/>
          </w:tblCellMar>
        </w:tblPrEx>
        <w:trPr>
          <w:trHeight w:val="579" w:hRule="atLeast"/>
        </w:trPr>
        <w:tc>
          <w:tcPr>
            <w:tcW w:w="10340" w:type="dxa"/>
            <w:gridSpan w:val="7"/>
            <w:tcBorders>
              <w:top w:val="nil"/>
              <w:left w:val="nil"/>
              <w:bottom w:val="nil"/>
              <w:right w:val="nil"/>
            </w:tcBorders>
            <w:noWrap/>
            <w:tcMar>
              <w:top w:w="15" w:type="dxa"/>
              <w:left w:w="15" w:type="dxa"/>
              <w:right w:w="15" w:type="dxa"/>
            </w:tcMar>
            <w:vAlign w:val="center"/>
          </w:tcPr>
          <w:p w14:paraId="35FD66D2">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588CE186">
        <w:tblPrEx>
          <w:tblCellMar>
            <w:top w:w="0" w:type="dxa"/>
            <w:left w:w="0" w:type="dxa"/>
            <w:bottom w:w="0" w:type="dxa"/>
            <w:right w:w="0" w:type="dxa"/>
          </w:tblCellMar>
        </w:tblPrEx>
        <w:trPr>
          <w:trHeight w:val="398" w:hRule="atLeast"/>
        </w:trPr>
        <w:tc>
          <w:tcPr>
            <w:tcW w:w="1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38625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595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7FE18E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法律顾问服务费</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B74CD8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18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7D15D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14:paraId="5340B5EC">
        <w:tblPrEx>
          <w:tblCellMar>
            <w:top w:w="0" w:type="dxa"/>
            <w:left w:w="0" w:type="dxa"/>
            <w:bottom w:w="0" w:type="dxa"/>
            <w:right w:w="0" w:type="dxa"/>
          </w:tblCellMar>
        </w:tblPrEx>
        <w:trPr>
          <w:trHeight w:val="398" w:hRule="atLeast"/>
        </w:trPr>
        <w:tc>
          <w:tcPr>
            <w:tcW w:w="1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15377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5951"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65DF912">
            <w:pPr>
              <w:jc w:val="left"/>
              <w:rPr>
                <w:rFonts w:hint="eastAsia" w:ascii="宋体" w:hAnsi="宋体" w:eastAsia="宋体" w:cs="宋体"/>
                <w:i w:val="0"/>
                <w:color w:val="000000"/>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FDBC80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8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6E2BD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峨边彝族自治县司法局</w:t>
            </w:r>
          </w:p>
        </w:tc>
      </w:tr>
      <w:tr w14:paraId="73ED28EA">
        <w:tblPrEx>
          <w:tblCellMar>
            <w:top w:w="0" w:type="dxa"/>
            <w:left w:w="0" w:type="dxa"/>
            <w:bottom w:w="0" w:type="dxa"/>
            <w:right w:w="0" w:type="dxa"/>
          </w:tblCellMar>
        </w:tblPrEx>
        <w:trPr>
          <w:trHeight w:val="398" w:hRule="atLeast"/>
        </w:trPr>
        <w:tc>
          <w:tcPr>
            <w:tcW w:w="10340"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E22A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385D4EC6">
        <w:tblPrEx>
          <w:tblCellMar>
            <w:top w:w="0" w:type="dxa"/>
            <w:left w:w="0" w:type="dxa"/>
            <w:bottom w:w="0" w:type="dxa"/>
            <w:right w:w="0" w:type="dxa"/>
          </w:tblCellMar>
        </w:tblPrEx>
        <w:trPr>
          <w:trHeight w:val="398" w:hRule="atLeast"/>
        </w:trPr>
        <w:tc>
          <w:tcPr>
            <w:tcW w:w="2125"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5FBCD46D">
            <w:pPr>
              <w:jc w:val="center"/>
              <w:rPr>
                <w:rFonts w:hint="eastAsia" w:ascii="宋体" w:hAnsi="宋体" w:eastAsia="宋体" w:cs="宋体"/>
                <w:i w:val="0"/>
                <w:color w:val="000000"/>
                <w:sz w:val="20"/>
                <w:szCs w:val="20"/>
                <w:u w:val="none"/>
              </w:rPr>
            </w:pPr>
          </w:p>
        </w:tc>
        <w:tc>
          <w:tcPr>
            <w:tcW w:w="535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78A6D9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185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C75EEA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27AD7C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146B8C8A">
        <w:tblPrEx>
          <w:tblCellMar>
            <w:top w:w="0" w:type="dxa"/>
            <w:left w:w="0" w:type="dxa"/>
            <w:bottom w:w="0" w:type="dxa"/>
            <w:right w:w="0" w:type="dxa"/>
          </w:tblCellMar>
        </w:tblPrEx>
        <w:trPr>
          <w:trHeight w:val="398" w:hRule="atLeast"/>
        </w:trPr>
        <w:tc>
          <w:tcPr>
            <w:tcW w:w="21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E704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535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96F90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68.9</w:t>
            </w:r>
          </w:p>
        </w:tc>
        <w:tc>
          <w:tcPr>
            <w:tcW w:w="185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49A10B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68.9</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B328D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0D16A48F">
        <w:tblPrEx>
          <w:tblCellMar>
            <w:top w:w="0" w:type="dxa"/>
            <w:left w:w="0" w:type="dxa"/>
            <w:bottom w:w="0" w:type="dxa"/>
            <w:right w:w="0" w:type="dxa"/>
          </w:tblCellMar>
        </w:tblPrEx>
        <w:trPr>
          <w:trHeight w:val="398" w:hRule="atLeast"/>
        </w:trPr>
        <w:tc>
          <w:tcPr>
            <w:tcW w:w="21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CBCB5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535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4FBEC">
            <w:pPr>
              <w:jc w:val="center"/>
              <w:rPr>
                <w:rFonts w:hint="eastAsia" w:ascii="宋体" w:hAnsi="宋体" w:eastAsia="宋体" w:cs="宋体"/>
                <w:i w:val="0"/>
                <w:color w:val="000000"/>
                <w:sz w:val="20"/>
                <w:szCs w:val="20"/>
                <w:u w:val="none"/>
              </w:rPr>
            </w:pPr>
          </w:p>
        </w:tc>
        <w:tc>
          <w:tcPr>
            <w:tcW w:w="185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7053B3">
            <w:pPr>
              <w:jc w:val="center"/>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A009A46">
            <w:pPr>
              <w:jc w:val="center"/>
              <w:rPr>
                <w:rFonts w:hint="eastAsia" w:ascii="宋体" w:hAnsi="宋体" w:eastAsia="宋体" w:cs="宋体"/>
                <w:i w:val="0"/>
                <w:color w:val="000000"/>
                <w:sz w:val="20"/>
                <w:szCs w:val="20"/>
                <w:u w:val="none"/>
              </w:rPr>
            </w:pPr>
          </w:p>
        </w:tc>
      </w:tr>
      <w:tr w14:paraId="0DFBEF19">
        <w:tblPrEx>
          <w:tblCellMar>
            <w:top w:w="0" w:type="dxa"/>
            <w:left w:w="0" w:type="dxa"/>
            <w:bottom w:w="0" w:type="dxa"/>
            <w:right w:w="0" w:type="dxa"/>
          </w:tblCellMar>
        </w:tblPrEx>
        <w:trPr>
          <w:trHeight w:val="398" w:hRule="atLeast"/>
        </w:trPr>
        <w:tc>
          <w:tcPr>
            <w:tcW w:w="21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48BD8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535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DABF9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68.9</w:t>
            </w:r>
          </w:p>
        </w:tc>
        <w:tc>
          <w:tcPr>
            <w:tcW w:w="185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AEE51F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68.9</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31554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3D192929">
        <w:tblPrEx>
          <w:tblCellMar>
            <w:top w:w="0" w:type="dxa"/>
            <w:left w:w="0" w:type="dxa"/>
            <w:bottom w:w="0" w:type="dxa"/>
            <w:right w:w="0" w:type="dxa"/>
          </w:tblCellMar>
        </w:tblPrEx>
        <w:trPr>
          <w:trHeight w:val="398" w:hRule="atLeast"/>
        </w:trPr>
        <w:tc>
          <w:tcPr>
            <w:tcW w:w="21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3499D1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535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0F8DBB">
            <w:pPr>
              <w:jc w:val="center"/>
              <w:rPr>
                <w:rFonts w:hint="eastAsia" w:ascii="宋体" w:hAnsi="宋体" w:eastAsia="宋体" w:cs="宋体"/>
                <w:i w:val="0"/>
                <w:color w:val="000000"/>
                <w:sz w:val="20"/>
                <w:szCs w:val="20"/>
                <w:u w:val="none"/>
              </w:rPr>
            </w:pPr>
          </w:p>
        </w:tc>
        <w:tc>
          <w:tcPr>
            <w:tcW w:w="185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964727">
            <w:pPr>
              <w:jc w:val="center"/>
              <w:rPr>
                <w:rFonts w:hint="eastAsia" w:ascii="宋体" w:hAnsi="宋体" w:eastAsia="宋体" w:cs="宋体"/>
                <w:i w:val="0"/>
                <w:color w:val="000000"/>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8278BC">
            <w:pPr>
              <w:jc w:val="center"/>
              <w:rPr>
                <w:rFonts w:hint="eastAsia" w:ascii="宋体" w:hAnsi="宋体" w:eastAsia="宋体" w:cs="宋体"/>
                <w:i w:val="0"/>
                <w:color w:val="000000"/>
                <w:sz w:val="20"/>
                <w:szCs w:val="20"/>
                <w:u w:val="none"/>
              </w:rPr>
            </w:pPr>
          </w:p>
        </w:tc>
      </w:tr>
      <w:tr w14:paraId="06319F94">
        <w:tblPrEx>
          <w:tblCellMar>
            <w:top w:w="0" w:type="dxa"/>
            <w:left w:w="0" w:type="dxa"/>
            <w:bottom w:w="0" w:type="dxa"/>
            <w:right w:w="0" w:type="dxa"/>
          </w:tblCellMar>
        </w:tblPrEx>
        <w:trPr>
          <w:trHeight w:val="398" w:hRule="atLeast"/>
        </w:trPr>
        <w:tc>
          <w:tcPr>
            <w:tcW w:w="152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2E3E77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6999"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56B367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18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4A980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059E5CA1">
        <w:tblPrEx>
          <w:tblCellMar>
            <w:top w:w="0" w:type="dxa"/>
            <w:left w:w="0" w:type="dxa"/>
            <w:bottom w:w="0" w:type="dxa"/>
            <w:right w:w="0" w:type="dxa"/>
          </w:tblCellMar>
        </w:tblPrEx>
        <w:trPr>
          <w:trHeight w:val="398" w:hRule="atLeast"/>
        </w:trPr>
        <w:tc>
          <w:tcPr>
            <w:tcW w:w="152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B46181">
            <w:pPr>
              <w:jc w:val="left"/>
              <w:rPr>
                <w:rFonts w:hint="eastAsia" w:ascii="宋体" w:hAnsi="宋体" w:eastAsia="宋体" w:cs="宋体"/>
                <w:i w:val="0"/>
                <w:color w:val="000000"/>
                <w:sz w:val="20"/>
                <w:szCs w:val="20"/>
                <w:u w:val="none"/>
              </w:rPr>
            </w:pPr>
          </w:p>
        </w:tc>
        <w:tc>
          <w:tcPr>
            <w:tcW w:w="6999" w:type="dxa"/>
            <w:gridSpan w:val="4"/>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1CD4CF67">
            <w:pPr>
              <w:jc w:val="left"/>
              <w:rPr>
                <w:rFonts w:hint="eastAsia" w:ascii="宋体" w:hAnsi="宋体" w:eastAsia="宋体" w:cs="宋体"/>
                <w:i w:val="0"/>
                <w:color w:val="000000"/>
                <w:sz w:val="20"/>
                <w:szCs w:val="20"/>
                <w:u w:val="none"/>
              </w:rPr>
            </w:pPr>
          </w:p>
        </w:tc>
        <w:tc>
          <w:tcPr>
            <w:tcW w:w="181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6DC959">
            <w:pPr>
              <w:jc w:val="left"/>
              <w:rPr>
                <w:rFonts w:hint="eastAsia" w:ascii="宋体" w:hAnsi="宋体" w:eastAsia="宋体" w:cs="宋体"/>
                <w:i w:val="0"/>
                <w:color w:val="000000"/>
                <w:sz w:val="20"/>
                <w:szCs w:val="20"/>
                <w:u w:val="none"/>
              </w:rPr>
            </w:pPr>
          </w:p>
        </w:tc>
      </w:tr>
      <w:tr w14:paraId="2A60FECF">
        <w:tblPrEx>
          <w:tblCellMar>
            <w:top w:w="0" w:type="dxa"/>
            <w:left w:w="0" w:type="dxa"/>
            <w:bottom w:w="0" w:type="dxa"/>
            <w:right w:w="0" w:type="dxa"/>
          </w:tblCellMar>
        </w:tblPrEx>
        <w:trPr>
          <w:trHeight w:val="398" w:hRule="atLeast"/>
        </w:trPr>
        <w:tc>
          <w:tcPr>
            <w:tcW w:w="152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E729E1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19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6948F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47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ADC076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0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7EF89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80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0E9BAF">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864FDB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6B908755">
        <w:tblPrEx>
          <w:tblCellMar>
            <w:top w:w="0" w:type="dxa"/>
            <w:left w:w="0" w:type="dxa"/>
            <w:bottom w:w="0" w:type="dxa"/>
            <w:right w:w="0" w:type="dxa"/>
          </w:tblCellMar>
        </w:tblPrEx>
        <w:trPr>
          <w:trHeight w:val="398" w:hRule="atLeast"/>
        </w:trPr>
        <w:tc>
          <w:tcPr>
            <w:tcW w:w="1528"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BC112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194" w:type="dxa"/>
            <w:gridSpan w:val="2"/>
            <w:vMerge w:val="restar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4FB2CE0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475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023EA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7CCB0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951D1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F633F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89623C4">
        <w:tblPrEx>
          <w:tblCellMar>
            <w:top w:w="0" w:type="dxa"/>
            <w:left w:w="0" w:type="dxa"/>
            <w:bottom w:w="0" w:type="dxa"/>
            <w:right w:w="0" w:type="dxa"/>
          </w:tblCellMar>
        </w:tblPrEx>
        <w:trPr>
          <w:trHeight w:val="398" w:hRule="atLeast"/>
        </w:trPr>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9C28A0">
            <w:pPr>
              <w:jc w:val="center"/>
              <w:rPr>
                <w:rFonts w:hint="eastAsia" w:ascii="宋体" w:hAnsi="宋体" w:eastAsia="宋体" w:cs="宋体"/>
                <w:i w:val="0"/>
                <w:color w:val="333333"/>
                <w:sz w:val="20"/>
                <w:szCs w:val="20"/>
                <w:u w:val="none"/>
              </w:rPr>
            </w:pPr>
          </w:p>
        </w:tc>
        <w:tc>
          <w:tcPr>
            <w:tcW w:w="1194"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3A19DEC">
            <w:pPr>
              <w:jc w:val="center"/>
              <w:rPr>
                <w:rFonts w:hint="eastAsia" w:ascii="宋体" w:hAnsi="宋体" w:eastAsia="宋体" w:cs="宋体"/>
                <w:i w:val="0"/>
                <w:color w:val="333333"/>
                <w:sz w:val="20"/>
                <w:szCs w:val="20"/>
                <w:u w:val="none"/>
              </w:rPr>
            </w:pPr>
          </w:p>
        </w:tc>
        <w:tc>
          <w:tcPr>
            <w:tcW w:w="475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2F307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6AE58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9EAE8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5D85F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2159954">
        <w:tblPrEx>
          <w:tblCellMar>
            <w:top w:w="0" w:type="dxa"/>
            <w:left w:w="0" w:type="dxa"/>
            <w:bottom w:w="0" w:type="dxa"/>
            <w:right w:w="0" w:type="dxa"/>
          </w:tblCellMar>
        </w:tblPrEx>
        <w:trPr>
          <w:trHeight w:val="398" w:hRule="atLeast"/>
        </w:trPr>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4DC607">
            <w:pPr>
              <w:jc w:val="center"/>
              <w:rPr>
                <w:rFonts w:hint="eastAsia" w:ascii="宋体" w:hAnsi="宋体" w:eastAsia="宋体" w:cs="宋体"/>
                <w:i w:val="0"/>
                <w:color w:val="333333"/>
                <w:sz w:val="20"/>
                <w:szCs w:val="20"/>
                <w:u w:val="none"/>
              </w:rPr>
            </w:pPr>
          </w:p>
        </w:tc>
        <w:tc>
          <w:tcPr>
            <w:tcW w:w="1194"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BF38C9A">
            <w:pPr>
              <w:jc w:val="center"/>
              <w:rPr>
                <w:rFonts w:hint="eastAsia" w:ascii="宋体" w:hAnsi="宋体" w:eastAsia="宋体" w:cs="宋体"/>
                <w:i w:val="0"/>
                <w:color w:val="333333"/>
                <w:sz w:val="20"/>
                <w:szCs w:val="20"/>
                <w:u w:val="none"/>
              </w:rPr>
            </w:pPr>
          </w:p>
        </w:tc>
        <w:tc>
          <w:tcPr>
            <w:tcW w:w="475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58A0D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482182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CE23B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B1227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892F782">
        <w:tblPrEx>
          <w:tblCellMar>
            <w:top w:w="0" w:type="dxa"/>
            <w:left w:w="0" w:type="dxa"/>
            <w:bottom w:w="0" w:type="dxa"/>
            <w:right w:w="0" w:type="dxa"/>
          </w:tblCellMar>
        </w:tblPrEx>
        <w:trPr>
          <w:trHeight w:val="398" w:hRule="atLeast"/>
        </w:trPr>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00B65A">
            <w:pPr>
              <w:jc w:val="center"/>
              <w:rPr>
                <w:rFonts w:hint="eastAsia" w:ascii="宋体" w:hAnsi="宋体" w:eastAsia="宋体" w:cs="宋体"/>
                <w:i w:val="0"/>
                <w:color w:val="333333"/>
                <w:sz w:val="20"/>
                <w:szCs w:val="20"/>
                <w:u w:val="none"/>
              </w:rPr>
            </w:pPr>
          </w:p>
        </w:tc>
        <w:tc>
          <w:tcPr>
            <w:tcW w:w="1194" w:type="dxa"/>
            <w:gridSpan w:val="2"/>
            <w:vMerge w:val="restar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28CBB9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475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E7894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27935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9A853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32CE6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3F062B6">
        <w:tblPrEx>
          <w:tblCellMar>
            <w:top w:w="0" w:type="dxa"/>
            <w:left w:w="0" w:type="dxa"/>
            <w:bottom w:w="0" w:type="dxa"/>
            <w:right w:w="0" w:type="dxa"/>
          </w:tblCellMar>
        </w:tblPrEx>
        <w:trPr>
          <w:trHeight w:val="398" w:hRule="atLeast"/>
        </w:trPr>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2964CA">
            <w:pPr>
              <w:jc w:val="center"/>
              <w:rPr>
                <w:rFonts w:hint="eastAsia" w:ascii="宋体" w:hAnsi="宋体" w:eastAsia="宋体" w:cs="宋体"/>
                <w:i w:val="0"/>
                <w:color w:val="333333"/>
                <w:sz w:val="20"/>
                <w:szCs w:val="20"/>
                <w:u w:val="none"/>
              </w:rPr>
            </w:pPr>
          </w:p>
        </w:tc>
        <w:tc>
          <w:tcPr>
            <w:tcW w:w="1194"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42EB6C57">
            <w:pPr>
              <w:jc w:val="center"/>
              <w:rPr>
                <w:rFonts w:hint="eastAsia" w:ascii="宋体" w:hAnsi="宋体" w:eastAsia="宋体" w:cs="宋体"/>
                <w:i w:val="0"/>
                <w:color w:val="333333"/>
                <w:sz w:val="20"/>
                <w:szCs w:val="20"/>
                <w:u w:val="none"/>
              </w:rPr>
            </w:pPr>
          </w:p>
        </w:tc>
        <w:tc>
          <w:tcPr>
            <w:tcW w:w="475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5B5D6A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7AB54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6E23E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60149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9968A73">
        <w:tblPrEx>
          <w:tblCellMar>
            <w:top w:w="0" w:type="dxa"/>
            <w:left w:w="0" w:type="dxa"/>
            <w:bottom w:w="0" w:type="dxa"/>
            <w:right w:w="0" w:type="dxa"/>
          </w:tblCellMar>
        </w:tblPrEx>
        <w:trPr>
          <w:trHeight w:val="398" w:hRule="atLeast"/>
        </w:trPr>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12597B">
            <w:pPr>
              <w:jc w:val="center"/>
              <w:rPr>
                <w:rFonts w:hint="eastAsia" w:ascii="宋体" w:hAnsi="宋体" w:eastAsia="宋体" w:cs="宋体"/>
                <w:i w:val="0"/>
                <w:color w:val="333333"/>
                <w:sz w:val="20"/>
                <w:szCs w:val="20"/>
                <w:u w:val="none"/>
              </w:rPr>
            </w:pPr>
          </w:p>
        </w:tc>
        <w:tc>
          <w:tcPr>
            <w:tcW w:w="1194"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1AAA2068">
            <w:pPr>
              <w:jc w:val="center"/>
              <w:rPr>
                <w:rFonts w:hint="eastAsia" w:ascii="宋体" w:hAnsi="宋体" w:eastAsia="宋体" w:cs="宋体"/>
                <w:i w:val="0"/>
                <w:color w:val="333333"/>
                <w:sz w:val="20"/>
                <w:szCs w:val="20"/>
                <w:u w:val="none"/>
              </w:rPr>
            </w:pPr>
          </w:p>
        </w:tc>
        <w:tc>
          <w:tcPr>
            <w:tcW w:w="475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0B9F3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D7717E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9BEA4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02543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568B3DD">
        <w:tblPrEx>
          <w:tblCellMar>
            <w:top w:w="0" w:type="dxa"/>
            <w:left w:w="0" w:type="dxa"/>
            <w:bottom w:w="0" w:type="dxa"/>
            <w:right w:w="0" w:type="dxa"/>
          </w:tblCellMar>
        </w:tblPrEx>
        <w:trPr>
          <w:trHeight w:val="398" w:hRule="atLeast"/>
        </w:trPr>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D7581F">
            <w:pPr>
              <w:jc w:val="center"/>
              <w:rPr>
                <w:rFonts w:hint="eastAsia" w:ascii="宋体" w:hAnsi="宋体" w:eastAsia="宋体" w:cs="宋体"/>
                <w:i w:val="0"/>
                <w:color w:val="333333"/>
                <w:sz w:val="20"/>
                <w:szCs w:val="20"/>
                <w:u w:val="none"/>
              </w:rPr>
            </w:pPr>
          </w:p>
        </w:tc>
        <w:tc>
          <w:tcPr>
            <w:tcW w:w="1194" w:type="dxa"/>
            <w:gridSpan w:val="2"/>
            <w:vMerge w:val="restar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1CD7C44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475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B66C4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929D4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8978A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D6F4F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2C28424">
        <w:tblPrEx>
          <w:tblCellMar>
            <w:top w:w="0" w:type="dxa"/>
            <w:left w:w="0" w:type="dxa"/>
            <w:bottom w:w="0" w:type="dxa"/>
            <w:right w:w="0" w:type="dxa"/>
          </w:tblCellMar>
        </w:tblPrEx>
        <w:trPr>
          <w:trHeight w:val="398" w:hRule="atLeast"/>
        </w:trPr>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1A8501">
            <w:pPr>
              <w:jc w:val="center"/>
              <w:rPr>
                <w:rFonts w:hint="eastAsia" w:ascii="宋体" w:hAnsi="宋体" w:eastAsia="宋体" w:cs="宋体"/>
                <w:i w:val="0"/>
                <w:color w:val="333333"/>
                <w:sz w:val="20"/>
                <w:szCs w:val="20"/>
                <w:u w:val="none"/>
              </w:rPr>
            </w:pPr>
          </w:p>
        </w:tc>
        <w:tc>
          <w:tcPr>
            <w:tcW w:w="1194"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61400A8B">
            <w:pPr>
              <w:jc w:val="center"/>
              <w:rPr>
                <w:rFonts w:hint="eastAsia" w:ascii="宋体" w:hAnsi="宋体" w:eastAsia="宋体" w:cs="宋体"/>
                <w:i w:val="0"/>
                <w:color w:val="333333"/>
                <w:sz w:val="20"/>
                <w:szCs w:val="20"/>
                <w:u w:val="none"/>
              </w:rPr>
            </w:pPr>
          </w:p>
        </w:tc>
        <w:tc>
          <w:tcPr>
            <w:tcW w:w="475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48208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832ED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A805B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AEBD5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81CE655">
        <w:tblPrEx>
          <w:tblCellMar>
            <w:top w:w="0" w:type="dxa"/>
            <w:left w:w="0" w:type="dxa"/>
            <w:bottom w:w="0" w:type="dxa"/>
            <w:right w:w="0" w:type="dxa"/>
          </w:tblCellMar>
        </w:tblPrEx>
        <w:trPr>
          <w:trHeight w:val="398" w:hRule="atLeast"/>
        </w:trPr>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1B2D4B">
            <w:pPr>
              <w:jc w:val="center"/>
              <w:rPr>
                <w:rFonts w:hint="eastAsia" w:ascii="宋体" w:hAnsi="宋体" w:eastAsia="宋体" w:cs="宋体"/>
                <w:i w:val="0"/>
                <w:color w:val="333333"/>
                <w:sz w:val="20"/>
                <w:szCs w:val="20"/>
                <w:u w:val="none"/>
              </w:rPr>
            </w:pPr>
          </w:p>
        </w:tc>
        <w:tc>
          <w:tcPr>
            <w:tcW w:w="1194"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ACF285B">
            <w:pPr>
              <w:jc w:val="center"/>
              <w:rPr>
                <w:rFonts w:hint="eastAsia" w:ascii="宋体" w:hAnsi="宋体" w:eastAsia="宋体" w:cs="宋体"/>
                <w:i w:val="0"/>
                <w:color w:val="333333"/>
                <w:sz w:val="20"/>
                <w:szCs w:val="20"/>
                <w:u w:val="none"/>
              </w:rPr>
            </w:pPr>
          </w:p>
        </w:tc>
        <w:tc>
          <w:tcPr>
            <w:tcW w:w="475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E6836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8A1FB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6EE14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146D4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95D2030">
        <w:tblPrEx>
          <w:tblCellMar>
            <w:top w:w="0" w:type="dxa"/>
            <w:left w:w="0" w:type="dxa"/>
            <w:bottom w:w="0" w:type="dxa"/>
            <w:right w:w="0" w:type="dxa"/>
          </w:tblCellMar>
        </w:tblPrEx>
        <w:trPr>
          <w:trHeight w:val="398" w:hRule="atLeast"/>
        </w:trPr>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80B93A">
            <w:pPr>
              <w:jc w:val="center"/>
              <w:rPr>
                <w:rFonts w:hint="eastAsia" w:ascii="宋体" w:hAnsi="宋体" w:eastAsia="宋体" w:cs="宋体"/>
                <w:i w:val="0"/>
                <w:color w:val="333333"/>
                <w:sz w:val="20"/>
                <w:szCs w:val="20"/>
                <w:u w:val="none"/>
              </w:rPr>
            </w:pPr>
          </w:p>
        </w:tc>
        <w:tc>
          <w:tcPr>
            <w:tcW w:w="1194"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3583C41">
            <w:pPr>
              <w:jc w:val="center"/>
              <w:rPr>
                <w:rFonts w:hint="eastAsia" w:ascii="宋体" w:hAnsi="宋体" w:eastAsia="宋体" w:cs="宋体"/>
                <w:i w:val="0"/>
                <w:color w:val="333333"/>
                <w:sz w:val="20"/>
                <w:szCs w:val="20"/>
                <w:u w:val="none"/>
              </w:rPr>
            </w:pPr>
          </w:p>
        </w:tc>
        <w:tc>
          <w:tcPr>
            <w:tcW w:w="475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876AB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72065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7FA31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DAE53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80A7B65">
        <w:tblPrEx>
          <w:tblCellMar>
            <w:top w:w="0" w:type="dxa"/>
            <w:left w:w="0" w:type="dxa"/>
            <w:bottom w:w="0" w:type="dxa"/>
            <w:right w:w="0" w:type="dxa"/>
          </w:tblCellMar>
        </w:tblPrEx>
        <w:trPr>
          <w:trHeight w:val="398" w:hRule="atLeast"/>
        </w:trPr>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120038">
            <w:pPr>
              <w:jc w:val="center"/>
              <w:rPr>
                <w:rFonts w:hint="eastAsia" w:ascii="宋体" w:hAnsi="宋体" w:eastAsia="宋体" w:cs="宋体"/>
                <w:i w:val="0"/>
                <w:color w:val="333333"/>
                <w:sz w:val="20"/>
                <w:szCs w:val="20"/>
                <w:u w:val="none"/>
              </w:rPr>
            </w:pPr>
          </w:p>
        </w:tc>
        <w:tc>
          <w:tcPr>
            <w:tcW w:w="1194"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F2A47E3">
            <w:pPr>
              <w:jc w:val="center"/>
              <w:rPr>
                <w:rFonts w:hint="eastAsia" w:ascii="宋体" w:hAnsi="宋体" w:eastAsia="宋体" w:cs="宋体"/>
                <w:i w:val="0"/>
                <w:color w:val="333333"/>
                <w:sz w:val="20"/>
                <w:szCs w:val="20"/>
                <w:u w:val="none"/>
              </w:rPr>
            </w:pPr>
          </w:p>
        </w:tc>
        <w:tc>
          <w:tcPr>
            <w:tcW w:w="475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CC077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4CAE9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D7173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65F42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1AC382A">
        <w:tblPrEx>
          <w:tblCellMar>
            <w:top w:w="0" w:type="dxa"/>
            <w:left w:w="0" w:type="dxa"/>
            <w:bottom w:w="0" w:type="dxa"/>
            <w:right w:w="0" w:type="dxa"/>
          </w:tblCellMar>
        </w:tblPrEx>
        <w:trPr>
          <w:trHeight w:val="398" w:hRule="atLeast"/>
        </w:trPr>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184BA7">
            <w:pPr>
              <w:jc w:val="center"/>
              <w:rPr>
                <w:rFonts w:hint="eastAsia" w:ascii="宋体" w:hAnsi="宋体" w:eastAsia="宋体" w:cs="宋体"/>
                <w:i w:val="0"/>
                <w:color w:val="333333"/>
                <w:sz w:val="20"/>
                <w:szCs w:val="20"/>
                <w:u w:val="none"/>
              </w:rPr>
            </w:pPr>
          </w:p>
        </w:tc>
        <w:tc>
          <w:tcPr>
            <w:tcW w:w="1194"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1CBFA11D">
            <w:pPr>
              <w:jc w:val="center"/>
              <w:rPr>
                <w:rFonts w:hint="eastAsia" w:ascii="宋体" w:hAnsi="宋体" w:eastAsia="宋体" w:cs="宋体"/>
                <w:i w:val="0"/>
                <w:color w:val="333333"/>
                <w:sz w:val="20"/>
                <w:szCs w:val="20"/>
                <w:u w:val="none"/>
              </w:rPr>
            </w:pPr>
          </w:p>
        </w:tc>
        <w:tc>
          <w:tcPr>
            <w:tcW w:w="475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99C9C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97CC3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BF588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2D16B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C53D5D8">
        <w:tblPrEx>
          <w:tblCellMar>
            <w:top w:w="0" w:type="dxa"/>
            <w:left w:w="0" w:type="dxa"/>
            <w:bottom w:w="0" w:type="dxa"/>
            <w:right w:w="0" w:type="dxa"/>
          </w:tblCellMar>
        </w:tblPrEx>
        <w:trPr>
          <w:trHeight w:val="398" w:hRule="atLeast"/>
        </w:trPr>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4A5349">
            <w:pPr>
              <w:jc w:val="center"/>
              <w:rPr>
                <w:rFonts w:hint="eastAsia" w:ascii="宋体" w:hAnsi="宋体" w:eastAsia="宋体" w:cs="宋体"/>
                <w:i w:val="0"/>
                <w:color w:val="333333"/>
                <w:sz w:val="20"/>
                <w:szCs w:val="20"/>
                <w:u w:val="none"/>
              </w:rPr>
            </w:pPr>
          </w:p>
        </w:tc>
        <w:tc>
          <w:tcPr>
            <w:tcW w:w="1194"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69B91B63">
            <w:pPr>
              <w:jc w:val="center"/>
              <w:rPr>
                <w:rFonts w:hint="eastAsia" w:ascii="宋体" w:hAnsi="宋体" w:eastAsia="宋体" w:cs="宋体"/>
                <w:i w:val="0"/>
                <w:color w:val="333333"/>
                <w:sz w:val="20"/>
                <w:szCs w:val="20"/>
                <w:u w:val="none"/>
              </w:rPr>
            </w:pPr>
          </w:p>
        </w:tc>
        <w:tc>
          <w:tcPr>
            <w:tcW w:w="475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0BB92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454B3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1D0FE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FD7E2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5138874">
        <w:tblPrEx>
          <w:tblCellMar>
            <w:top w:w="0" w:type="dxa"/>
            <w:left w:w="0" w:type="dxa"/>
            <w:bottom w:w="0" w:type="dxa"/>
            <w:right w:w="0" w:type="dxa"/>
          </w:tblCellMar>
        </w:tblPrEx>
        <w:trPr>
          <w:trHeight w:val="398" w:hRule="atLeast"/>
        </w:trPr>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1BB352">
            <w:pPr>
              <w:jc w:val="center"/>
              <w:rPr>
                <w:rFonts w:hint="eastAsia" w:ascii="宋体" w:hAnsi="宋体" w:eastAsia="宋体" w:cs="宋体"/>
                <w:i w:val="0"/>
                <w:color w:val="333333"/>
                <w:sz w:val="20"/>
                <w:szCs w:val="20"/>
                <w:u w:val="none"/>
              </w:rPr>
            </w:pPr>
          </w:p>
        </w:tc>
        <w:tc>
          <w:tcPr>
            <w:tcW w:w="1194"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F45CA3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475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B46B5C">
            <w:pPr>
              <w:jc w:val="center"/>
              <w:rPr>
                <w:rFonts w:hint="eastAsia" w:ascii="宋体" w:hAnsi="宋体" w:eastAsia="宋体" w:cs="宋体"/>
                <w:i w:val="0"/>
                <w:color w:val="333333"/>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0E12F9">
            <w:pPr>
              <w:jc w:val="center"/>
              <w:rPr>
                <w:rFonts w:hint="eastAsia" w:ascii="宋体" w:hAnsi="宋体" w:eastAsia="宋体" w:cs="宋体"/>
                <w:i w:val="0"/>
                <w:color w:val="333333"/>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9780B41">
            <w:pPr>
              <w:jc w:val="center"/>
              <w:rPr>
                <w:rFonts w:hint="eastAsia" w:ascii="宋体" w:hAnsi="宋体" w:eastAsia="宋体" w:cs="宋体"/>
                <w:i w:val="0"/>
                <w:color w:val="333333"/>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9CE1D7">
            <w:pPr>
              <w:jc w:val="center"/>
              <w:rPr>
                <w:rFonts w:hint="eastAsia" w:ascii="宋体" w:hAnsi="宋体" w:eastAsia="宋体" w:cs="宋体"/>
                <w:i w:val="0"/>
                <w:color w:val="333333"/>
                <w:sz w:val="20"/>
                <w:szCs w:val="20"/>
                <w:u w:val="none"/>
              </w:rPr>
            </w:pPr>
          </w:p>
        </w:tc>
      </w:tr>
      <w:tr w14:paraId="707B6015">
        <w:tblPrEx>
          <w:tblCellMar>
            <w:top w:w="0" w:type="dxa"/>
            <w:left w:w="0" w:type="dxa"/>
            <w:bottom w:w="0" w:type="dxa"/>
            <w:right w:w="0" w:type="dxa"/>
          </w:tblCellMar>
        </w:tblPrEx>
        <w:trPr>
          <w:trHeight w:val="398" w:hRule="atLeast"/>
        </w:trPr>
        <w:tc>
          <w:tcPr>
            <w:tcW w:w="1528"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BF8E3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194"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294661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475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59242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聘请律师数量</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B08B1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34人</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54A406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51B41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73C0684">
        <w:tblPrEx>
          <w:tblCellMar>
            <w:top w:w="0" w:type="dxa"/>
            <w:left w:w="0" w:type="dxa"/>
            <w:bottom w:w="0" w:type="dxa"/>
            <w:right w:w="0" w:type="dxa"/>
          </w:tblCellMar>
        </w:tblPrEx>
        <w:trPr>
          <w:trHeight w:val="398" w:hRule="atLeast"/>
        </w:trPr>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C3562B">
            <w:pPr>
              <w:jc w:val="center"/>
              <w:rPr>
                <w:rFonts w:hint="eastAsia" w:ascii="宋体" w:hAnsi="宋体" w:eastAsia="宋体" w:cs="宋体"/>
                <w:i w:val="0"/>
                <w:color w:val="333333"/>
                <w:sz w:val="20"/>
                <w:szCs w:val="20"/>
                <w:u w:val="none"/>
              </w:rPr>
            </w:pPr>
          </w:p>
        </w:tc>
        <w:tc>
          <w:tcPr>
            <w:tcW w:w="1194"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143166B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475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9A54E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 xml:space="preserve">办理法律事务 </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67FE4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260余件</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E0C9A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B0E491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B437C3C">
        <w:tblPrEx>
          <w:tblCellMar>
            <w:top w:w="0" w:type="dxa"/>
            <w:left w:w="0" w:type="dxa"/>
            <w:bottom w:w="0" w:type="dxa"/>
            <w:right w:w="0" w:type="dxa"/>
          </w:tblCellMar>
        </w:tblPrEx>
        <w:trPr>
          <w:trHeight w:val="588" w:hRule="atLeast"/>
        </w:trPr>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00FB673">
            <w:pPr>
              <w:jc w:val="center"/>
              <w:rPr>
                <w:rFonts w:hint="eastAsia" w:ascii="宋体" w:hAnsi="宋体" w:eastAsia="宋体" w:cs="宋体"/>
                <w:i w:val="0"/>
                <w:color w:val="333333"/>
                <w:sz w:val="20"/>
                <w:szCs w:val="20"/>
                <w:u w:val="none"/>
              </w:rPr>
            </w:pPr>
          </w:p>
        </w:tc>
        <w:tc>
          <w:tcPr>
            <w:tcW w:w="1194"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F1B303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475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DBF48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补贴的发放</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9366D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2023年12月31日前</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507C2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85F9C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F22C5E6">
        <w:tblPrEx>
          <w:tblCellMar>
            <w:top w:w="0" w:type="dxa"/>
            <w:left w:w="0" w:type="dxa"/>
            <w:bottom w:w="0" w:type="dxa"/>
            <w:right w:w="0" w:type="dxa"/>
          </w:tblCellMar>
        </w:tblPrEx>
        <w:trPr>
          <w:trHeight w:val="398" w:hRule="atLeast"/>
        </w:trPr>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9BD826B">
            <w:pPr>
              <w:jc w:val="center"/>
              <w:rPr>
                <w:rFonts w:hint="eastAsia" w:ascii="宋体" w:hAnsi="宋体" w:eastAsia="宋体" w:cs="宋体"/>
                <w:i w:val="0"/>
                <w:color w:val="333333"/>
                <w:sz w:val="20"/>
                <w:szCs w:val="20"/>
                <w:u w:val="none"/>
              </w:rPr>
            </w:pPr>
          </w:p>
        </w:tc>
        <w:tc>
          <w:tcPr>
            <w:tcW w:w="1194"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CCA760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475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66BA8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考核合格，发放服务费用</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5D7DC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68.9</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D5A03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40273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D2C1889">
        <w:tblPrEx>
          <w:tblCellMar>
            <w:top w:w="0" w:type="dxa"/>
            <w:left w:w="0" w:type="dxa"/>
            <w:bottom w:w="0" w:type="dxa"/>
            <w:right w:w="0" w:type="dxa"/>
          </w:tblCellMar>
        </w:tblPrEx>
        <w:trPr>
          <w:trHeight w:val="398" w:hRule="atLeast"/>
        </w:trPr>
        <w:tc>
          <w:tcPr>
            <w:tcW w:w="1528"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5F529E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194"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6CD485C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475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81DB8D">
            <w:pPr>
              <w:jc w:val="center"/>
              <w:rPr>
                <w:rFonts w:hint="eastAsia" w:ascii="宋体" w:hAnsi="宋体" w:eastAsia="宋体" w:cs="宋体"/>
                <w:i w:val="0"/>
                <w:color w:val="333333"/>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1D2F75">
            <w:pPr>
              <w:jc w:val="center"/>
              <w:rPr>
                <w:rFonts w:hint="eastAsia" w:ascii="宋体" w:hAnsi="宋体" w:eastAsia="宋体" w:cs="宋体"/>
                <w:i w:val="0"/>
                <w:color w:val="333333"/>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64EE2A">
            <w:pPr>
              <w:jc w:val="center"/>
              <w:rPr>
                <w:rFonts w:hint="eastAsia" w:ascii="宋体" w:hAnsi="宋体" w:eastAsia="宋体" w:cs="宋体"/>
                <w:i w:val="0"/>
                <w:color w:val="333333"/>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EBC79C">
            <w:pPr>
              <w:jc w:val="center"/>
              <w:rPr>
                <w:rFonts w:hint="eastAsia" w:ascii="宋体" w:hAnsi="宋体" w:eastAsia="宋体" w:cs="宋体"/>
                <w:i w:val="0"/>
                <w:color w:val="333333"/>
                <w:sz w:val="20"/>
                <w:szCs w:val="20"/>
                <w:u w:val="none"/>
              </w:rPr>
            </w:pPr>
          </w:p>
        </w:tc>
      </w:tr>
      <w:tr w14:paraId="74021BB4">
        <w:tblPrEx>
          <w:tblCellMar>
            <w:top w:w="0" w:type="dxa"/>
            <w:left w:w="0" w:type="dxa"/>
            <w:bottom w:w="0" w:type="dxa"/>
            <w:right w:w="0" w:type="dxa"/>
          </w:tblCellMar>
        </w:tblPrEx>
        <w:trPr>
          <w:trHeight w:val="588" w:hRule="atLeast"/>
        </w:trPr>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F099BAB">
            <w:pPr>
              <w:jc w:val="center"/>
              <w:rPr>
                <w:rFonts w:hint="eastAsia" w:ascii="宋体" w:hAnsi="宋体" w:eastAsia="宋体" w:cs="宋体"/>
                <w:i w:val="0"/>
                <w:color w:val="333333"/>
                <w:sz w:val="20"/>
                <w:szCs w:val="20"/>
                <w:u w:val="none"/>
              </w:rPr>
            </w:pPr>
          </w:p>
        </w:tc>
        <w:tc>
          <w:tcPr>
            <w:tcW w:w="1194"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846394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475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1D7238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提高群众法律素养</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D444A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提高群众法律素养</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25659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12F03F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718A923">
        <w:tblPrEx>
          <w:tblCellMar>
            <w:top w:w="0" w:type="dxa"/>
            <w:left w:w="0" w:type="dxa"/>
            <w:bottom w:w="0" w:type="dxa"/>
            <w:right w:w="0" w:type="dxa"/>
          </w:tblCellMar>
        </w:tblPrEx>
        <w:trPr>
          <w:trHeight w:val="398" w:hRule="atLeast"/>
        </w:trPr>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1A9690">
            <w:pPr>
              <w:jc w:val="center"/>
              <w:rPr>
                <w:rFonts w:hint="eastAsia" w:ascii="宋体" w:hAnsi="宋体" w:eastAsia="宋体" w:cs="宋体"/>
                <w:i w:val="0"/>
                <w:color w:val="333333"/>
                <w:sz w:val="20"/>
                <w:szCs w:val="20"/>
                <w:u w:val="none"/>
              </w:rPr>
            </w:pPr>
          </w:p>
        </w:tc>
        <w:tc>
          <w:tcPr>
            <w:tcW w:w="1194"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BA1BFD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生态效益指标</w:t>
            </w:r>
          </w:p>
        </w:tc>
        <w:tc>
          <w:tcPr>
            <w:tcW w:w="475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7D7CFA6">
            <w:pPr>
              <w:jc w:val="center"/>
              <w:rPr>
                <w:rFonts w:hint="eastAsia" w:ascii="宋体" w:hAnsi="宋体" w:eastAsia="宋体" w:cs="宋体"/>
                <w:i w:val="0"/>
                <w:color w:val="333333"/>
                <w:sz w:val="20"/>
                <w:szCs w:val="20"/>
                <w:u w:val="none"/>
              </w:rPr>
            </w:pP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A54EC9">
            <w:pPr>
              <w:jc w:val="center"/>
              <w:rPr>
                <w:rFonts w:hint="eastAsia" w:ascii="宋体" w:hAnsi="宋体" w:eastAsia="宋体" w:cs="宋体"/>
                <w:i w:val="0"/>
                <w:color w:val="333333"/>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6225FE">
            <w:pPr>
              <w:jc w:val="center"/>
              <w:rPr>
                <w:rFonts w:hint="eastAsia" w:ascii="宋体" w:hAnsi="宋体" w:eastAsia="宋体" w:cs="宋体"/>
                <w:i w:val="0"/>
                <w:color w:val="333333"/>
                <w:sz w:val="20"/>
                <w:szCs w:val="20"/>
                <w:u w:val="none"/>
              </w:rPr>
            </w:pP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8589E4">
            <w:pPr>
              <w:jc w:val="center"/>
              <w:rPr>
                <w:rFonts w:hint="eastAsia" w:ascii="宋体" w:hAnsi="宋体" w:eastAsia="宋体" w:cs="宋体"/>
                <w:i w:val="0"/>
                <w:color w:val="333333"/>
                <w:sz w:val="20"/>
                <w:szCs w:val="20"/>
                <w:u w:val="none"/>
              </w:rPr>
            </w:pPr>
          </w:p>
        </w:tc>
      </w:tr>
      <w:tr w14:paraId="611AE2EF">
        <w:tblPrEx>
          <w:tblCellMar>
            <w:top w:w="0" w:type="dxa"/>
            <w:left w:w="0" w:type="dxa"/>
            <w:bottom w:w="0" w:type="dxa"/>
            <w:right w:w="0" w:type="dxa"/>
          </w:tblCellMar>
        </w:tblPrEx>
        <w:trPr>
          <w:trHeight w:val="605" w:hRule="atLeast"/>
        </w:trPr>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567B60">
            <w:pPr>
              <w:jc w:val="center"/>
              <w:rPr>
                <w:rFonts w:hint="eastAsia" w:ascii="宋体" w:hAnsi="宋体" w:eastAsia="宋体" w:cs="宋体"/>
                <w:i w:val="0"/>
                <w:color w:val="333333"/>
                <w:sz w:val="20"/>
                <w:szCs w:val="20"/>
                <w:u w:val="none"/>
              </w:rPr>
            </w:pPr>
          </w:p>
        </w:tc>
        <w:tc>
          <w:tcPr>
            <w:tcW w:w="1194"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4B107B1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475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58E3D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 xml:space="preserve"> 提高人民群众的法律意识</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74C9A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 xml:space="preserve">提高人民群众的法律意识 </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32A70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9065B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FE76354">
        <w:tblPrEx>
          <w:tblCellMar>
            <w:top w:w="0" w:type="dxa"/>
            <w:left w:w="0" w:type="dxa"/>
            <w:bottom w:w="0" w:type="dxa"/>
            <w:right w:w="0" w:type="dxa"/>
          </w:tblCellMar>
        </w:tblPrEx>
        <w:trPr>
          <w:trHeight w:val="608" w:hRule="atLeast"/>
        </w:trPr>
        <w:tc>
          <w:tcPr>
            <w:tcW w:w="152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17829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194"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70CA64E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475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C9DCC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调查评估</w:t>
            </w:r>
          </w:p>
        </w:tc>
        <w:tc>
          <w:tcPr>
            <w:tcW w:w="104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28104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群众满意度达≧95</w:t>
            </w:r>
          </w:p>
        </w:tc>
        <w:tc>
          <w:tcPr>
            <w:tcW w:w="80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92A993">
            <w:pPr>
              <w:keepNext w:val="0"/>
              <w:keepLines w:val="0"/>
              <w:widowControl/>
              <w:suppressLineNumbers w:val="0"/>
              <w:jc w:val="center"/>
              <w:textAlignment w:val="center"/>
              <w:rPr>
                <w:rFonts w:ascii="宋体" w:hAnsi="宋体" w:eastAsia="宋体" w:cs="宋体"/>
                <w:i w:val="0"/>
                <w:color w:val="333333"/>
                <w:sz w:val="20"/>
                <w:szCs w:val="20"/>
                <w:u w:val="none"/>
              </w:rPr>
            </w:pPr>
            <w:r>
              <w:rPr>
                <w:rFonts w:ascii="宋体" w:hAnsi="宋体" w:eastAsia="宋体" w:cs="宋体"/>
                <w:i w:val="0"/>
                <w:color w:val="333333"/>
                <w:kern w:val="0"/>
                <w:sz w:val="20"/>
                <w:szCs w:val="20"/>
                <w:u w:val="none"/>
                <w:lang w:val="en-US" w:eastAsia="zh-CN" w:bidi="ar"/>
              </w:rPr>
              <w:t>95%</w:t>
            </w:r>
          </w:p>
        </w:tc>
        <w:tc>
          <w:tcPr>
            <w:tcW w:w="10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C26F32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95%</w:t>
            </w:r>
          </w:p>
        </w:tc>
      </w:tr>
    </w:tbl>
    <w:p w14:paraId="59DA2F5C">
      <w:pPr>
        <w:pStyle w:val="9"/>
        <w:spacing w:before="93"/>
        <w:rPr>
          <w:rFonts w:hAnsi="Calibri" w:cs="仿宋"/>
          <w:sz w:val="32"/>
          <w:szCs w:val="32"/>
        </w:rPr>
      </w:pPr>
      <w:bookmarkStart w:id="54" w:name="_Toc15396618"/>
    </w:p>
    <w:p w14:paraId="0813B52C">
      <w:pPr>
        <w:rPr>
          <w:rFonts w:hAnsi="Calibri" w:cs="仿宋"/>
          <w:sz w:val="32"/>
          <w:szCs w:val="32"/>
        </w:rPr>
      </w:pPr>
    </w:p>
    <w:p w14:paraId="0085A86C">
      <w:pPr>
        <w:pStyle w:val="2"/>
        <w:rPr>
          <w:rFonts w:hAnsi="Calibri" w:cs="仿宋"/>
          <w:sz w:val="32"/>
          <w:szCs w:val="32"/>
        </w:rPr>
      </w:pPr>
    </w:p>
    <w:p w14:paraId="3F6442FE">
      <w:pPr>
        <w:pStyle w:val="3"/>
        <w:rPr>
          <w:rFonts w:hAnsi="Calibri" w:cs="仿宋"/>
          <w:sz w:val="32"/>
          <w:szCs w:val="32"/>
        </w:rPr>
      </w:pPr>
    </w:p>
    <w:p w14:paraId="14050C22">
      <w:pPr>
        <w:rPr>
          <w:rFonts w:hAnsi="Calibri" w:cs="仿宋"/>
          <w:sz w:val="32"/>
          <w:szCs w:val="32"/>
        </w:rPr>
      </w:pPr>
    </w:p>
    <w:p w14:paraId="59673B6A">
      <w:pPr>
        <w:pStyle w:val="2"/>
        <w:rPr>
          <w:rFonts w:hAnsi="Calibri" w:cs="仿宋"/>
          <w:sz w:val="32"/>
          <w:szCs w:val="32"/>
        </w:rPr>
      </w:pPr>
    </w:p>
    <w:p w14:paraId="5C1075EE">
      <w:pPr>
        <w:pStyle w:val="3"/>
        <w:rPr>
          <w:rFonts w:hAnsi="Calibri" w:cs="仿宋"/>
          <w:sz w:val="32"/>
          <w:szCs w:val="32"/>
        </w:rPr>
      </w:pPr>
    </w:p>
    <w:p w14:paraId="7C1FA239">
      <w:pPr>
        <w:rPr>
          <w:rFonts w:hAnsi="Calibri" w:cs="仿宋"/>
          <w:sz w:val="32"/>
          <w:szCs w:val="32"/>
        </w:rPr>
      </w:pPr>
    </w:p>
    <w:p w14:paraId="7C81997F">
      <w:pPr>
        <w:pStyle w:val="2"/>
        <w:rPr>
          <w:rFonts w:hAnsi="Calibri" w:cs="仿宋"/>
          <w:sz w:val="32"/>
          <w:szCs w:val="32"/>
        </w:rPr>
      </w:pPr>
    </w:p>
    <w:p w14:paraId="50E0C79A">
      <w:pPr>
        <w:pStyle w:val="3"/>
        <w:rPr>
          <w:rFonts w:hAnsi="Calibri" w:cs="仿宋"/>
          <w:sz w:val="32"/>
          <w:szCs w:val="32"/>
        </w:rPr>
      </w:pPr>
    </w:p>
    <w:tbl>
      <w:tblPr>
        <w:tblStyle w:val="17"/>
        <w:tblpPr w:leftFromText="180" w:rightFromText="180" w:vertAnchor="text" w:horzAnchor="page" w:tblpX="1208" w:tblpY="708"/>
        <w:tblOverlap w:val="never"/>
        <w:tblW w:w="9737" w:type="dxa"/>
        <w:tblInd w:w="0" w:type="dxa"/>
        <w:tblLayout w:type="fixed"/>
        <w:tblCellMar>
          <w:top w:w="0" w:type="dxa"/>
          <w:left w:w="0" w:type="dxa"/>
          <w:bottom w:w="0" w:type="dxa"/>
          <w:right w:w="0" w:type="dxa"/>
        </w:tblCellMar>
      </w:tblPr>
      <w:tblGrid>
        <w:gridCol w:w="1256"/>
        <w:gridCol w:w="685"/>
        <w:gridCol w:w="767"/>
        <w:gridCol w:w="3061"/>
        <w:gridCol w:w="1901"/>
        <w:gridCol w:w="934"/>
        <w:gridCol w:w="1133"/>
      </w:tblGrid>
      <w:tr w14:paraId="174DDA58">
        <w:tblPrEx>
          <w:tblCellMar>
            <w:top w:w="0" w:type="dxa"/>
            <w:left w:w="0" w:type="dxa"/>
            <w:bottom w:w="0" w:type="dxa"/>
            <w:right w:w="0" w:type="dxa"/>
          </w:tblCellMar>
        </w:tblPrEx>
        <w:trPr>
          <w:trHeight w:val="434" w:hRule="atLeast"/>
        </w:trPr>
        <w:tc>
          <w:tcPr>
            <w:tcW w:w="9737" w:type="dxa"/>
            <w:gridSpan w:val="7"/>
            <w:tcBorders>
              <w:top w:val="nil"/>
              <w:left w:val="nil"/>
              <w:bottom w:val="nil"/>
              <w:right w:val="nil"/>
            </w:tcBorders>
            <w:noWrap/>
            <w:tcMar>
              <w:top w:w="15" w:type="dxa"/>
              <w:left w:w="15" w:type="dxa"/>
              <w:right w:w="15" w:type="dxa"/>
            </w:tcMar>
            <w:vAlign w:val="center"/>
          </w:tcPr>
          <w:p w14:paraId="4D5C182D">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6CE43415">
        <w:tblPrEx>
          <w:tblCellMar>
            <w:top w:w="0" w:type="dxa"/>
            <w:left w:w="0" w:type="dxa"/>
            <w:bottom w:w="0" w:type="dxa"/>
            <w:right w:w="0" w:type="dxa"/>
          </w:tblCellMar>
        </w:tblPrEx>
        <w:trPr>
          <w:trHeight w:val="90" w:hRule="atLeast"/>
        </w:trPr>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0C05C3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451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EFEDE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法制宣传及司法专项经费</w:t>
            </w:r>
          </w:p>
        </w:tc>
        <w:tc>
          <w:tcPr>
            <w:tcW w:w="1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B9BBC60">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20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BD84EE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14:paraId="424127E6">
        <w:tblPrEx>
          <w:tblCellMar>
            <w:top w:w="0" w:type="dxa"/>
            <w:left w:w="0" w:type="dxa"/>
            <w:bottom w:w="0" w:type="dxa"/>
            <w:right w:w="0" w:type="dxa"/>
          </w:tblCellMar>
        </w:tblPrEx>
        <w:trPr>
          <w:trHeight w:val="90" w:hRule="atLeast"/>
        </w:trPr>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2A0587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451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1A3CA3">
            <w:pPr>
              <w:jc w:val="left"/>
              <w:rPr>
                <w:rFonts w:hint="eastAsia" w:ascii="宋体" w:hAnsi="宋体" w:eastAsia="宋体" w:cs="宋体"/>
                <w:i w:val="0"/>
                <w:color w:val="000000"/>
                <w:sz w:val="20"/>
                <w:szCs w:val="20"/>
                <w:u w:val="none"/>
              </w:rPr>
            </w:pPr>
          </w:p>
        </w:tc>
        <w:tc>
          <w:tcPr>
            <w:tcW w:w="1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20ACA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0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C51A60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峨边彝族自治县司法局</w:t>
            </w:r>
          </w:p>
        </w:tc>
      </w:tr>
      <w:tr w14:paraId="2AA62F82">
        <w:tblPrEx>
          <w:tblCellMar>
            <w:top w:w="0" w:type="dxa"/>
            <w:left w:w="0" w:type="dxa"/>
            <w:bottom w:w="0" w:type="dxa"/>
            <w:right w:w="0" w:type="dxa"/>
          </w:tblCellMar>
        </w:tblPrEx>
        <w:trPr>
          <w:trHeight w:val="90" w:hRule="atLeast"/>
        </w:trPr>
        <w:tc>
          <w:tcPr>
            <w:tcW w:w="9737"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78845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227D034B">
        <w:tblPrEx>
          <w:tblCellMar>
            <w:top w:w="0" w:type="dxa"/>
            <w:left w:w="0" w:type="dxa"/>
            <w:bottom w:w="0" w:type="dxa"/>
            <w:right w:w="0" w:type="dxa"/>
          </w:tblCellMar>
        </w:tblPrEx>
        <w:trPr>
          <w:trHeight w:val="90" w:hRule="atLeast"/>
        </w:trPr>
        <w:tc>
          <w:tcPr>
            <w:tcW w:w="1941"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4B5264E3">
            <w:pPr>
              <w:jc w:val="center"/>
              <w:rPr>
                <w:rFonts w:hint="eastAsia" w:ascii="宋体" w:hAnsi="宋体" w:eastAsia="宋体" w:cs="宋体"/>
                <w:i w:val="0"/>
                <w:color w:val="000000"/>
                <w:sz w:val="20"/>
                <w:szCs w:val="20"/>
                <w:u w:val="none"/>
              </w:rPr>
            </w:pPr>
          </w:p>
        </w:tc>
        <w:tc>
          <w:tcPr>
            <w:tcW w:w="382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D4E2A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8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7196D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7AE329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3FD1A350">
        <w:tblPrEx>
          <w:tblCellMar>
            <w:top w:w="0" w:type="dxa"/>
            <w:left w:w="0" w:type="dxa"/>
            <w:bottom w:w="0" w:type="dxa"/>
            <w:right w:w="0" w:type="dxa"/>
          </w:tblCellMar>
        </w:tblPrEx>
        <w:trPr>
          <w:trHeight w:val="90" w:hRule="atLeast"/>
        </w:trPr>
        <w:tc>
          <w:tcPr>
            <w:tcW w:w="19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5888D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382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92A6D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26.97</w:t>
            </w:r>
          </w:p>
        </w:tc>
        <w:tc>
          <w:tcPr>
            <w:tcW w:w="28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610DBE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26.97</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5E9FA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22E3B867">
        <w:tblPrEx>
          <w:tblCellMar>
            <w:top w:w="0" w:type="dxa"/>
            <w:left w:w="0" w:type="dxa"/>
            <w:bottom w:w="0" w:type="dxa"/>
            <w:right w:w="0" w:type="dxa"/>
          </w:tblCellMar>
        </w:tblPrEx>
        <w:trPr>
          <w:trHeight w:val="90" w:hRule="atLeast"/>
        </w:trPr>
        <w:tc>
          <w:tcPr>
            <w:tcW w:w="19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FA496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382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D24BDD9">
            <w:pPr>
              <w:jc w:val="center"/>
              <w:rPr>
                <w:rFonts w:hint="eastAsia" w:ascii="宋体" w:hAnsi="宋体" w:eastAsia="宋体" w:cs="宋体"/>
                <w:i w:val="0"/>
                <w:color w:val="000000"/>
                <w:sz w:val="20"/>
                <w:szCs w:val="20"/>
                <w:u w:val="none"/>
              </w:rPr>
            </w:pPr>
          </w:p>
        </w:tc>
        <w:tc>
          <w:tcPr>
            <w:tcW w:w="28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7EACCC">
            <w:pPr>
              <w:jc w:val="center"/>
              <w:rPr>
                <w:rFonts w:hint="eastAsia" w:ascii="宋体" w:hAnsi="宋体" w:eastAsia="宋体" w:cs="宋体"/>
                <w:i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40B4E8F">
            <w:pPr>
              <w:jc w:val="center"/>
              <w:rPr>
                <w:rFonts w:hint="eastAsia" w:ascii="宋体" w:hAnsi="宋体" w:eastAsia="宋体" w:cs="宋体"/>
                <w:i w:val="0"/>
                <w:color w:val="000000"/>
                <w:sz w:val="20"/>
                <w:szCs w:val="20"/>
                <w:u w:val="none"/>
              </w:rPr>
            </w:pPr>
          </w:p>
        </w:tc>
      </w:tr>
      <w:tr w14:paraId="68FAF01C">
        <w:tblPrEx>
          <w:tblCellMar>
            <w:top w:w="0" w:type="dxa"/>
            <w:left w:w="0" w:type="dxa"/>
            <w:bottom w:w="0" w:type="dxa"/>
            <w:right w:w="0" w:type="dxa"/>
          </w:tblCellMar>
        </w:tblPrEx>
        <w:trPr>
          <w:trHeight w:val="90" w:hRule="atLeast"/>
        </w:trPr>
        <w:tc>
          <w:tcPr>
            <w:tcW w:w="19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E0F5D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382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6658EF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26.97</w:t>
            </w:r>
          </w:p>
        </w:tc>
        <w:tc>
          <w:tcPr>
            <w:tcW w:w="28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415495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26.97</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0EB3E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395D891D">
        <w:tblPrEx>
          <w:tblCellMar>
            <w:top w:w="0" w:type="dxa"/>
            <w:left w:w="0" w:type="dxa"/>
            <w:bottom w:w="0" w:type="dxa"/>
            <w:right w:w="0" w:type="dxa"/>
          </w:tblCellMar>
        </w:tblPrEx>
        <w:trPr>
          <w:trHeight w:val="90" w:hRule="atLeast"/>
        </w:trPr>
        <w:tc>
          <w:tcPr>
            <w:tcW w:w="19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5A7F4C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382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2A85E7E">
            <w:pPr>
              <w:jc w:val="center"/>
              <w:rPr>
                <w:rFonts w:hint="eastAsia" w:ascii="宋体" w:hAnsi="宋体" w:eastAsia="宋体" w:cs="宋体"/>
                <w:i w:val="0"/>
                <w:color w:val="000000"/>
                <w:sz w:val="20"/>
                <w:szCs w:val="20"/>
                <w:u w:val="none"/>
              </w:rPr>
            </w:pPr>
          </w:p>
        </w:tc>
        <w:tc>
          <w:tcPr>
            <w:tcW w:w="28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6D9CDD">
            <w:pPr>
              <w:jc w:val="center"/>
              <w:rPr>
                <w:rFonts w:hint="eastAsia" w:ascii="宋体" w:hAnsi="宋体" w:eastAsia="宋体" w:cs="宋体"/>
                <w:i w:val="0"/>
                <w:color w:val="000000"/>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EAFBF0F">
            <w:pPr>
              <w:jc w:val="center"/>
              <w:rPr>
                <w:rFonts w:hint="eastAsia" w:ascii="宋体" w:hAnsi="宋体" w:eastAsia="宋体" w:cs="宋体"/>
                <w:i w:val="0"/>
                <w:color w:val="000000"/>
                <w:sz w:val="20"/>
                <w:szCs w:val="20"/>
                <w:u w:val="none"/>
              </w:rPr>
            </w:pPr>
          </w:p>
        </w:tc>
      </w:tr>
      <w:tr w14:paraId="1A40A8A4">
        <w:tblPrEx>
          <w:tblCellMar>
            <w:top w:w="0" w:type="dxa"/>
            <w:left w:w="0" w:type="dxa"/>
            <w:bottom w:w="0" w:type="dxa"/>
            <w:right w:w="0" w:type="dxa"/>
          </w:tblCellMar>
        </w:tblPrEx>
        <w:trPr>
          <w:trHeight w:val="90" w:hRule="atLeast"/>
        </w:trPr>
        <w:tc>
          <w:tcPr>
            <w:tcW w:w="1256"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9596BF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6414"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1A28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20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C5F968">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502239F3">
        <w:tblPrEx>
          <w:tblCellMar>
            <w:top w:w="0" w:type="dxa"/>
            <w:left w:w="0" w:type="dxa"/>
            <w:bottom w:w="0" w:type="dxa"/>
            <w:right w:w="0" w:type="dxa"/>
          </w:tblCellMar>
        </w:tblPrEx>
        <w:trPr>
          <w:trHeight w:val="90" w:hRule="atLeast"/>
        </w:trPr>
        <w:tc>
          <w:tcPr>
            <w:tcW w:w="1256"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0697DF2">
            <w:pPr>
              <w:jc w:val="left"/>
              <w:rPr>
                <w:rFonts w:hint="eastAsia" w:ascii="宋体" w:hAnsi="宋体" w:eastAsia="宋体" w:cs="宋体"/>
                <w:i w:val="0"/>
                <w:color w:val="000000"/>
                <w:sz w:val="20"/>
                <w:szCs w:val="20"/>
                <w:u w:val="none"/>
              </w:rPr>
            </w:pPr>
          </w:p>
        </w:tc>
        <w:tc>
          <w:tcPr>
            <w:tcW w:w="6414" w:type="dxa"/>
            <w:gridSpan w:val="4"/>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5AA39D1F">
            <w:pPr>
              <w:jc w:val="left"/>
              <w:rPr>
                <w:rFonts w:hint="eastAsia" w:ascii="宋体" w:hAnsi="宋体" w:eastAsia="宋体" w:cs="宋体"/>
                <w:i w:val="0"/>
                <w:color w:val="000000"/>
                <w:sz w:val="20"/>
                <w:szCs w:val="20"/>
                <w:u w:val="none"/>
              </w:rPr>
            </w:pPr>
          </w:p>
        </w:tc>
        <w:tc>
          <w:tcPr>
            <w:tcW w:w="20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FC107B1">
            <w:pPr>
              <w:jc w:val="left"/>
              <w:rPr>
                <w:rFonts w:hint="eastAsia" w:ascii="宋体" w:hAnsi="宋体" w:eastAsia="宋体" w:cs="宋体"/>
                <w:i w:val="0"/>
                <w:color w:val="000000"/>
                <w:sz w:val="20"/>
                <w:szCs w:val="20"/>
                <w:u w:val="none"/>
              </w:rPr>
            </w:pPr>
          </w:p>
        </w:tc>
      </w:tr>
      <w:tr w14:paraId="58FDDDF0">
        <w:tblPrEx>
          <w:tblCellMar>
            <w:top w:w="0" w:type="dxa"/>
            <w:left w:w="0" w:type="dxa"/>
            <w:bottom w:w="0" w:type="dxa"/>
            <w:right w:w="0" w:type="dxa"/>
          </w:tblCellMar>
        </w:tblPrEx>
        <w:trPr>
          <w:trHeight w:val="90" w:hRule="atLeast"/>
        </w:trPr>
        <w:tc>
          <w:tcPr>
            <w:tcW w:w="125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BF500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5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EF91EF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0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B2791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90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116D87">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93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E4177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1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7E7010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4B9E8906">
        <w:tblPrEx>
          <w:tblCellMar>
            <w:top w:w="0" w:type="dxa"/>
            <w:left w:w="0" w:type="dxa"/>
            <w:bottom w:w="0" w:type="dxa"/>
            <w:right w:w="0" w:type="dxa"/>
          </w:tblCellMar>
        </w:tblPrEx>
        <w:trPr>
          <w:trHeight w:val="90" w:hRule="atLeast"/>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35900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452" w:type="dxa"/>
            <w:gridSpan w:val="2"/>
            <w:vMerge w:val="restar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CE8E40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3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1B7D9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9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E29FC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21F0B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AF9D8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0A02E88">
        <w:tblPrEx>
          <w:tblCellMar>
            <w:top w:w="0" w:type="dxa"/>
            <w:left w:w="0" w:type="dxa"/>
            <w:bottom w:w="0" w:type="dxa"/>
            <w:right w:w="0" w:type="dxa"/>
          </w:tblCellMar>
        </w:tblPrEx>
        <w:trPr>
          <w:trHeight w:val="9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2F8738">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35063E0">
            <w:pPr>
              <w:jc w:val="center"/>
              <w:rPr>
                <w:rFonts w:hint="eastAsia" w:ascii="宋体" w:hAnsi="宋体" w:eastAsia="宋体" w:cs="宋体"/>
                <w:i w:val="0"/>
                <w:color w:val="333333"/>
                <w:sz w:val="20"/>
                <w:szCs w:val="20"/>
                <w:u w:val="none"/>
              </w:rPr>
            </w:pPr>
          </w:p>
        </w:tc>
        <w:tc>
          <w:tcPr>
            <w:tcW w:w="3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2C809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9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2F44F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4FBA3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B543E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E3C1B90">
        <w:tblPrEx>
          <w:tblCellMar>
            <w:top w:w="0" w:type="dxa"/>
            <w:left w:w="0" w:type="dxa"/>
            <w:bottom w:w="0" w:type="dxa"/>
            <w:right w:w="0" w:type="dxa"/>
          </w:tblCellMar>
        </w:tblPrEx>
        <w:trPr>
          <w:trHeight w:val="9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32D4F80">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53BA556">
            <w:pPr>
              <w:jc w:val="center"/>
              <w:rPr>
                <w:rFonts w:hint="eastAsia" w:ascii="宋体" w:hAnsi="宋体" w:eastAsia="宋体" w:cs="宋体"/>
                <w:i w:val="0"/>
                <w:color w:val="333333"/>
                <w:sz w:val="20"/>
                <w:szCs w:val="20"/>
                <w:u w:val="none"/>
              </w:rPr>
            </w:pPr>
          </w:p>
        </w:tc>
        <w:tc>
          <w:tcPr>
            <w:tcW w:w="3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564330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9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2FF03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9E1BB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4384F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C812D26">
        <w:tblPrEx>
          <w:tblCellMar>
            <w:top w:w="0" w:type="dxa"/>
            <w:left w:w="0" w:type="dxa"/>
            <w:bottom w:w="0" w:type="dxa"/>
            <w:right w:w="0" w:type="dxa"/>
          </w:tblCellMar>
        </w:tblPrEx>
        <w:trPr>
          <w:trHeight w:val="9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00BCEE">
            <w:pPr>
              <w:jc w:val="center"/>
              <w:rPr>
                <w:rFonts w:hint="eastAsia" w:ascii="宋体" w:hAnsi="宋体" w:eastAsia="宋体" w:cs="宋体"/>
                <w:i w:val="0"/>
                <w:color w:val="333333"/>
                <w:sz w:val="20"/>
                <w:szCs w:val="20"/>
                <w:u w:val="none"/>
              </w:rPr>
            </w:pPr>
          </w:p>
        </w:tc>
        <w:tc>
          <w:tcPr>
            <w:tcW w:w="1452" w:type="dxa"/>
            <w:gridSpan w:val="2"/>
            <w:vMerge w:val="restar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6F9587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3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85BEB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9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BFB54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6D71D7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0F54D5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6D7E566">
        <w:tblPrEx>
          <w:tblCellMar>
            <w:top w:w="0" w:type="dxa"/>
            <w:left w:w="0" w:type="dxa"/>
            <w:bottom w:w="0" w:type="dxa"/>
            <w:right w:w="0" w:type="dxa"/>
          </w:tblCellMar>
        </w:tblPrEx>
        <w:trPr>
          <w:trHeight w:val="9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ADFD78">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48A99A74">
            <w:pPr>
              <w:jc w:val="center"/>
              <w:rPr>
                <w:rFonts w:hint="eastAsia" w:ascii="宋体" w:hAnsi="宋体" w:eastAsia="宋体" w:cs="宋体"/>
                <w:i w:val="0"/>
                <w:color w:val="333333"/>
                <w:sz w:val="20"/>
                <w:szCs w:val="20"/>
                <w:u w:val="none"/>
              </w:rPr>
            </w:pPr>
          </w:p>
        </w:tc>
        <w:tc>
          <w:tcPr>
            <w:tcW w:w="3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66A124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9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EEB69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010D0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10722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7444BA0">
        <w:tblPrEx>
          <w:tblCellMar>
            <w:top w:w="0" w:type="dxa"/>
            <w:left w:w="0" w:type="dxa"/>
            <w:bottom w:w="0" w:type="dxa"/>
            <w:right w:w="0" w:type="dxa"/>
          </w:tblCellMar>
        </w:tblPrEx>
        <w:trPr>
          <w:trHeight w:val="9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510542">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AEADCD1">
            <w:pPr>
              <w:jc w:val="center"/>
              <w:rPr>
                <w:rFonts w:hint="eastAsia" w:ascii="宋体" w:hAnsi="宋体" w:eastAsia="宋体" w:cs="宋体"/>
                <w:i w:val="0"/>
                <w:color w:val="333333"/>
                <w:sz w:val="20"/>
                <w:szCs w:val="20"/>
                <w:u w:val="none"/>
              </w:rPr>
            </w:pPr>
          </w:p>
        </w:tc>
        <w:tc>
          <w:tcPr>
            <w:tcW w:w="3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1C4159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9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B7D19B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5EB88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9D69A7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CF8A2B1">
        <w:tblPrEx>
          <w:tblCellMar>
            <w:top w:w="0" w:type="dxa"/>
            <w:left w:w="0" w:type="dxa"/>
            <w:bottom w:w="0" w:type="dxa"/>
            <w:right w:w="0" w:type="dxa"/>
          </w:tblCellMar>
        </w:tblPrEx>
        <w:trPr>
          <w:trHeight w:val="9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8C2F75">
            <w:pPr>
              <w:jc w:val="center"/>
              <w:rPr>
                <w:rFonts w:hint="eastAsia" w:ascii="宋体" w:hAnsi="宋体" w:eastAsia="宋体" w:cs="宋体"/>
                <w:i w:val="0"/>
                <w:color w:val="333333"/>
                <w:sz w:val="20"/>
                <w:szCs w:val="20"/>
                <w:u w:val="none"/>
              </w:rPr>
            </w:pPr>
          </w:p>
        </w:tc>
        <w:tc>
          <w:tcPr>
            <w:tcW w:w="1452" w:type="dxa"/>
            <w:gridSpan w:val="2"/>
            <w:vMerge w:val="restar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E4BD17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3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08D64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9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CD5735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C33D0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DBBD8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FB8671C">
        <w:tblPrEx>
          <w:tblCellMar>
            <w:top w:w="0" w:type="dxa"/>
            <w:left w:w="0" w:type="dxa"/>
            <w:bottom w:w="0" w:type="dxa"/>
            <w:right w:w="0" w:type="dxa"/>
          </w:tblCellMar>
        </w:tblPrEx>
        <w:trPr>
          <w:trHeight w:val="9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B55F00">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1614C09">
            <w:pPr>
              <w:jc w:val="center"/>
              <w:rPr>
                <w:rFonts w:hint="eastAsia" w:ascii="宋体" w:hAnsi="宋体" w:eastAsia="宋体" w:cs="宋体"/>
                <w:i w:val="0"/>
                <w:color w:val="333333"/>
                <w:sz w:val="20"/>
                <w:szCs w:val="20"/>
                <w:u w:val="none"/>
              </w:rPr>
            </w:pPr>
          </w:p>
        </w:tc>
        <w:tc>
          <w:tcPr>
            <w:tcW w:w="3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04238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9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75E4D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C8177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52952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8903D2B">
        <w:tblPrEx>
          <w:tblCellMar>
            <w:top w:w="0" w:type="dxa"/>
            <w:left w:w="0" w:type="dxa"/>
            <w:bottom w:w="0" w:type="dxa"/>
            <w:right w:w="0" w:type="dxa"/>
          </w:tblCellMar>
        </w:tblPrEx>
        <w:trPr>
          <w:trHeight w:val="9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08B5E5">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3037F7F">
            <w:pPr>
              <w:jc w:val="center"/>
              <w:rPr>
                <w:rFonts w:hint="eastAsia" w:ascii="宋体" w:hAnsi="宋体" w:eastAsia="宋体" w:cs="宋体"/>
                <w:i w:val="0"/>
                <w:color w:val="333333"/>
                <w:sz w:val="20"/>
                <w:szCs w:val="20"/>
                <w:u w:val="none"/>
              </w:rPr>
            </w:pPr>
          </w:p>
        </w:tc>
        <w:tc>
          <w:tcPr>
            <w:tcW w:w="3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776306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9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79BF4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7755E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4E140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BC07725">
        <w:tblPrEx>
          <w:tblCellMar>
            <w:top w:w="0" w:type="dxa"/>
            <w:left w:w="0" w:type="dxa"/>
            <w:bottom w:w="0" w:type="dxa"/>
            <w:right w:w="0" w:type="dxa"/>
          </w:tblCellMar>
        </w:tblPrEx>
        <w:trPr>
          <w:trHeight w:val="9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427853">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E29633F">
            <w:pPr>
              <w:jc w:val="center"/>
              <w:rPr>
                <w:rFonts w:hint="eastAsia" w:ascii="宋体" w:hAnsi="宋体" w:eastAsia="宋体" w:cs="宋体"/>
                <w:i w:val="0"/>
                <w:color w:val="333333"/>
                <w:sz w:val="20"/>
                <w:szCs w:val="20"/>
                <w:u w:val="none"/>
              </w:rPr>
            </w:pPr>
          </w:p>
        </w:tc>
        <w:tc>
          <w:tcPr>
            <w:tcW w:w="3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87B23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9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1B31C2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9F819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B28F09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7BF546A">
        <w:tblPrEx>
          <w:tblCellMar>
            <w:top w:w="0" w:type="dxa"/>
            <w:left w:w="0" w:type="dxa"/>
            <w:bottom w:w="0" w:type="dxa"/>
            <w:right w:w="0" w:type="dxa"/>
          </w:tblCellMar>
        </w:tblPrEx>
        <w:trPr>
          <w:trHeight w:val="9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DE17F9">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108F366E">
            <w:pPr>
              <w:jc w:val="center"/>
              <w:rPr>
                <w:rFonts w:hint="eastAsia" w:ascii="宋体" w:hAnsi="宋体" w:eastAsia="宋体" w:cs="宋体"/>
                <w:i w:val="0"/>
                <w:color w:val="333333"/>
                <w:sz w:val="20"/>
                <w:szCs w:val="20"/>
                <w:u w:val="none"/>
              </w:rPr>
            </w:pPr>
          </w:p>
        </w:tc>
        <w:tc>
          <w:tcPr>
            <w:tcW w:w="3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0459E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9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3920CD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256E4C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02F05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93101BB">
        <w:tblPrEx>
          <w:tblCellMar>
            <w:top w:w="0" w:type="dxa"/>
            <w:left w:w="0" w:type="dxa"/>
            <w:bottom w:w="0" w:type="dxa"/>
            <w:right w:w="0" w:type="dxa"/>
          </w:tblCellMar>
        </w:tblPrEx>
        <w:trPr>
          <w:trHeight w:val="9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62EB01">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7A3B9A9">
            <w:pPr>
              <w:jc w:val="center"/>
              <w:rPr>
                <w:rFonts w:hint="eastAsia" w:ascii="宋体" w:hAnsi="宋体" w:eastAsia="宋体" w:cs="宋体"/>
                <w:i w:val="0"/>
                <w:color w:val="333333"/>
                <w:sz w:val="20"/>
                <w:szCs w:val="20"/>
                <w:u w:val="none"/>
              </w:rPr>
            </w:pPr>
          </w:p>
        </w:tc>
        <w:tc>
          <w:tcPr>
            <w:tcW w:w="3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B8F8E4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9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E30B4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3D7DA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9F77D0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6BD5890">
        <w:tblPrEx>
          <w:tblCellMar>
            <w:top w:w="0" w:type="dxa"/>
            <w:left w:w="0" w:type="dxa"/>
            <w:bottom w:w="0" w:type="dxa"/>
            <w:right w:w="0" w:type="dxa"/>
          </w:tblCellMar>
        </w:tblPrEx>
        <w:trPr>
          <w:trHeight w:val="9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792360">
            <w:pPr>
              <w:jc w:val="center"/>
              <w:rPr>
                <w:rFonts w:hint="eastAsia" w:ascii="宋体" w:hAnsi="宋体" w:eastAsia="宋体" w:cs="宋体"/>
                <w:i w:val="0"/>
                <w:color w:val="333333"/>
                <w:sz w:val="20"/>
                <w:szCs w:val="20"/>
                <w:u w:val="none"/>
              </w:rPr>
            </w:pPr>
          </w:p>
        </w:tc>
        <w:tc>
          <w:tcPr>
            <w:tcW w:w="1452"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5B6AE72">
            <w:pPr>
              <w:jc w:val="center"/>
              <w:rPr>
                <w:rFonts w:hint="eastAsia" w:ascii="宋体" w:hAnsi="宋体" w:eastAsia="宋体" w:cs="宋体"/>
                <w:i w:val="0"/>
                <w:color w:val="333333"/>
                <w:sz w:val="20"/>
                <w:szCs w:val="20"/>
                <w:u w:val="none"/>
              </w:rPr>
            </w:pPr>
          </w:p>
        </w:tc>
        <w:tc>
          <w:tcPr>
            <w:tcW w:w="3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0C68A9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9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4B8A35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2CC998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5D988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852BB7A">
        <w:tblPrEx>
          <w:tblCellMar>
            <w:top w:w="0" w:type="dxa"/>
            <w:left w:w="0" w:type="dxa"/>
            <w:bottom w:w="0" w:type="dxa"/>
            <w:right w:w="0" w:type="dxa"/>
          </w:tblCellMar>
        </w:tblPrEx>
        <w:trPr>
          <w:trHeight w:val="9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79686B">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7EBD166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3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2C4643B">
            <w:pPr>
              <w:jc w:val="center"/>
              <w:rPr>
                <w:rFonts w:hint="eastAsia" w:ascii="宋体" w:hAnsi="宋体" w:eastAsia="宋体" w:cs="宋体"/>
                <w:i w:val="0"/>
                <w:color w:val="333333"/>
                <w:sz w:val="20"/>
                <w:szCs w:val="20"/>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4158AD">
            <w:pPr>
              <w:jc w:val="center"/>
              <w:rPr>
                <w:rFonts w:hint="eastAsia" w:ascii="宋体" w:hAnsi="宋体" w:eastAsia="宋体" w:cs="宋体"/>
                <w:i w:val="0"/>
                <w:color w:val="333333"/>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D25FB98">
            <w:pPr>
              <w:jc w:val="center"/>
              <w:rPr>
                <w:rFonts w:hint="eastAsia" w:ascii="宋体" w:hAnsi="宋体" w:eastAsia="宋体" w:cs="宋体"/>
                <w:i w:val="0"/>
                <w:color w:val="333333"/>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AED0357">
            <w:pPr>
              <w:jc w:val="center"/>
              <w:rPr>
                <w:rFonts w:hint="eastAsia" w:ascii="宋体" w:hAnsi="宋体" w:eastAsia="宋体" w:cs="宋体"/>
                <w:i w:val="0"/>
                <w:color w:val="333333"/>
                <w:sz w:val="20"/>
                <w:szCs w:val="20"/>
                <w:u w:val="none"/>
              </w:rPr>
            </w:pPr>
          </w:p>
        </w:tc>
      </w:tr>
      <w:tr w14:paraId="562EF3D2">
        <w:tblPrEx>
          <w:tblCellMar>
            <w:top w:w="0" w:type="dxa"/>
            <w:left w:w="0" w:type="dxa"/>
            <w:bottom w:w="0" w:type="dxa"/>
            <w:right w:w="0" w:type="dxa"/>
          </w:tblCellMar>
        </w:tblPrEx>
        <w:trPr>
          <w:trHeight w:val="90" w:hRule="atLeast"/>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E378CB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452"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4625BCF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3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1B58F3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法治宣传场次、办理复议案件</w:t>
            </w:r>
          </w:p>
        </w:tc>
        <w:tc>
          <w:tcPr>
            <w:tcW w:w="19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7F66AC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50余场次，12件</w:t>
            </w: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C0C58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06898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586A6B6">
        <w:tblPrEx>
          <w:tblCellMar>
            <w:top w:w="0" w:type="dxa"/>
            <w:left w:w="0" w:type="dxa"/>
            <w:bottom w:w="0" w:type="dxa"/>
            <w:right w:w="0" w:type="dxa"/>
          </w:tblCellMar>
        </w:tblPrEx>
        <w:trPr>
          <w:trHeight w:val="9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1C51AF">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C0E01A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3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74A86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符合要求的标识标牌、案件成功率</w:t>
            </w:r>
          </w:p>
        </w:tc>
        <w:tc>
          <w:tcPr>
            <w:tcW w:w="19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50841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成功</w:t>
            </w: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9FDF5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F6D15C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075FB68">
        <w:tblPrEx>
          <w:tblCellMar>
            <w:top w:w="0" w:type="dxa"/>
            <w:left w:w="0" w:type="dxa"/>
            <w:bottom w:w="0" w:type="dxa"/>
            <w:right w:w="0" w:type="dxa"/>
          </w:tblCellMar>
        </w:tblPrEx>
        <w:trPr>
          <w:trHeight w:val="9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9E592B">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7354BC8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3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C54F9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支付制作费及律师费</w:t>
            </w:r>
          </w:p>
        </w:tc>
        <w:tc>
          <w:tcPr>
            <w:tcW w:w="19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AF00AE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2023年12月31日前</w:t>
            </w: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A5034C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418A6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FADE156">
        <w:tblPrEx>
          <w:tblCellMar>
            <w:top w:w="0" w:type="dxa"/>
            <w:left w:w="0" w:type="dxa"/>
            <w:bottom w:w="0" w:type="dxa"/>
            <w:right w:w="0" w:type="dxa"/>
          </w:tblCellMar>
        </w:tblPrEx>
        <w:trPr>
          <w:trHeight w:val="9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75A5F81">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3867EC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3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90690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标识标牌制作、律师费用</w:t>
            </w:r>
          </w:p>
        </w:tc>
        <w:tc>
          <w:tcPr>
            <w:tcW w:w="19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59244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26.97</w:t>
            </w: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A86AD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042EF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6033B7F">
        <w:tblPrEx>
          <w:tblCellMar>
            <w:top w:w="0" w:type="dxa"/>
            <w:left w:w="0" w:type="dxa"/>
            <w:bottom w:w="0" w:type="dxa"/>
            <w:right w:w="0" w:type="dxa"/>
          </w:tblCellMar>
        </w:tblPrEx>
        <w:trPr>
          <w:trHeight w:val="90" w:hRule="atLeast"/>
        </w:trPr>
        <w:tc>
          <w:tcPr>
            <w:tcW w:w="1256"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95B0C4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效益指标</w:t>
            </w:r>
          </w:p>
        </w:tc>
        <w:tc>
          <w:tcPr>
            <w:tcW w:w="1452"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B90796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经济效益指标</w:t>
            </w:r>
          </w:p>
        </w:tc>
        <w:tc>
          <w:tcPr>
            <w:tcW w:w="3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26BBB3">
            <w:pPr>
              <w:jc w:val="center"/>
              <w:rPr>
                <w:rFonts w:hint="eastAsia" w:ascii="宋体" w:hAnsi="宋体" w:eastAsia="宋体" w:cs="宋体"/>
                <w:i w:val="0"/>
                <w:color w:val="333333"/>
                <w:sz w:val="20"/>
                <w:szCs w:val="20"/>
                <w:u w:val="none"/>
              </w:rPr>
            </w:pPr>
          </w:p>
        </w:tc>
        <w:tc>
          <w:tcPr>
            <w:tcW w:w="19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099B5E9">
            <w:pPr>
              <w:jc w:val="center"/>
              <w:rPr>
                <w:rFonts w:hint="eastAsia" w:ascii="宋体" w:hAnsi="宋体" w:eastAsia="宋体" w:cs="宋体"/>
                <w:i w:val="0"/>
                <w:color w:val="333333"/>
                <w:sz w:val="20"/>
                <w:szCs w:val="20"/>
                <w:u w:val="none"/>
              </w:rPr>
            </w:pP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DBB1C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 xml:space="preserve"> </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36F7C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 xml:space="preserve"> </w:t>
            </w:r>
          </w:p>
        </w:tc>
      </w:tr>
      <w:tr w14:paraId="2DED4123">
        <w:tblPrEx>
          <w:tblCellMar>
            <w:top w:w="0" w:type="dxa"/>
            <w:left w:w="0" w:type="dxa"/>
            <w:bottom w:w="0" w:type="dxa"/>
            <w:right w:w="0" w:type="dxa"/>
          </w:tblCellMar>
        </w:tblPrEx>
        <w:trPr>
          <w:trHeight w:val="9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3611A40">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61F3DDF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3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F1CB1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提高群众法律素养</w:t>
            </w:r>
          </w:p>
        </w:tc>
        <w:tc>
          <w:tcPr>
            <w:tcW w:w="19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BB3C2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提高群众法律素养</w:t>
            </w: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93E8B8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8FCAA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19893582">
        <w:tblPrEx>
          <w:tblCellMar>
            <w:top w:w="0" w:type="dxa"/>
            <w:left w:w="0" w:type="dxa"/>
            <w:bottom w:w="0" w:type="dxa"/>
            <w:right w:w="0" w:type="dxa"/>
          </w:tblCellMar>
        </w:tblPrEx>
        <w:trPr>
          <w:trHeight w:val="90" w:hRule="atLeast"/>
        </w:trPr>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C965E5">
            <w:pPr>
              <w:jc w:val="center"/>
              <w:rPr>
                <w:rFonts w:hint="eastAsia" w:ascii="宋体" w:hAnsi="宋体" w:eastAsia="宋体" w:cs="宋体"/>
                <w:i w:val="0"/>
                <w:color w:val="333333"/>
                <w:sz w:val="20"/>
                <w:szCs w:val="20"/>
                <w:u w:val="none"/>
              </w:rPr>
            </w:pPr>
          </w:p>
        </w:tc>
        <w:tc>
          <w:tcPr>
            <w:tcW w:w="1452"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1914B0C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3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116DAB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增强群众法治观念</w:t>
            </w:r>
          </w:p>
        </w:tc>
        <w:tc>
          <w:tcPr>
            <w:tcW w:w="19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C4C614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增强群众法治观念</w:t>
            </w: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FA1452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362CF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77EA0FB">
        <w:tblPrEx>
          <w:tblCellMar>
            <w:top w:w="0" w:type="dxa"/>
            <w:left w:w="0" w:type="dxa"/>
            <w:bottom w:w="0" w:type="dxa"/>
            <w:right w:w="0" w:type="dxa"/>
          </w:tblCellMar>
        </w:tblPrEx>
        <w:trPr>
          <w:trHeight w:val="90" w:hRule="atLeast"/>
        </w:trPr>
        <w:tc>
          <w:tcPr>
            <w:tcW w:w="125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50FCF4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452"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622BC41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3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BAD82C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调查评估</w:t>
            </w:r>
          </w:p>
        </w:tc>
        <w:tc>
          <w:tcPr>
            <w:tcW w:w="190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95DBE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群众满意度达≧95</w:t>
            </w:r>
          </w:p>
        </w:tc>
        <w:tc>
          <w:tcPr>
            <w:tcW w:w="93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14DDC4">
            <w:pPr>
              <w:keepNext w:val="0"/>
              <w:keepLines w:val="0"/>
              <w:widowControl/>
              <w:suppressLineNumbers w:val="0"/>
              <w:jc w:val="center"/>
              <w:textAlignment w:val="center"/>
              <w:rPr>
                <w:rFonts w:ascii="宋体" w:hAnsi="宋体" w:eastAsia="宋体" w:cs="宋体"/>
                <w:i w:val="0"/>
                <w:color w:val="333333"/>
                <w:sz w:val="20"/>
                <w:szCs w:val="20"/>
                <w:u w:val="none"/>
              </w:rPr>
            </w:pPr>
            <w:r>
              <w:rPr>
                <w:rFonts w:ascii="宋体" w:hAnsi="宋体" w:eastAsia="宋体" w:cs="宋体"/>
                <w:i w:val="0"/>
                <w:color w:val="333333"/>
                <w:kern w:val="0"/>
                <w:sz w:val="20"/>
                <w:szCs w:val="20"/>
                <w:u w:val="none"/>
                <w:lang w:val="en-US" w:eastAsia="zh-CN" w:bidi="ar"/>
              </w:rPr>
              <w:t>100%</w:t>
            </w:r>
          </w:p>
        </w:tc>
        <w:tc>
          <w:tcPr>
            <w:tcW w:w="113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57F62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bl>
    <w:tbl>
      <w:tblPr>
        <w:tblStyle w:val="17"/>
        <w:tblpPr w:leftFromText="180" w:rightFromText="180" w:vertAnchor="text" w:horzAnchor="page" w:tblpX="1328" w:tblpY="456"/>
        <w:tblOverlap w:val="never"/>
        <w:tblW w:w="9697" w:type="dxa"/>
        <w:tblInd w:w="0" w:type="dxa"/>
        <w:tblLayout w:type="fixed"/>
        <w:tblCellMar>
          <w:top w:w="0" w:type="dxa"/>
          <w:left w:w="0" w:type="dxa"/>
          <w:bottom w:w="0" w:type="dxa"/>
          <w:right w:w="0" w:type="dxa"/>
        </w:tblCellMar>
      </w:tblPr>
      <w:tblGrid>
        <w:gridCol w:w="1242"/>
        <w:gridCol w:w="617"/>
        <w:gridCol w:w="867"/>
        <w:gridCol w:w="2258"/>
        <w:gridCol w:w="1851"/>
        <w:gridCol w:w="1083"/>
        <w:gridCol w:w="1779"/>
      </w:tblGrid>
      <w:tr w14:paraId="4B390198">
        <w:tblPrEx>
          <w:tblCellMar>
            <w:top w:w="0" w:type="dxa"/>
            <w:left w:w="0" w:type="dxa"/>
            <w:bottom w:w="0" w:type="dxa"/>
            <w:right w:w="0" w:type="dxa"/>
          </w:tblCellMar>
        </w:tblPrEx>
        <w:trPr>
          <w:trHeight w:val="90" w:hRule="atLeast"/>
        </w:trPr>
        <w:tc>
          <w:tcPr>
            <w:tcW w:w="9697" w:type="dxa"/>
            <w:gridSpan w:val="7"/>
            <w:tcBorders>
              <w:top w:val="nil"/>
              <w:left w:val="nil"/>
              <w:bottom w:val="nil"/>
              <w:right w:val="nil"/>
            </w:tcBorders>
            <w:noWrap/>
            <w:tcMar>
              <w:top w:w="15" w:type="dxa"/>
              <w:left w:w="15" w:type="dxa"/>
              <w:right w:w="15" w:type="dxa"/>
            </w:tcMar>
            <w:vAlign w:val="center"/>
          </w:tcPr>
          <w:p w14:paraId="6EB5232B">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项目支出绩效自评表</w:t>
            </w:r>
          </w:p>
        </w:tc>
      </w:tr>
      <w:tr w14:paraId="39A0806C">
        <w:tblPrEx>
          <w:tblCellMar>
            <w:top w:w="0" w:type="dxa"/>
            <w:left w:w="0" w:type="dxa"/>
            <w:bottom w:w="0" w:type="dxa"/>
            <w:right w:w="0" w:type="dxa"/>
          </w:tblCellMar>
        </w:tblPrEx>
        <w:trPr>
          <w:trHeight w:val="90" w:hRule="atLeast"/>
        </w:trPr>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647CAA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74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DA3737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德古协会调解经费</w:t>
            </w:r>
          </w:p>
        </w:tc>
        <w:tc>
          <w:tcPr>
            <w:tcW w:w="1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C751E8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w:t>
            </w:r>
          </w:p>
        </w:tc>
        <w:tc>
          <w:tcPr>
            <w:tcW w:w="28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181896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2023</w:t>
            </w:r>
          </w:p>
        </w:tc>
      </w:tr>
      <w:tr w14:paraId="34BDE1DD">
        <w:tblPrEx>
          <w:tblCellMar>
            <w:top w:w="0" w:type="dxa"/>
            <w:left w:w="0" w:type="dxa"/>
            <w:bottom w:w="0" w:type="dxa"/>
            <w:right w:w="0" w:type="dxa"/>
          </w:tblCellMar>
        </w:tblPrEx>
        <w:trPr>
          <w:trHeight w:val="90" w:hRule="atLeast"/>
        </w:trPr>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25D9FB1">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74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0C8CF91">
            <w:pPr>
              <w:jc w:val="left"/>
              <w:rPr>
                <w:rFonts w:hint="eastAsia" w:ascii="宋体" w:hAnsi="宋体" w:eastAsia="宋体" w:cs="宋体"/>
                <w:i w:val="0"/>
                <w:color w:val="000000"/>
                <w:sz w:val="20"/>
                <w:szCs w:val="20"/>
                <w:u w:val="none"/>
              </w:rPr>
            </w:pPr>
          </w:p>
        </w:tc>
        <w:tc>
          <w:tcPr>
            <w:tcW w:w="1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FC375C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28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325E0D">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峨边彝族自治县司法局</w:t>
            </w:r>
          </w:p>
        </w:tc>
      </w:tr>
      <w:tr w14:paraId="1BB316DC">
        <w:tblPrEx>
          <w:tblCellMar>
            <w:top w:w="0" w:type="dxa"/>
            <w:left w:w="0" w:type="dxa"/>
            <w:bottom w:w="0" w:type="dxa"/>
            <w:right w:w="0" w:type="dxa"/>
          </w:tblCellMar>
        </w:tblPrEx>
        <w:trPr>
          <w:trHeight w:val="90" w:hRule="atLeast"/>
        </w:trPr>
        <w:tc>
          <w:tcPr>
            <w:tcW w:w="9697" w:type="dxa"/>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9CD929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项目资金（万元）</w:t>
            </w:r>
          </w:p>
        </w:tc>
      </w:tr>
      <w:tr w14:paraId="34F9386F">
        <w:tblPrEx>
          <w:tblCellMar>
            <w:top w:w="0" w:type="dxa"/>
            <w:left w:w="0" w:type="dxa"/>
            <w:bottom w:w="0" w:type="dxa"/>
            <w:right w:w="0" w:type="dxa"/>
          </w:tblCellMar>
        </w:tblPrEx>
        <w:trPr>
          <w:trHeight w:val="90" w:hRule="atLeast"/>
        </w:trPr>
        <w:tc>
          <w:tcPr>
            <w:tcW w:w="1859" w:type="dxa"/>
            <w:gridSpan w:val="2"/>
            <w:tcBorders>
              <w:top w:val="single" w:color="000000" w:sz="4" w:space="0"/>
              <w:left w:val="single" w:color="000000" w:sz="4" w:space="0"/>
              <w:bottom w:val="single" w:color="000000" w:sz="4" w:space="0"/>
              <w:right w:val="nil"/>
            </w:tcBorders>
            <w:noWrap/>
            <w:tcMar>
              <w:top w:w="15" w:type="dxa"/>
              <w:left w:w="15" w:type="dxa"/>
              <w:right w:w="15" w:type="dxa"/>
            </w:tcMar>
            <w:vAlign w:val="center"/>
          </w:tcPr>
          <w:p w14:paraId="71B5565C">
            <w:pPr>
              <w:jc w:val="center"/>
              <w:rPr>
                <w:rFonts w:hint="eastAsia" w:ascii="宋体" w:hAnsi="宋体" w:eastAsia="宋体" w:cs="宋体"/>
                <w:i w:val="0"/>
                <w:color w:val="000000"/>
                <w:sz w:val="20"/>
                <w:szCs w:val="20"/>
                <w:u w:val="none"/>
              </w:rPr>
            </w:pPr>
          </w:p>
        </w:tc>
        <w:tc>
          <w:tcPr>
            <w:tcW w:w="31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166107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全年预算数</w:t>
            </w:r>
          </w:p>
        </w:tc>
        <w:tc>
          <w:tcPr>
            <w:tcW w:w="2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D344C8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全年执行数</w:t>
            </w:r>
          </w:p>
        </w:tc>
        <w:tc>
          <w:tcPr>
            <w:tcW w:w="17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898E37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执行率</w:t>
            </w:r>
          </w:p>
        </w:tc>
      </w:tr>
      <w:tr w14:paraId="44D297AF">
        <w:tblPrEx>
          <w:tblCellMar>
            <w:top w:w="0" w:type="dxa"/>
            <w:left w:w="0" w:type="dxa"/>
            <w:bottom w:w="0" w:type="dxa"/>
            <w:right w:w="0" w:type="dxa"/>
          </w:tblCellMar>
        </w:tblPrEx>
        <w:trPr>
          <w:trHeight w:val="90" w:hRule="atLeast"/>
        </w:trPr>
        <w:tc>
          <w:tcPr>
            <w:tcW w:w="18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83AFF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31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3F644B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28.32</w:t>
            </w:r>
          </w:p>
        </w:tc>
        <w:tc>
          <w:tcPr>
            <w:tcW w:w="2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FF8CC1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28.32</w:t>
            </w:r>
          </w:p>
        </w:tc>
        <w:tc>
          <w:tcPr>
            <w:tcW w:w="17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C0F059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08FFEAED">
        <w:tblPrEx>
          <w:tblCellMar>
            <w:top w:w="0" w:type="dxa"/>
            <w:left w:w="0" w:type="dxa"/>
            <w:bottom w:w="0" w:type="dxa"/>
            <w:right w:w="0" w:type="dxa"/>
          </w:tblCellMar>
        </w:tblPrEx>
        <w:trPr>
          <w:trHeight w:val="90" w:hRule="atLeast"/>
        </w:trPr>
        <w:tc>
          <w:tcPr>
            <w:tcW w:w="18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3178D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其中：中省补助资金</w:t>
            </w:r>
          </w:p>
        </w:tc>
        <w:tc>
          <w:tcPr>
            <w:tcW w:w="31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DFE1C7">
            <w:pPr>
              <w:jc w:val="center"/>
              <w:rPr>
                <w:rFonts w:hint="eastAsia" w:ascii="宋体" w:hAnsi="宋体" w:eastAsia="宋体" w:cs="宋体"/>
                <w:i w:val="0"/>
                <w:color w:val="000000"/>
                <w:sz w:val="20"/>
                <w:szCs w:val="20"/>
                <w:u w:val="none"/>
              </w:rPr>
            </w:pPr>
          </w:p>
        </w:tc>
        <w:tc>
          <w:tcPr>
            <w:tcW w:w="2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417D3FC">
            <w:pPr>
              <w:jc w:val="center"/>
              <w:rPr>
                <w:rFonts w:hint="eastAsia" w:ascii="宋体" w:hAnsi="宋体" w:eastAsia="宋体" w:cs="宋体"/>
                <w:i w:val="0"/>
                <w:color w:val="000000"/>
                <w:sz w:val="20"/>
                <w:szCs w:val="20"/>
                <w:u w:val="none"/>
              </w:rPr>
            </w:pPr>
          </w:p>
        </w:tc>
        <w:tc>
          <w:tcPr>
            <w:tcW w:w="17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AD8A305">
            <w:pPr>
              <w:jc w:val="center"/>
              <w:rPr>
                <w:rFonts w:hint="eastAsia" w:ascii="宋体" w:hAnsi="宋体" w:eastAsia="宋体" w:cs="宋体"/>
                <w:i w:val="0"/>
                <w:color w:val="000000"/>
                <w:sz w:val="20"/>
                <w:szCs w:val="20"/>
                <w:u w:val="none"/>
              </w:rPr>
            </w:pPr>
          </w:p>
        </w:tc>
      </w:tr>
      <w:tr w14:paraId="7F9F2DBF">
        <w:tblPrEx>
          <w:tblCellMar>
            <w:top w:w="0" w:type="dxa"/>
            <w:left w:w="0" w:type="dxa"/>
            <w:bottom w:w="0" w:type="dxa"/>
            <w:right w:w="0" w:type="dxa"/>
          </w:tblCellMar>
        </w:tblPrEx>
        <w:trPr>
          <w:trHeight w:val="90" w:hRule="atLeast"/>
        </w:trPr>
        <w:tc>
          <w:tcPr>
            <w:tcW w:w="18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3E8D6E9">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县级预算资金</w:t>
            </w:r>
          </w:p>
        </w:tc>
        <w:tc>
          <w:tcPr>
            <w:tcW w:w="31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8C2C931">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28.32</w:t>
            </w:r>
          </w:p>
        </w:tc>
        <w:tc>
          <w:tcPr>
            <w:tcW w:w="2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598D9D4">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28.32</w:t>
            </w:r>
          </w:p>
        </w:tc>
        <w:tc>
          <w:tcPr>
            <w:tcW w:w="17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4806E46">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14:paraId="02009476">
        <w:tblPrEx>
          <w:tblCellMar>
            <w:top w:w="0" w:type="dxa"/>
            <w:left w:w="0" w:type="dxa"/>
            <w:bottom w:w="0" w:type="dxa"/>
            <w:right w:w="0" w:type="dxa"/>
          </w:tblCellMar>
        </w:tblPrEx>
        <w:trPr>
          <w:trHeight w:val="90" w:hRule="atLeast"/>
        </w:trPr>
        <w:tc>
          <w:tcPr>
            <w:tcW w:w="185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8F3C04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312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0382FFA">
            <w:pPr>
              <w:jc w:val="center"/>
              <w:rPr>
                <w:rFonts w:hint="eastAsia" w:ascii="宋体" w:hAnsi="宋体" w:eastAsia="宋体" w:cs="宋体"/>
                <w:i w:val="0"/>
                <w:color w:val="000000"/>
                <w:sz w:val="20"/>
                <w:szCs w:val="20"/>
                <w:u w:val="none"/>
              </w:rPr>
            </w:pPr>
          </w:p>
        </w:tc>
        <w:tc>
          <w:tcPr>
            <w:tcW w:w="293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23AB1AD">
            <w:pPr>
              <w:jc w:val="center"/>
              <w:rPr>
                <w:rFonts w:hint="eastAsia" w:ascii="宋体" w:hAnsi="宋体" w:eastAsia="宋体" w:cs="宋体"/>
                <w:i w:val="0"/>
                <w:color w:val="000000"/>
                <w:sz w:val="20"/>
                <w:szCs w:val="20"/>
                <w:u w:val="none"/>
              </w:rPr>
            </w:pPr>
          </w:p>
        </w:tc>
        <w:tc>
          <w:tcPr>
            <w:tcW w:w="17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E81C2C6">
            <w:pPr>
              <w:jc w:val="center"/>
              <w:rPr>
                <w:rFonts w:hint="eastAsia" w:ascii="宋体" w:hAnsi="宋体" w:eastAsia="宋体" w:cs="宋体"/>
                <w:i w:val="0"/>
                <w:color w:val="000000"/>
                <w:sz w:val="20"/>
                <w:szCs w:val="20"/>
                <w:u w:val="none"/>
              </w:rPr>
            </w:pPr>
          </w:p>
        </w:tc>
      </w:tr>
      <w:tr w14:paraId="3F1148F6">
        <w:tblPrEx>
          <w:tblCellMar>
            <w:top w:w="0" w:type="dxa"/>
            <w:left w:w="0" w:type="dxa"/>
            <w:bottom w:w="0" w:type="dxa"/>
            <w:right w:w="0" w:type="dxa"/>
          </w:tblCellMar>
        </w:tblPrEx>
        <w:trPr>
          <w:trHeight w:val="90" w:hRule="atLeast"/>
        </w:trPr>
        <w:tc>
          <w:tcPr>
            <w:tcW w:w="1242"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8F0ACB4">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年度总体目标</w:t>
            </w:r>
          </w:p>
        </w:tc>
        <w:tc>
          <w:tcPr>
            <w:tcW w:w="5593" w:type="dxa"/>
            <w:gridSpan w:val="4"/>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9E0108A">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预期目标</w:t>
            </w:r>
          </w:p>
        </w:tc>
        <w:tc>
          <w:tcPr>
            <w:tcW w:w="28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148D14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实际完成情况</w:t>
            </w:r>
          </w:p>
        </w:tc>
      </w:tr>
      <w:tr w14:paraId="122A3824">
        <w:tblPrEx>
          <w:tblCellMar>
            <w:top w:w="0" w:type="dxa"/>
            <w:left w:w="0" w:type="dxa"/>
            <w:bottom w:w="0" w:type="dxa"/>
            <w:right w:w="0" w:type="dxa"/>
          </w:tblCellMar>
        </w:tblPrEx>
        <w:trPr>
          <w:trHeight w:val="90" w:hRule="atLeast"/>
        </w:trPr>
        <w:tc>
          <w:tcPr>
            <w:tcW w:w="1242"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4B58BDD9">
            <w:pPr>
              <w:jc w:val="left"/>
              <w:rPr>
                <w:rFonts w:hint="eastAsia" w:ascii="宋体" w:hAnsi="宋体" w:eastAsia="宋体" w:cs="宋体"/>
                <w:i w:val="0"/>
                <w:color w:val="000000"/>
                <w:sz w:val="20"/>
                <w:szCs w:val="20"/>
                <w:u w:val="none"/>
              </w:rPr>
            </w:pPr>
          </w:p>
        </w:tc>
        <w:tc>
          <w:tcPr>
            <w:tcW w:w="5593" w:type="dxa"/>
            <w:gridSpan w:val="4"/>
            <w:tcBorders>
              <w:top w:val="single" w:color="000000" w:sz="4" w:space="0"/>
              <w:left w:val="single" w:color="000000" w:sz="4" w:space="0"/>
              <w:bottom w:val="nil"/>
              <w:right w:val="single" w:color="000000" w:sz="4" w:space="0"/>
            </w:tcBorders>
            <w:noWrap/>
            <w:tcMar>
              <w:top w:w="15" w:type="dxa"/>
              <w:left w:w="15" w:type="dxa"/>
              <w:right w:w="15" w:type="dxa"/>
            </w:tcMar>
            <w:vAlign w:val="center"/>
          </w:tcPr>
          <w:p w14:paraId="1383F0F6">
            <w:pPr>
              <w:jc w:val="left"/>
              <w:rPr>
                <w:rFonts w:hint="eastAsia" w:ascii="宋体" w:hAnsi="宋体" w:eastAsia="宋体" w:cs="宋体"/>
                <w:i w:val="0"/>
                <w:color w:val="000000"/>
                <w:sz w:val="20"/>
                <w:szCs w:val="20"/>
                <w:u w:val="none"/>
              </w:rPr>
            </w:pPr>
          </w:p>
        </w:tc>
        <w:tc>
          <w:tcPr>
            <w:tcW w:w="286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732DE25D">
            <w:pPr>
              <w:jc w:val="left"/>
              <w:rPr>
                <w:rFonts w:hint="eastAsia" w:ascii="宋体" w:hAnsi="宋体" w:eastAsia="宋体" w:cs="宋体"/>
                <w:i w:val="0"/>
                <w:color w:val="000000"/>
                <w:sz w:val="20"/>
                <w:szCs w:val="20"/>
                <w:u w:val="none"/>
              </w:rPr>
            </w:pPr>
          </w:p>
        </w:tc>
      </w:tr>
      <w:tr w14:paraId="62D997F6">
        <w:tblPrEx>
          <w:tblCellMar>
            <w:top w:w="0" w:type="dxa"/>
            <w:left w:w="0" w:type="dxa"/>
            <w:bottom w:w="0" w:type="dxa"/>
            <w:right w:w="0" w:type="dxa"/>
          </w:tblCellMar>
        </w:tblPrEx>
        <w:trPr>
          <w:trHeight w:val="90" w:hRule="atLeast"/>
        </w:trPr>
        <w:tc>
          <w:tcPr>
            <w:tcW w:w="12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2D3F2923">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116A9E7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25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6A3165D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目标指标</w:t>
            </w:r>
          </w:p>
        </w:tc>
        <w:tc>
          <w:tcPr>
            <w:tcW w:w="185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3374CC3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目标值</w:t>
            </w:r>
          </w:p>
        </w:tc>
        <w:tc>
          <w:tcPr>
            <w:tcW w:w="108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5BD84D6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业绩指标</w:t>
            </w:r>
          </w:p>
        </w:tc>
        <w:tc>
          <w:tcPr>
            <w:tcW w:w="17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14:paraId="054281A5">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完成率</w:t>
            </w:r>
          </w:p>
        </w:tc>
      </w:tr>
      <w:tr w14:paraId="35B0209F">
        <w:tblPrEx>
          <w:tblCellMar>
            <w:top w:w="0" w:type="dxa"/>
            <w:left w:w="0" w:type="dxa"/>
            <w:bottom w:w="0" w:type="dxa"/>
            <w:right w:w="0" w:type="dxa"/>
          </w:tblCellMar>
        </w:tblPrEx>
        <w:trPr>
          <w:trHeight w:val="90" w:hRule="atLeast"/>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6233B2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投入与管理</w:t>
            </w:r>
          </w:p>
        </w:tc>
        <w:tc>
          <w:tcPr>
            <w:tcW w:w="1484" w:type="dxa"/>
            <w:gridSpan w:val="2"/>
            <w:vMerge w:val="restar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2C81F7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投入管理</w:t>
            </w:r>
          </w:p>
        </w:tc>
        <w:tc>
          <w:tcPr>
            <w:tcW w:w="22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C851D1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预算编制合理性</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0DBDAE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合理</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540B71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6F8F24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766A468">
        <w:tblPrEx>
          <w:tblCellMar>
            <w:top w:w="0" w:type="dxa"/>
            <w:left w:w="0" w:type="dxa"/>
            <w:bottom w:w="0" w:type="dxa"/>
            <w:right w:w="0" w:type="dxa"/>
          </w:tblCellMar>
        </w:tblPrEx>
        <w:trPr>
          <w:trHeight w:val="9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54972CF">
            <w:pPr>
              <w:jc w:val="center"/>
              <w:rPr>
                <w:rFonts w:hint="eastAsia" w:ascii="宋体" w:hAnsi="宋体" w:eastAsia="宋体" w:cs="宋体"/>
                <w:i w:val="0"/>
                <w:color w:val="333333"/>
                <w:sz w:val="20"/>
                <w:szCs w:val="20"/>
                <w:u w:val="none"/>
              </w:rPr>
            </w:pPr>
          </w:p>
        </w:tc>
        <w:tc>
          <w:tcPr>
            <w:tcW w:w="1484"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7A8D239">
            <w:pPr>
              <w:jc w:val="center"/>
              <w:rPr>
                <w:rFonts w:hint="eastAsia" w:ascii="宋体" w:hAnsi="宋体" w:eastAsia="宋体" w:cs="宋体"/>
                <w:i w:val="0"/>
                <w:color w:val="333333"/>
                <w:sz w:val="20"/>
                <w:szCs w:val="20"/>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8386E4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预算执行率</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AEBFAE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27A4C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4ABC7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A5FB851">
        <w:tblPrEx>
          <w:tblCellMar>
            <w:top w:w="0" w:type="dxa"/>
            <w:left w:w="0" w:type="dxa"/>
            <w:bottom w:w="0" w:type="dxa"/>
            <w:right w:w="0" w:type="dxa"/>
          </w:tblCellMar>
        </w:tblPrEx>
        <w:trPr>
          <w:trHeight w:val="9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9E0EE8">
            <w:pPr>
              <w:jc w:val="center"/>
              <w:rPr>
                <w:rFonts w:hint="eastAsia" w:ascii="宋体" w:hAnsi="宋体" w:eastAsia="宋体" w:cs="宋体"/>
                <w:i w:val="0"/>
                <w:color w:val="333333"/>
                <w:sz w:val="20"/>
                <w:szCs w:val="20"/>
                <w:u w:val="none"/>
              </w:rPr>
            </w:pPr>
          </w:p>
        </w:tc>
        <w:tc>
          <w:tcPr>
            <w:tcW w:w="1484"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DF6C63F">
            <w:pPr>
              <w:jc w:val="center"/>
              <w:rPr>
                <w:rFonts w:hint="eastAsia" w:ascii="宋体" w:hAnsi="宋体" w:eastAsia="宋体" w:cs="宋体"/>
                <w:i w:val="0"/>
                <w:color w:val="333333"/>
                <w:sz w:val="20"/>
                <w:szCs w:val="20"/>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31DD6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预算资金到位率</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37245C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143E4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ED41A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2AC6C69">
        <w:tblPrEx>
          <w:tblCellMar>
            <w:top w:w="0" w:type="dxa"/>
            <w:left w:w="0" w:type="dxa"/>
            <w:bottom w:w="0" w:type="dxa"/>
            <w:right w:w="0" w:type="dxa"/>
          </w:tblCellMar>
        </w:tblPrEx>
        <w:trPr>
          <w:trHeight w:val="9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C6B3DD">
            <w:pPr>
              <w:jc w:val="center"/>
              <w:rPr>
                <w:rFonts w:hint="eastAsia" w:ascii="宋体" w:hAnsi="宋体" w:eastAsia="宋体" w:cs="宋体"/>
                <w:i w:val="0"/>
                <w:color w:val="333333"/>
                <w:sz w:val="20"/>
                <w:szCs w:val="20"/>
                <w:u w:val="none"/>
              </w:rPr>
            </w:pPr>
          </w:p>
        </w:tc>
        <w:tc>
          <w:tcPr>
            <w:tcW w:w="1484" w:type="dxa"/>
            <w:gridSpan w:val="2"/>
            <w:vMerge w:val="restar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152B990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w:t>
            </w:r>
          </w:p>
        </w:tc>
        <w:tc>
          <w:tcPr>
            <w:tcW w:w="22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38CE91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财务管理制度健全性</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CCD56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6F961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657F7F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D61B708">
        <w:tblPrEx>
          <w:tblCellMar>
            <w:top w:w="0" w:type="dxa"/>
            <w:left w:w="0" w:type="dxa"/>
            <w:bottom w:w="0" w:type="dxa"/>
            <w:right w:w="0" w:type="dxa"/>
          </w:tblCellMar>
        </w:tblPrEx>
        <w:trPr>
          <w:trHeight w:val="9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D38F763">
            <w:pPr>
              <w:jc w:val="center"/>
              <w:rPr>
                <w:rFonts w:hint="eastAsia" w:ascii="宋体" w:hAnsi="宋体" w:eastAsia="宋体" w:cs="宋体"/>
                <w:i w:val="0"/>
                <w:color w:val="333333"/>
                <w:sz w:val="20"/>
                <w:szCs w:val="20"/>
                <w:u w:val="none"/>
              </w:rPr>
            </w:pPr>
          </w:p>
        </w:tc>
        <w:tc>
          <w:tcPr>
            <w:tcW w:w="1484"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4FFACC56">
            <w:pPr>
              <w:jc w:val="center"/>
              <w:rPr>
                <w:rFonts w:hint="eastAsia" w:ascii="宋体" w:hAnsi="宋体" w:eastAsia="宋体" w:cs="宋体"/>
                <w:i w:val="0"/>
                <w:color w:val="333333"/>
                <w:sz w:val="20"/>
                <w:szCs w:val="20"/>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F8D6A2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财务监控有效性</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C41C10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有效</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ADC19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F52E81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5F0524EE">
        <w:tblPrEx>
          <w:tblCellMar>
            <w:top w:w="0" w:type="dxa"/>
            <w:left w:w="0" w:type="dxa"/>
            <w:bottom w:w="0" w:type="dxa"/>
            <w:right w:w="0" w:type="dxa"/>
          </w:tblCellMar>
        </w:tblPrEx>
        <w:trPr>
          <w:trHeight w:val="9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7C848D">
            <w:pPr>
              <w:jc w:val="center"/>
              <w:rPr>
                <w:rFonts w:hint="eastAsia" w:ascii="宋体" w:hAnsi="宋体" w:eastAsia="宋体" w:cs="宋体"/>
                <w:i w:val="0"/>
                <w:color w:val="333333"/>
                <w:sz w:val="20"/>
                <w:szCs w:val="20"/>
                <w:u w:val="none"/>
              </w:rPr>
            </w:pPr>
          </w:p>
        </w:tc>
        <w:tc>
          <w:tcPr>
            <w:tcW w:w="1484"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B5784A6">
            <w:pPr>
              <w:jc w:val="center"/>
              <w:rPr>
                <w:rFonts w:hint="eastAsia" w:ascii="宋体" w:hAnsi="宋体" w:eastAsia="宋体" w:cs="宋体"/>
                <w:i w:val="0"/>
                <w:color w:val="333333"/>
                <w:sz w:val="20"/>
                <w:szCs w:val="20"/>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E70AFA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资金使用规范性</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C2C13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671E0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24EE2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C966044">
        <w:tblPrEx>
          <w:tblCellMar>
            <w:top w:w="0" w:type="dxa"/>
            <w:left w:w="0" w:type="dxa"/>
            <w:bottom w:w="0" w:type="dxa"/>
            <w:right w:w="0" w:type="dxa"/>
          </w:tblCellMar>
        </w:tblPrEx>
        <w:trPr>
          <w:trHeight w:val="9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26FD520">
            <w:pPr>
              <w:jc w:val="center"/>
              <w:rPr>
                <w:rFonts w:hint="eastAsia" w:ascii="宋体" w:hAnsi="宋体" w:eastAsia="宋体" w:cs="宋体"/>
                <w:i w:val="0"/>
                <w:color w:val="333333"/>
                <w:sz w:val="20"/>
                <w:szCs w:val="20"/>
                <w:u w:val="none"/>
              </w:rPr>
            </w:pPr>
          </w:p>
        </w:tc>
        <w:tc>
          <w:tcPr>
            <w:tcW w:w="1484" w:type="dxa"/>
            <w:gridSpan w:val="2"/>
            <w:vMerge w:val="restart"/>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2B0085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实施管理</w:t>
            </w:r>
          </w:p>
        </w:tc>
        <w:tc>
          <w:tcPr>
            <w:tcW w:w="22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6DCB3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供应商资质符合程度</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0A7A49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符合</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6FFED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241BF8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A3370BA">
        <w:tblPrEx>
          <w:tblCellMar>
            <w:top w:w="0" w:type="dxa"/>
            <w:left w:w="0" w:type="dxa"/>
            <w:bottom w:w="0" w:type="dxa"/>
            <w:right w:w="0" w:type="dxa"/>
          </w:tblCellMar>
        </w:tblPrEx>
        <w:trPr>
          <w:trHeight w:val="9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49BCFA9">
            <w:pPr>
              <w:jc w:val="center"/>
              <w:rPr>
                <w:rFonts w:hint="eastAsia" w:ascii="宋体" w:hAnsi="宋体" w:eastAsia="宋体" w:cs="宋体"/>
                <w:i w:val="0"/>
                <w:color w:val="333333"/>
                <w:sz w:val="20"/>
                <w:szCs w:val="20"/>
                <w:u w:val="none"/>
              </w:rPr>
            </w:pPr>
          </w:p>
        </w:tc>
        <w:tc>
          <w:tcPr>
            <w:tcW w:w="1484"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7CA39190">
            <w:pPr>
              <w:jc w:val="center"/>
              <w:rPr>
                <w:rFonts w:hint="eastAsia" w:ascii="宋体" w:hAnsi="宋体" w:eastAsia="宋体" w:cs="宋体"/>
                <w:i w:val="0"/>
                <w:color w:val="333333"/>
                <w:sz w:val="20"/>
                <w:szCs w:val="20"/>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0D8DD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合同管理完备性</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A26C9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完备</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807EBB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EB5D4B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36A6A3C7">
        <w:tblPrEx>
          <w:tblCellMar>
            <w:top w:w="0" w:type="dxa"/>
            <w:left w:w="0" w:type="dxa"/>
            <w:bottom w:w="0" w:type="dxa"/>
            <w:right w:w="0" w:type="dxa"/>
          </w:tblCellMar>
        </w:tblPrEx>
        <w:trPr>
          <w:trHeight w:val="9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F64CF6E">
            <w:pPr>
              <w:jc w:val="center"/>
              <w:rPr>
                <w:rFonts w:hint="eastAsia" w:ascii="宋体" w:hAnsi="宋体" w:eastAsia="宋体" w:cs="宋体"/>
                <w:i w:val="0"/>
                <w:color w:val="333333"/>
                <w:sz w:val="20"/>
                <w:szCs w:val="20"/>
                <w:u w:val="none"/>
              </w:rPr>
            </w:pPr>
          </w:p>
        </w:tc>
        <w:tc>
          <w:tcPr>
            <w:tcW w:w="1484"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982C622">
            <w:pPr>
              <w:jc w:val="center"/>
              <w:rPr>
                <w:rFonts w:hint="eastAsia" w:ascii="宋体" w:hAnsi="宋体" w:eastAsia="宋体" w:cs="宋体"/>
                <w:i w:val="0"/>
                <w:color w:val="333333"/>
                <w:sz w:val="20"/>
                <w:szCs w:val="20"/>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601D14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监理规范性</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E74FAC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E68DA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D6BA8F1">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7D2D445C">
        <w:tblPrEx>
          <w:tblCellMar>
            <w:top w:w="0" w:type="dxa"/>
            <w:left w:w="0" w:type="dxa"/>
            <w:bottom w:w="0" w:type="dxa"/>
            <w:right w:w="0" w:type="dxa"/>
          </w:tblCellMar>
        </w:tblPrEx>
        <w:trPr>
          <w:trHeight w:val="9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D04CD0">
            <w:pPr>
              <w:jc w:val="center"/>
              <w:rPr>
                <w:rFonts w:hint="eastAsia" w:ascii="宋体" w:hAnsi="宋体" w:eastAsia="宋体" w:cs="宋体"/>
                <w:i w:val="0"/>
                <w:color w:val="333333"/>
                <w:sz w:val="20"/>
                <w:szCs w:val="20"/>
                <w:u w:val="none"/>
              </w:rPr>
            </w:pPr>
          </w:p>
        </w:tc>
        <w:tc>
          <w:tcPr>
            <w:tcW w:w="1484"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67AA13D6">
            <w:pPr>
              <w:jc w:val="center"/>
              <w:rPr>
                <w:rFonts w:hint="eastAsia" w:ascii="宋体" w:hAnsi="宋体" w:eastAsia="宋体" w:cs="宋体"/>
                <w:i w:val="0"/>
                <w:color w:val="333333"/>
                <w:sz w:val="20"/>
                <w:szCs w:val="20"/>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D152C2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系统运维规范性</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678BB6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7D036D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15653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7478E95">
        <w:tblPrEx>
          <w:tblCellMar>
            <w:top w:w="0" w:type="dxa"/>
            <w:left w:w="0" w:type="dxa"/>
            <w:bottom w:w="0" w:type="dxa"/>
            <w:right w:w="0" w:type="dxa"/>
          </w:tblCellMar>
        </w:tblPrEx>
        <w:trPr>
          <w:trHeight w:val="9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587EFFD">
            <w:pPr>
              <w:jc w:val="center"/>
              <w:rPr>
                <w:rFonts w:hint="eastAsia" w:ascii="宋体" w:hAnsi="宋体" w:eastAsia="宋体" w:cs="宋体"/>
                <w:i w:val="0"/>
                <w:color w:val="333333"/>
                <w:sz w:val="20"/>
                <w:szCs w:val="20"/>
                <w:u w:val="none"/>
              </w:rPr>
            </w:pPr>
          </w:p>
        </w:tc>
        <w:tc>
          <w:tcPr>
            <w:tcW w:w="1484"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02E46F2E">
            <w:pPr>
              <w:jc w:val="center"/>
              <w:rPr>
                <w:rFonts w:hint="eastAsia" w:ascii="宋体" w:hAnsi="宋体" w:eastAsia="宋体" w:cs="宋体"/>
                <w:i w:val="0"/>
                <w:color w:val="333333"/>
                <w:sz w:val="20"/>
                <w:szCs w:val="20"/>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B13941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项目管理制度健全性</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860583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健全</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171910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48863E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BCB5191">
        <w:tblPrEx>
          <w:tblCellMar>
            <w:top w:w="0" w:type="dxa"/>
            <w:left w:w="0" w:type="dxa"/>
            <w:bottom w:w="0" w:type="dxa"/>
            <w:right w:w="0" w:type="dxa"/>
          </w:tblCellMar>
        </w:tblPrEx>
        <w:trPr>
          <w:trHeight w:val="9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0FA01D7">
            <w:pPr>
              <w:jc w:val="center"/>
              <w:rPr>
                <w:rFonts w:hint="eastAsia" w:ascii="宋体" w:hAnsi="宋体" w:eastAsia="宋体" w:cs="宋体"/>
                <w:i w:val="0"/>
                <w:color w:val="333333"/>
                <w:sz w:val="20"/>
                <w:szCs w:val="20"/>
                <w:u w:val="none"/>
              </w:rPr>
            </w:pPr>
          </w:p>
        </w:tc>
        <w:tc>
          <w:tcPr>
            <w:tcW w:w="1484"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01A02C1">
            <w:pPr>
              <w:jc w:val="center"/>
              <w:rPr>
                <w:rFonts w:hint="eastAsia" w:ascii="宋体" w:hAnsi="宋体" w:eastAsia="宋体" w:cs="宋体"/>
                <w:i w:val="0"/>
                <w:color w:val="333333"/>
                <w:sz w:val="20"/>
                <w:szCs w:val="20"/>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F416B6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项目验收规范性</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BD8DD8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86CE65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CE3B98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BF2018A">
        <w:tblPrEx>
          <w:tblCellMar>
            <w:top w:w="0" w:type="dxa"/>
            <w:left w:w="0" w:type="dxa"/>
            <w:bottom w:w="0" w:type="dxa"/>
            <w:right w:w="0" w:type="dxa"/>
          </w:tblCellMar>
        </w:tblPrEx>
        <w:trPr>
          <w:trHeight w:val="9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6811E2">
            <w:pPr>
              <w:jc w:val="center"/>
              <w:rPr>
                <w:rFonts w:hint="eastAsia" w:ascii="宋体" w:hAnsi="宋体" w:eastAsia="宋体" w:cs="宋体"/>
                <w:i w:val="0"/>
                <w:color w:val="333333"/>
                <w:sz w:val="20"/>
                <w:szCs w:val="20"/>
                <w:u w:val="none"/>
              </w:rPr>
            </w:pPr>
          </w:p>
        </w:tc>
        <w:tc>
          <w:tcPr>
            <w:tcW w:w="1484" w:type="dxa"/>
            <w:gridSpan w:val="2"/>
            <w:vMerge w:val="continue"/>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4D9BAA2">
            <w:pPr>
              <w:jc w:val="center"/>
              <w:rPr>
                <w:rFonts w:hint="eastAsia" w:ascii="宋体" w:hAnsi="宋体" w:eastAsia="宋体" w:cs="宋体"/>
                <w:i w:val="0"/>
                <w:color w:val="333333"/>
                <w:sz w:val="20"/>
                <w:szCs w:val="20"/>
                <w:u w:val="none"/>
              </w:rPr>
            </w:pPr>
          </w:p>
        </w:tc>
        <w:tc>
          <w:tcPr>
            <w:tcW w:w="22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ED05F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政府采购规范性</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58D67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规范</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E1BCB4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450557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2F270003">
        <w:tblPrEx>
          <w:tblCellMar>
            <w:top w:w="0" w:type="dxa"/>
            <w:left w:w="0" w:type="dxa"/>
            <w:bottom w:w="0" w:type="dxa"/>
            <w:right w:w="0" w:type="dxa"/>
          </w:tblCellMar>
        </w:tblPrEx>
        <w:trPr>
          <w:trHeight w:val="9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FB8D41">
            <w:pPr>
              <w:jc w:val="center"/>
              <w:rPr>
                <w:rFonts w:hint="eastAsia" w:ascii="宋体" w:hAnsi="宋体" w:eastAsia="宋体" w:cs="宋体"/>
                <w:i w:val="0"/>
                <w:color w:val="333333"/>
                <w:sz w:val="20"/>
                <w:szCs w:val="20"/>
                <w:u w:val="none"/>
              </w:rPr>
            </w:pPr>
          </w:p>
        </w:tc>
        <w:tc>
          <w:tcPr>
            <w:tcW w:w="1484"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603565D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资产管理</w:t>
            </w:r>
          </w:p>
        </w:tc>
        <w:tc>
          <w:tcPr>
            <w:tcW w:w="22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72A289C">
            <w:pPr>
              <w:jc w:val="center"/>
              <w:rPr>
                <w:rFonts w:hint="eastAsia" w:ascii="宋体" w:hAnsi="宋体" w:eastAsia="宋体" w:cs="宋体"/>
                <w:i w:val="0"/>
                <w:color w:val="333333"/>
                <w:sz w:val="20"/>
                <w:szCs w:val="20"/>
                <w:u w:val="none"/>
              </w:rPr>
            </w:pP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EC3387">
            <w:pPr>
              <w:jc w:val="center"/>
              <w:rPr>
                <w:rFonts w:hint="eastAsia" w:ascii="宋体" w:hAnsi="宋体" w:eastAsia="宋体" w:cs="宋体"/>
                <w:i w:val="0"/>
                <w:color w:val="333333"/>
                <w:sz w:val="20"/>
                <w:szCs w:val="20"/>
                <w:u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6D6C418">
            <w:pPr>
              <w:jc w:val="center"/>
              <w:rPr>
                <w:rFonts w:hint="eastAsia" w:ascii="宋体" w:hAnsi="宋体" w:eastAsia="宋体" w:cs="宋体"/>
                <w:i w:val="0"/>
                <w:color w:val="333333"/>
                <w:sz w:val="20"/>
                <w:szCs w:val="20"/>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28B3738">
            <w:pPr>
              <w:jc w:val="center"/>
              <w:rPr>
                <w:rFonts w:hint="eastAsia" w:ascii="宋体" w:hAnsi="宋体" w:eastAsia="宋体" w:cs="宋体"/>
                <w:i w:val="0"/>
                <w:color w:val="333333"/>
                <w:sz w:val="20"/>
                <w:szCs w:val="20"/>
                <w:u w:val="none"/>
              </w:rPr>
            </w:pPr>
          </w:p>
        </w:tc>
      </w:tr>
      <w:tr w14:paraId="53B3C0EE">
        <w:tblPrEx>
          <w:tblCellMar>
            <w:top w:w="0" w:type="dxa"/>
            <w:left w:w="0" w:type="dxa"/>
            <w:bottom w:w="0" w:type="dxa"/>
            <w:right w:w="0" w:type="dxa"/>
          </w:tblCellMar>
        </w:tblPrEx>
        <w:trPr>
          <w:trHeight w:val="90" w:hRule="atLeast"/>
        </w:trPr>
        <w:tc>
          <w:tcPr>
            <w:tcW w:w="1242" w:type="dxa"/>
            <w:vMerge w:val="restar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F5F74E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产出指标</w:t>
            </w:r>
          </w:p>
        </w:tc>
        <w:tc>
          <w:tcPr>
            <w:tcW w:w="1484"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24A674F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数量指标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EEE0EBC">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德古调解参与调解纠纷</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DA30A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件</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BBFB4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99%</w:t>
            </w:r>
          </w:p>
        </w:tc>
        <w:tc>
          <w:tcPr>
            <w:tcW w:w="17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118A52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99%</w:t>
            </w:r>
          </w:p>
        </w:tc>
      </w:tr>
      <w:tr w14:paraId="12DB3E4D">
        <w:tblPrEx>
          <w:tblCellMar>
            <w:top w:w="0" w:type="dxa"/>
            <w:left w:w="0" w:type="dxa"/>
            <w:bottom w:w="0" w:type="dxa"/>
            <w:right w:w="0" w:type="dxa"/>
          </w:tblCellMar>
        </w:tblPrEx>
        <w:trPr>
          <w:trHeight w:val="9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014208">
            <w:pPr>
              <w:jc w:val="center"/>
              <w:rPr>
                <w:rFonts w:hint="eastAsia" w:ascii="宋体" w:hAnsi="宋体" w:eastAsia="宋体" w:cs="宋体"/>
                <w:i w:val="0"/>
                <w:color w:val="333333"/>
                <w:sz w:val="20"/>
                <w:szCs w:val="20"/>
                <w:u w:val="none"/>
              </w:rPr>
            </w:pPr>
          </w:p>
        </w:tc>
        <w:tc>
          <w:tcPr>
            <w:tcW w:w="1484"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530EFDD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质量指标</w:t>
            </w:r>
          </w:p>
        </w:tc>
        <w:tc>
          <w:tcPr>
            <w:tcW w:w="22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AEE300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 xml:space="preserve">调解成功率 </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8C0F11D">
            <w:pPr>
              <w:keepNext w:val="0"/>
              <w:keepLines w:val="0"/>
              <w:widowControl/>
              <w:suppressLineNumbers w:val="0"/>
              <w:jc w:val="center"/>
              <w:textAlignment w:val="center"/>
              <w:rPr>
                <w:rFonts w:ascii="Arial" w:hAnsi="Arial" w:eastAsia="宋体" w:cs="Arial"/>
                <w:i w:val="0"/>
                <w:color w:val="333333"/>
                <w:sz w:val="20"/>
                <w:szCs w:val="20"/>
                <w:u w:val="none"/>
              </w:rPr>
            </w:pPr>
            <w:r>
              <w:rPr>
                <w:rStyle w:val="37"/>
                <w:rFonts w:eastAsia="宋体"/>
                <w:lang w:val="en-US" w:eastAsia="zh-CN" w:bidi="ar"/>
              </w:rPr>
              <w:t>≥</w:t>
            </w:r>
            <w:r>
              <w:rPr>
                <w:rFonts w:hint="eastAsia" w:ascii="宋体" w:hAnsi="宋体" w:eastAsia="宋体" w:cs="宋体"/>
                <w:i w:val="0"/>
                <w:color w:val="333333"/>
                <w:kern w:val="0"/>
                <w:sz w:val="20"/>
                <w:szCs w:val="20"/>
                <w:u w:val="none"/>
                <w:lang w:val="en-US" w:eastAsia="zh-CN" w:bidi="ar"/>
              </w:rPr>
              <w:t>98%</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D95196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98%</w:t>
            </w:r>
          </w:p>
        </w:tc>
        <w:tc>
          <w:tcPr>
            <w:tcW w:w="17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90C33D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98%</w:t>
            </w:r>
          </w:p>
        </w:tc>
      </w:tr>
      <w:tr w14:paraId="693A0A92">
        <w:tblPrEx>
          <w:tblCellMar>
            <w:top w:w="0" w:type="dxa"/>
            <w:left w:w="0" w:type="dxa"/>
            <w:bottom w:w="0" w:type="dxa"/>
            <w:right w:w="0" w:type="dxa"/>
          </w:tblCellMar>
        </w:tblPrEx>
        <w:trPr>
          <w:trHeight w:val="9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833CEE6">
            <w:pPr>
              <w:jc w:val="center"/>
              <w:rPr>
                <w:rFonts w:hint="eastAsia" w:ascii="宋体" w:hAnsi="宋体" w:eastAsia="宋体" w:cs="宋体"/>
                <w:i w:val="0"/>
                <w:color w:val="333333"/>
                <w:sz w:val="20"/>
                <w:szCs w:val="20"/>
                <w:u w:val="none"/>
              </w:rPr>
            </w:pPr>
          </w:p>
        </w:tc>
        <w:tc>
          <w:tcPr>
            <w:tcW w:w="1484"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19CA63D3">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时效指标</w:t>
            </w:r>
          </w:p>
        </w:tc>
        <w:tc>
          <w:tcPr>
            <w:tcW w:w="22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5720B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发放德古案件补贴</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7990497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12月31日前</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07998E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EF0266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BC70398">
        <w:tblPrEx>
          <w:tblCellMar>
            <w:top w:w="0" w:type="dxa"/>
            <w:left w:w="0" w:type="dxa"/>
            <w:bottom w:w="0" w:type="dxa"/>
            <w:right w:w="0" w:type="dxa"/>
          </w:tblCellMar>
        </w:tblPrEx>
        <w:trPr>
          <w:trHeight w:val="9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79123F9">
            <w:pPr>
              <w:jc w:val="center"/>
              <w:rPr>
                <w:rFonts w:hint="eastAsia" w:ascii="宋体" w:hAnsi="宋体" w:eastAsia="宋体" w:cs="宋体"/>
                <w:i w:val="0"/>
                <w:color w:val="333333"/>
                <w:sz w:val="20"/>
                <w:szCs w:val="20"/>
                <w:u w:val="none"/>
              </w:rPr>
            </w:pPr>
          </w:p>
        </w:tc>
        <w:tc>
          <w:tcPr>
            <w:tcW w:w="1484"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5A4261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成本指标</w:t>
            </w:r>
          </w:p>
        </w:tc>
        <w:tc>
          <w:tcPr>
            <w:tcW w:w="22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2E36FF7">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考核合格，“以奖代补”</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D50004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28.32</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7AA1F2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AB65704">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676813B2">
        <w:tblPrEx>
          <w:tblCellMar>
            <w:top w:w="0" w:type="dxa"/>
            <w:left w:w="0" w:type="dxa"/>
            <w:bottom w:w="0" w:type="dxa"/>
            <w:right w:w="0" w:type="dxa"/>
          </w:tblCellMar>
        </w:tblPrEx>
        <w:trPr>
          <w:trHeight w:val="9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301EA9">
            <w:pPr>
              <w:jc w:val="center"/>
              <w:rPr>
                <w:rFonts w:hint="eastAsia" w:ascii="宋体" w:hAnsi="宋体" w:eastAsia="宋体" w:cs="宋体"/>
                <w:i w:val="0"/>
                <w:color w:val="333333"/>
                <w:sz w:val="20"/>
                <w:szCs w:val="20"/>
                <w:u w:val="none"/>
              </w:rPr>
            </w:pPr>
          </w:p>
        </w:tc>
        <w:tc>
          <w:tcPr>
            <w:tcW w:w="1484"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73D2B6F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社会效益指标</w:t>
            </w:r>
          </w:p>
        </w:tc>
        <w:tc>
          <w:tcPr>
            <w:tcW w:w="22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AEC0D90">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化解社会矛盾</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F93BCEF">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 xml:space="preserve"> 有效维护民族地区社会稳定</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44D2A14B">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BDF54B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05020E88">
        <w:tblPrEx>
          <w:tblCellMar>
            <w:top w:w="0" w:type="dxa"/>
            <w:left w:w="0" w:type="dxa"/>
            <w:bottom w:w="0" w:type="dxa"/>
            <w:right w:w="0" w:type="dxa"/>
          </w:tblCellMar>
        </w:tblPrEx>
        <w:trPr>
          <w:trHeight w:val="90" w:hRule="atLeast"/>
        </w:trPr>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5558BE3">
            <w:pPr>
              <w:jc w:val="center"/>
              <w:rPr>
                <w:rFonts w:hint="eastAsia" w:ascii="宋体" w:hAnsi="宋体" w:eastAsia="宋体" w:cs="宋体"/>
                <w:i w:val="0"/>
                <w:color w:val="333333"/>
                <w:sz w:val="20"/>
                <w:szCs w:val="20"/>
                <w:u w:val="none"/>
              </w:rPr>
            </w:pPr>
          </w:p>
        </w:tc>
        <w:tc>
          <w:tcPr>
            <w:tcW w:w="1484"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3CC221A9">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可持续影响指标</w:t>
            </w:r>
          </w:p>
        </w:tc>
        <w:tc>
          <w:tcPr>
            <w:tcW w:w="225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14:paraId="11CE5D9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 xml:space="preserve"> 提高德古调解员积极性，为当事人减轻经济负担</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238F67AA">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 xml:space="preserve">营造浓厚的法治氛围  </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185F67B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c>
          <w:tcPr>
            <w:tcW w:w="17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0CDE31A5">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r w14:paraId="4A1A25ED">
        <w:tblPrEx>
          <w:tblCellMar>
            <w:top w:w="0" w:type="dxa"/>
            <w:left w:w="0" w:type="dxa"/>
            <w:bottom w:w="0" w:type="dxa"/>
            <w:right w:w="0" w:type="dxa"/>
          </w:tblCellMar>
        </w:tblPrEx>
        <w:trPr>
          <w:trHeight w:val="90" w:hRule="atLeast"/>
        </w:trPr>
        <w:tc>
          <w:tcPr>
            <w:tcW w:w="124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33D611E">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1484" w:type="dxa"/>
            <w:gridSpan w:val="2"/>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14:paraId="12BBB168">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满意度指标</w:t>
            </w:r>
          </w:p>
        </w:tc>
        <w:tc>
          <w:tcPr>
            <w:tcW w:w="225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6513A212">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调查评估</w:t>
            </w:r>
          </w:p>
        </w:tc>
        <w:tc>
          <w:tcPr>
            <w:tcW w:w="185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82CADA6">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群众满意度达≧95</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3303AFCB">
            <w:pPr>
              <w:keepNext w:val="0"/>
              <w:keepLines w:val="0"/>
              <w:widowControl/>
              <w:suppressLineNumbers w:val="0"/>
              <w:jc w:val="center"/>
              <w:textAlignment w:val="center"/>
              <w:rPr>
                <w:rFonts w:ascii="宋体" w:hAnsi="宋体" w:eastAsia="宋体" w:cs="宋体"/>
                <w:i w:val="0"/>
                <w:color w:val="333333"/>
                <w:sz w:val="20"/>
                <w:szCs w:val="20"/>
                <w:u w:val="none"/>
              </w:rPr>
            </w:pPr>
            <w:r>
              <w:rPr>
                <w:rFonts w:ascii="宋体" w:hAnsi="宋体" w:eastAsia="宋体" w:cs="宋体"/>
                <w:i w:val="0"/>
                <w:color w:val="333333"/>
                <w:kern w:val="0"/>
                <w:sz w:val="20"/>
                <w:szCs w:val="20"/>
                <w:u w:val="none"/>
                <w:lang w:val="en-US" w:eastAsia="zh-CN" w:bidi="ar"/>
              </w:rPr>
              <w:t>100%</w:t>
            </w:r>
          </w:p>
        </w:tc>
        <w:tc>
          <w:tcPr>
            <w:tcW w:w="177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14:paraId="54035DBD">
            <w:pPr>
              <w:keepNext w:val="0"/>
              <w:keepLines w:val="0"/>
              <w:widowControl/>
              <w:suppressLineNumbers w:val="0"/>
              <w:jc w:val="center"/>
              <w:textAlignment w:val="center"/>
              <w:rPr>
                <w:rFonts w:hint="eastAsia" w:ascii="宋体" w:hAnsi="宋体" w:eastAsia="宋体" w:cs="宋体"/>
                <w:i w:val="0"/>
                <w:color w:val="333333"/>
                <w:sz w:val="20"/>
                <w:szCs w:val="20"/>
                <w:u w:val="none"/>
              </w:rPr>
            </w:pPr>
            <w:r>
              <w:rPr>
                <w:rFonts w:hint="eastAsia" w:ascii="宋体" w:hAnsi="宋体" w:eastAsia="宋体" w:cs="宋体"/>
                <w:i w:val="0"/>
                <w:color w:val="333333"/>
                <w:kern w:val="0"/>
                <w:sz w:val="20"/>
                <w:szCs w:val="20"/>
                <w:u w:val="none"/>
                <w:lang w:val="en-US" w:eastAsia="zh-CN" w:bidi="ar"/>
              </w:rPr>
              <w:t>100%</w:t>
            </w:r>
          </w:p>
        </w:tc>
      </w:tr>
    </w:tbl>
    <w:p w14:paraId="7E88AC1F">
      <w:pPr>
        <w:pStyle w:val="9"/>
        <w:spacing w:before="93"/>
        <w:rPr>
          <w:rFonts w:hint="eastAsia" w:hAnsi="Calibri" w:eastAsia="仿宋_GB2312" w:cs="仿宋"/>
          <w:sz w:val="32"/>
          <w:szCs w:val="32"/>
          <w:lang w:eastAsia="zh-CN"/>
        </w:rPr>
      </w:pPr>
    </w:p>
    <w:p w14:paraId="36115032">
      <w:pPr>
        <w:keepNext w:val="0"/>
        <w:keepLines w:val="0"/>
        <w:pageBreakBefore w:val="0"/>
        <w:widowControl w:val="0"/>
        <w:numPr>
          <w:ilvl w:val="0"/>
          <w:numId w:val="0"/>
        </w:numPr>
        <w:kinsoku/>
        <w:wordWrap/>
        <w:overflowPunct/>
        <w:topLinePunct w:val="0"/>
        <w:autoSpaceDE/>
        <w:autoSpaceDN/>
        <w:bidi w:val="0"/>
        <w:adjustRightInd/>
        <w:snapToGrid/>
        <w:spacing w:line="700" w:lineRule="exact"/>
        <w:jc w:val="center"/>
        <w:textAlignment w:val="auto"/>
        <w:outlineLvl w:val="0"/>
        <w:rPr>
          <w:rStyle w:val="30"/>
          <w:rFonts w:hint="eastAsia" w:ascii="方正小标宋简体" w:hAnsi="方正小标宋简体" w:eastAsia="方正小标宋简体" w:cs="方正小标宋简体"/>
          <w:b w:val="0"/>
          <w:sz w:val="44"/>
          <w:szCs w:val="44"/>
        </w:rPr>
      </w:pPr>
      <w:r>
        <w:rPr>
          <w:rFonts w:hint="eastAsia" w:ascii="方正小标宋简体" w:hAnsi="方正小标宋简体" w:eastAsia="方正小标宋简体" w:cs="方正小标宋简体"/>
          <w:b w:val="0"/>
          <w:bCs/>
          <w:kern w:val="44"/>
          <w:sz w:val="44"/>
          <w:szCs w:val="44"/>
          <w:lang w:val="en-US" w:eastAsia="zh-CN" w:bidi="ar-SA"/>
        </w:rPr>
        <w:t xml:space="preserve">第五部分 </w:t>
      </w:r>
      <w:r>
        <w:rPr>
          <w:rStyle w:val="30"/>
          <w:rFonts w:hint="eastAsia" w:ascii="方正小标宋简体" w:hAnsi="方正小标宋简体" w:eastAsia="方正小标宋简体" w:cs="方正小标宋简体"/>
          <w:b w:val="0"/>
          <w:sz w:val="44"/>
          <w:szCs w:val="44"/>
        </w:rPr>
        <w:t>附表</w:t>
      </w:r>
      <w:bookmarkEnd w:id="18"/>
      <w:bookmarkEnd w:id="54"/>
      <w:bookmarkStart w:id="55" w:name="_Toc15396619"/>
    </w:p>
    <w:p w14:paraId="2726BD52">
      <w:pPr>
        <w:pStyle w:val="2"/>
        <w:rPr>
          <w:rFonts w:hint="eastAsia"/>
        </w:rPr>
      </w:pPr>
    </w:p>
    <w:p w14:paraId="1514400A">
      <w:pPr>
        <w:pStyle w:val="6"/>
        <w:keepNext/>
        <w:keepLines/>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Fonts w:hint="eastAsia" w:ascii="仿宋_GB2312" w:hAnsi="仿宋_GB2312" w:eastAsia="仿宋_GB2312" w:cs="仿宋_GB2312"/>
          <w:b w:val="0"/>
        </w:rPr>
        <w:t>一、收</w:t>
      </w:r>
      <w:r>
        <w:rPr>
          <w:rStyle w:val="31"/>
          <w:rFonts w:hint="eastAsia" w:ascii="仿宋_GB2312" w:hAnsi="仿宋_GB2312" w:eastAsia="仿宋_GB2312" w:cs="仿宋_GB2312"/>
          <w:b w:val="0"/>
          <w:bCs w:val="0"/>
        </w:rPr>
        <w:t>入支出决算总表</w:t>
      </w:r>
      <w:bookmarkEnd w:id="55"/>
    </w:p>
    <w:p w14:paraId="61734E2D">
      <w:pPr>
        <w:pStyle w:val="6"/>
        <w:keepNext/>
        <w:keepLines/>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bookmarkStart w:id="56" w:name="_Toc15396620"/>
      <w:r>
        <w:rPr>
          <w:rFonts w:hint="eastAsia" w:ascii="仿宋_GB2312" w:hAnsi="仿宋_GB2312" w:eastAsia="仿宋_GB2312" w:cs="仿宋_GB2312"/>
          <w:b w:val="0"/>
        </w:rPr>
        <w:t>二、收</w:t>
      </w:r>
      <w:r>
        <w:rPr>
          <w:rStyle w:val="31"/>
          <w:rFonts w:hint="eastAsia" w:ascii="仿宋_GB2312" w:hAnsi="仿宋_GB2312" w:eastAsia="仿宋_GB2312" w:cs="仿宋_GB2312"/>
          <w:b w:val="0"/>
          <w:bCs w:val="0"/>
        </w:rPr>
        <w:t>入决算表</w:t>
      </w:r>
      <w:bookmarkEnd w:id="56"/>
    </w:p>
    <w:p w14:paraId="00A6ACCD">
      <w:pPr>
        <w:pStyle w:val="6"/>
        <w:keepNext/>
        <w:keepLines/>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bookmarkStart w:id="57" w:name="_Toc15396621"/>
      <w:r>
        <w:rPr>
          <w:rStyle w:val="31"/>
          <w:rFonts w:hint="eastAsia" w:ascii="仿宋_GB2312" w:hAnsi="仿宋_GB2312" w:eastAsia="仿宋_GB2312" w:cs="仿宋_GB2312"/>
          <w:b w:val="0"/>
          <w:bCs w:val="0"/>
        </w:rPr>
        <w:t>三、</w:t>
      </w:r>
      <w:r>
        <w:rPr>
          <w:rFonts w:hint="eastAsia" w:ascii="仿宋_GB2312" w:hAnsi="仿宋_GB2312" w:eastAsia="仿宋_GB2312" w:cs="仿宋_GB2312"/>
          <w:b w:val="0"/>
        </w:rPr>
        <w:t>支</w:t>
      </w:r>
      <w:r>
        <w:rPr>
          <w:rStyle w:val="31"/>
          <w:rFonts w:hint="eastAsia" w:ascii="仿宋_GB2312" w:hAnsi="仿宋_GB2312" w:eastAsia="仿宋_GB2312" w:cs="仿宋_GB2312"/>
          <w:b w:val="0"/>
          <w:bCs w:val="0"/>
        </w:rPr>
        <w:t>出决算表</w:t>
      </w:r>
      <w:bookmarkEnd w:id="57"/>
    </w:p>
    <w:p w14:paraId="0D16B9F2">
      <w:pPr>
        <w:pStyle w:val="6"/>
        <w:keepNext/>
        <w:keepLines/>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rPr>
      </w:pPr>
      <w:bookmarkStart w:id="58" w:name="_Toc15396622"/>
      <w:r>
        <w:rPr>
          <w:rStyle w:val="31"/>
          <w:rFonts w:hint="eastAsia" w:ascii="仿宋_GB2312" w:hAnsi="仿宋_GB2312" w:eastAsia="仿宋_GB2312" w:cs="仿宋_GB2312"/>
          <w:b w:val="0"/>
          <w:bCs w:val="0"/>
        </w:rPr>
        <w:t>四、</w:t>
      </w:r>
      <w:r>
        <w:rPr>
          <w:rFonts w:hint="eastAsia" w:ascii="仿宋_GB2312" w:hAnsi="仿宋_GB2312" w:eastAsia="仿宋_GB2312" w:cs="仿宋_GB2312"/>
          <w:b w:val="0"/>
        </w:rPr>
        <w:t>财</w:t>
      </w:r>
      <w:r>
        <w:rPr>
          <w:rStyle w:val="31"/>
          <w:rFonts w:hint="eastAsia" w:ascii="仿宋_GB2312" w:hAnsi="仿宋_GB2312" w:eastAsia="仿宋_GB2312" w:cs="仿宋_GB2312"/>
          <w:b w:val="0"/>
          <w:bCs w:val="0"/>
        </w:rPr>
        <w:t>政拨款收入支出决算总表</w:t>
      </w:r>
      <w:bookmarkEnd w:id="58"/>
    </w:p>
    <w:p w14:paraId="30E4774E">
      <w:pPr>
        <w:pStyle w:val="6"/>
        <w:keepNext/>
        <w:keepLines/>
        <w:pageBreakBefore w:val="0"/>
        <w:widowControl w:val="0"/>
        <w:kinsoku/>
        <w:wordWrap/>
        <w:overflowPunct/>
        <w:topLinePunct w:val="0"/>
        <w:autoSpaceDE/>
        <w:autoSpaceDN/>
        <w:bidi w:val="0"/>
        <w:adjustRightInd/>
        <w:snapToGrid/>
        <w:spacing w:line="600" w:lineRule="exact"/>
        <w:textAlignment w:val="auto"/>
        <w:rPr>
          <w:rStyle w:val="31"/>
          <w:rFonts w:hint="eastAsia" w:ascii="仿宋_GB2312" w:hAnsi="仿宋_GB2312" w:eastAsia="仿宋_GB2312" w:cs="仿宋_GB2312"/>
          <w:b w:val="0"/>
          <w:bCs w:val="0"/>
        </w:rPr>
      </w:pPr>
      <w:bookmarkStart w:id="59" w:name="_Toc15396623"/>
      <w:r>
        <w:rPr>
          <w:rStyle w:val="31"/>
          <w:rFonts w:hint="eastAsia" w:ascii="仿宋_GB2312" w:hAnsi="仿宋_GB2312" w:eastAsia="仿宋_GB2312" w:cs="仿宋_GB2312"/>
          <w:b w:val="0"/>
          <w:bCs w:val="0"/>
        </w:rPr>
        <w:t>五、</w:t>
      </w:r>
      <w:r>
        <w:rPr>
          <w:rFonts w:hint="eastAsia" w:ascii="仿宋_GB2312" w:hAnsi="仿宋_GB2312" w:eastAsia="仿宋_GB2312" w:cs="仿宋_GB2312"/>
          <w:b w:val="0"/>
        </w:rPr>
        <w:t>财</w:t>
      </w:r>
      <w:r>
        <w:rPr>
          <w:rStyle w:val="31"/>
          <w:rFonts w:hint="eastAsia" w:ascii="仿宋_GB2312" w:hAnsi="仿宋_GB2312" w:eastAsia="仿宋_GB2312" w:cs="仿宋_GB2312"/>
          <w:b w:val="0"/>
          <w:bCs w:val="0"/>
        </w:rPr>
        <w:t>政拨款支出决算明细表</w:t>
      </w:r>
      <w:bookmarkEnd w:id="59"/>
      <w:bookmarkStart w:id="60" w:name="_Toc15396624"/>
    </w:p>
    <w:p w14:paraId="11318ECF">
      <w:pPr>
        <w:pStyle w:val="6"/>
        <w:keepNext/>
        <w:keepLines/>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r>
        <w:rPr>
          <w:rStyle w:val="31"/>
          <w:rFonts w:hint="eastAsia" w:ascii="仿宋_GB2312" w:hAnsi="仿宋_GB2312" w:eastAsia="仿宋_GB2312" w:cs="仿宋_GB2312"/>
          <w:b w:val="0"/>
          <w:bCs w:val="0"/>
        </w:rPr>
        <w:t>六、</w:t>
      </w:r>
      <w:r>
        <w:rPr>
          <w:rFonts w:hint="eastAsia" w:ascii="仿宋_GB2312" w:hAnsi="仿宋_GB2312" w:eastAsia="仿宋_GB2312" w:cs="仿宋_GB2312"/>
          <w:b w:val="0"/>
        </w:rPr>
        <w:t>一</w:t>
      </w:r>
      <w:r>
        <w:rPr>
          <w:rStyle w:val="31"/>
          <w:rFonts w:hint="eastAsia" w:ascii="仿宋_GB2312" w:hAnsi="仿宋_GB2312" w:eastAsia="仿宋_GB2312" w:cs="仿宋_GB2312"/>
          <w:b w:val="0"/>
          <w:bCs w:val="0"/>
        </w:rPr>
        <w:t>般公共预算财政拨款支出决算表</w:t>
      </w:r>
      <w:bookmarkEnd w:id="60"/>
    </w:p>
    <w:p w14:paraId="22E1A0FF">
      <w:pPr>
        <w:pStyle w:val="6"/>
        <w:keepNext/>
        <w:keepLines/>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bookmarkStart w:id="61" w:name="_Toc15396625"/>
      <w:r>
        <w:rPr>
          <w:rStyle w:val="31"/>
          <w:rFonts w:hint="eastAsia" w:ascii="仿宋_GB2312" w:hAnsi="仿宋_GB2312" w:eastAsia="仿宋_GB2312" w:cs="仿宋_GB2312"/>
          <w:b w:val="0"/>
          <w:bCs w:val="0"/>
        </w:rPr>
        <w:t>七、</w:t>
      </w:r>
      <w:r>
        <w:rPr>
          <w:rFonts w:hint="eastAsia" w:ascii="仿宋_GB2312" w:hAnsi="仿宋_GB2312" w:eastAsia="仿宋_GB2312" w:cs="仿宋_GB2312"/>
          <w:b w:val="0"/>
        </w:rPr>
        <w:t>一</w:t>
      </w:r>
      <w:r>
        <w:rPr>
          <w:rStyle w:val="31"/>
          <w:rFonts w:hint="eastAsia" w:ascii="仿宋_GB2312" w:hAnsi="仿宋_GB2312" w:eastAsia="仿宋_GB2312" w:cs="仿宋_GB2312"/>
          <w:b w:val="0"/>
          <w:bCs w:val="0"/>
        </w:rPr>
        <w:t>般公共预算财政拨款支出决算明细表</w:t>
      </w:r>
      <w:bookmarkEnd w:id="61"/>
    </w:p>
    <w:p w14:paraId="307F0760">
      <w:pPr>
        <w:pStyle w:val="6"/>
        <w:keepNext/>
        <w:keepLines/>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bookmarkStart w:id="62" w:name="_Toc15396626"/>
      <w:r>
        <w:rPr>
          <w:rStyle w:val="31"/>
          <w:rFonts w:hint="eastAsia" w:ascii="仿宋_GB2312" w:hAnsi="仿宋_GB2312" w:eastAsia="仿宋_GB2312" w:cs="仿宋_GB2312"/>
          <w:b w:val="0"/>
          <w:bCs w:val="0"/>
        </w:rPr>
        <w:t>八、</w:t>
      </w:r>
      <w:r>
        <w:rPr>
          <w:rFonts w:hint="eastAsia" w:ascii="仿宋_GB2312" w:hAnsi="仿宋_GB2312" w:eastAsia="仿宋_GB2312" w:cs="仿宋_GB2312"/>
          <w:b w:val="0"/>
        </w:rPr>
        <w:t>一</w:t>
      </w:r>
      <w:r>
        <w:rPr>
          <w:rStyle w:val="31"/>
          <w:rFonts w:hint="eastAsia" w:ascii="仿宋_GB2312" w:hAnsi="仿宋_GB2312" w:eastAsia="仿宋_GB2312" w:cs="仿宋_GB2312"/>
          <w:b w:val="0"/>
          <w:bCs w:val="0"/>
        </w:rPr>
        <w:t>般公共预算财政拨款基本支出决算表</w:t>
      </w:r>
      <w:bookmarkEnd w:id="62"/>
    </w:p>
    <w:p w14:paraId="185BCB9E">
      <w:pPr>
        <w:pStyle w:val="6"/>
        <w:keepNext/>
        <w:keepLines/>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bookmarkStart w:id="63" w:name="_Toc15396627"/>
      <w:r>
        <w:rPr>
          <w:rStyle w:val="31"/>
          <w:rFonts w:hint="eastAsia" w:ascii="仿宋_GB2312" w:hAnsi="仿宋_GB2312" w:eastAsia="仿宋_GB2312" w:cs="仿宋_GB2312"/>
          <w:b w:val="0"/>
          <w:bCs w:val="0"/>
        </w:rPr>
        <w:t>九、</w:t>
      </w:r>
      <w:r>
        <w:rPr>
          <w:rFonts w:hint="eastAsia" w:ascii="仿宋_GB2312" w:hAnsi="仿宋_GB2312" w:eastAsia="仿宋_GB2312" w:cs="仿宋_GB2312"/>
          <w:b w:val="0"/>
        </w:rPr>
        <w:t>一</w:t>
      </w:r>
      <w:r>
        <w:rPr>
          <w:rStyle w:val="31"/>
          <w:rFonts w:hint="eastAsia" w:ascii="仿宋_GB2312" w:hAnsi="仿宋_GB2312" w:eastAsia="仿宋_GB2312" w:cs="仿宋_GB2312"/>
          <w:b w:val="0"/>
          <w:bCs w:val="0"/>
        </w:rPr>
        <w:t>般公共预算财政拨款项目支出决算表</w:t>
      </w:r>
      <w:bookmarkEnd w:id="63"/>
    </w:p>
    <w:p w14:paraId="6FF381A9">
      <w:pPr>
        <w:pStyle w:val="6"/>
        <w:keepNext/>
        <w:keepLines/>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bookmarkStart w:id="64" w:name="_Toc15396628"/>
      <w:r>
        <w:rPr>
          <w:rStyle w:val="31"/>
          <w:rFonts w:hint="eastAsia" w:ascii="仿宋_GB2312" w:hAnsi="仿宋_GB2312" w:eastAsia="仿宋_GB2312" w:cs="仿宋_GB2312"/>
          <w:b w:val="0"/>
          <w:bCs w:val="0"/>
        </w:rPr>
        <w:t>十、</w:t>
      </w:r>
      <w:bookmarkEnd w:id="64"/>
      <w:r>
        <w:rPr>
          <w:rFonts w:hint="eastAsia" w:ascii="仿宋_GB2312" w:hAnsi="仿宋_GB2312" w:eastAsia="仿宋_GB2312" w:cs="仿宋_GB2312"/>
          <w:b w:val="0"/>
        </w:rPr>
        <w:t>政</w:t>
      </w:r>
      <w:r>
        <w:rPr>
          <w:rStyle w:val="31"/>
          <w:rFonts w:hint="eastAsia" w:ascii="仿宋_GB2312" w:hAnsi="仿宋_GB2312" w:eastAsia="仿宋_GB2312" w:cs="仿宋_GB2312"/>
          <w:b w:val="0"/>
          <w:bCs w:val="0"/>
        </w:rPr>
        <w:t>府性基金预算财政拨款收入支出决算表</w:t>
      </w:r>
    </w:p>
    <w:p w14:paraId="1E6C6747">
      <w:pPr>
        <w:pStyle w:val="6"/>
        <w:keepNext/>
        <w:keepLines/>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bookmarkStart w:id="65" w:name="_Toc15396629"/>
      <w:r>
        <w:rPr>
          <w:rStyle w:val="31"/>
          <w:rFonts w:hint="eastAsia" w:ascii="仿宋_GB2312" w:hAnsi="仿宋_GB2312" w:eastAsia="仿宋_GB2312" w:cs="仿宋_GB2312"/>
          <w:b w:val="0"/>
          <w:bCs w:val="0"/>
        </w:rPr>
        <w:t>十一、</w:t>
      </w:r>
      <w:bookmarkEnd w:id="65"/>
      <w:r>
        <w:rPr>
          <w:rFonts w:hint="eastAsia" w:ascii="仿宋_GB2312" w:hAnsi="仿宋_GB2312" w:eastAsia="仿宋_GB2312" w:cs="仿宋_GB2312"/>
          <w:b w:val="0"/>
        </w:rPr>
        <w:t>国</w:t>
      </w:r>
      <w:r>
        <w:rPr>
          <w:rStyle w:val="31"/>
          <w:rFonts w:hint="eastAsia" w:ascii="仿宋_GB2312" w:hAnsi="仿宋_GB2312" w:eastAsia="仿宋_GB2312" w:cs="仿宋_GB2312"/>
          <w:b w:val="0"/>
          <w:bCs w:val="0"/>
        </w:rPr>
        <w:t>有资本经营预算财政拨款收入支出决算表</w:t>
      </w:r>
    </w:p>
    <w:p w14:paraId="1CDD45F8">
      <w:pPr>
        <w:pStyle w:val="6"/>
        <w:keepNext/>
        <w:keepLines/>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bookmarkStart w:id="66" w:name="_Toc15396630"/>
      <w:r>
        <w:rPr>
          <w:rStyle w:val="31"/>
          <w:rFonts w:hint="eastAsia" w:ascii="仿宋_GB2312" w:hAnsi="仿宋_GB2312" w:eastAsia="仿宋_GB2312" w:cs="仿宋_GB2312"/>
          <w:b w:val="0"/>
          <w:bCs w:val="0"/>
        </w:rPr>
        <w:t>十二、</w:t>
      </w:r>
      <w:bookmarkEnd w:id="66"/>
      <w:r>
        <w:rPr>
          <w:rStyle w:val="31"/>
          <w:rFonts w:hint="eastAsia" w:ascii="仿宋_GB2312" w:hAnsi="仿宋_GB2312" w:eastAsia="仿宋_GB2312" w:cs="仿宋_GB2312"/>
          <w:b w:val="0"/>
          <w:bCs w:val="0"/>
        </w:rPr>
        <w:t>国有资本经营预算财政拨款支出决算表</w:t>
      </w:r>
    </w:p>
    <w:p w14:paraId="300D2E12">
      <w:pPr>
        <w:pStyle w:val="6"/>
        <w:keepNext/>
        <w:keepLines/>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rPr>
      </w:pPr>
      <w:bookmarkStart w:id="67" w:name="_Toc15396631"/>
      <w:r>
        <w:rPr>
          <w:rStyle w:val="31"/>
          <w:rFonts w:hint="eastAsia" w:ascii="仿宋_GB2312" w:hAnsi="仿宋_GB2312" w:eastAsia="仿宋_GB2312" w:cs="仿宋_GB2312"/>
          <w:b w:val="0"/>
          <w:bCs w:val="0"/>
        </w:rPr>
        <w:t>十三、</w:t>
      </w:r>
      <w:bookmarkEnd w:id="67"/>
      <w:r>
        <w:rPr>
          <w:rStyle w:val="31"/>
          <w:rFonts w:hint="eastAsia" w:ascii="仿宋_GB2312" w:hAnsi="仿宋_GB2312" w:eastAsia="仿宋_GB2312" w:cs="仿宋_GB2312"/>
          <w:b w:val="0"/>
          <w:bCs w:val="0"/>
        </w:rPr>
        <w:t>财政拨款“三公”经费支出决算表</w:t>
      </w:r>
    </w:p>
    <w:sectPr>
      <w:footerReference r:id="rId6" w:type="default"/>
      <w:pgSz w:w="11906" w:h="16838"/>
      <w:pgMar w:top="2098" w:right="1474" w:bottom="1984" w:left="1587"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CEBBD68F-4A37-44ED-BFBC-BECA8FB0F22B}"/>
  </w:font>
  <w:font w:name="黑体">
    <w:panose1 w:val="02010609060101010101"/>
    <w:charset w:val="86"/>
    <w:family w:val="auto"/>
    <w:pitch w:val="default"/>
    <w:sig w:usb0="800002BF" w:usb1="38CF7CFA" w:usb2="00000016" w:usb3="00000000" w:csb0="00040001" w:csb1="00000000"/>
    <w:embedRegular r:id="rId2" w:fontKey="{62FF1418-DF01-4FFD-9C99-9C8DD138FA3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4A1C1062-2920-4329-9FD1-CBFCEF527B54}"/>
  </w:font>
  <w:font w:name="仿宋">
    <w:panose1 w:val="02010609060101010101"/>
    <w:charset w:val="86"/>
    <w:family w:val="modern"/>
    <w:pitch w:val="default"/>
    <w:sig w:usb0="800002BF" w:usb1="38CF7CFA" w:usb2="00000016" w:usb3="00000000" w:csb0="00040001" w:csb1="00000000"/>
    <w:embedRegular r:id="rId4" w:fontKey="{D5C801B8-FA09-4AFC-A447-58D21A2D0DBC}"/>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5" w:fontKey="{B770D102-D3DF-4AB0-8E74-778F9B681652}"/>
  </w:font>
  <w:font w:name="方正小标宋简体">
    <w:panose1 w:val="02000000000000000000"/>
    <w:charset w:val="86"/>
    <w:family w:val="script"/>
    <w:pitch w:val="default"/>
    <w:sig w:usb0="00000001" w:usb1="080E0000" w:usb2="00000000" w:usb3="00000000" w:csb0="00040000" w:csb1="00000000"/>
    <w:embedRegular r:id="rId6" w:fontKey="{8D651CD3-B7C8-4F1F-8613-239004C9F4A5}"/>
  </w:font>
  <w:font w:name="楷体_GB2312">
    <w:panose1 w:val="02010609030101010101"/>
    <w:charset w:val="86"/>
    <w:family w:val="auto"/>
    <w:pitch w:val="default"/>
    <w:sig w:usb0="00000001" w:usb1="080E0000" w:usb2="00000000" w:usb3="00000000" w:csb0="00040000" w:csb1="00000000"/>
    <w:embedRegular r:id="rId7" w:fontKey="{36D1E4C6-9DAF-47BD-856F-CA3B3F6E10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D5439">
    <w:pPr>
      <w:pStyle w:val="12"/>
      <w:jc w:val="center"/>
    </w:pPr>
  </w:p>
  <w:p w14:paraId="2B883AFC">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A032D6">
    <w:pPr>
      <w:pStyle w:val="12"/>
      <w:jc w:val="center"/>
    </w:pPr>
  </w:p>
  <w:p w14:paraId="4666E01B">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628D46">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24188">
                          <w:pPr>
                            <w:pStyle w:val="1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F424188">
                    <w:pPr>
                      <w:pStyle w:val="16"/>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p>
                </w:txbxContent>
              </v:textbox>
            </v:shape>
          </w:pict>
        </mc:Fallback>
      </mc:AlternateContent>
    </w:r>
  </w:p>
  <w:p w14:paraId="065C5C5E">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62A36">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1MjFjMDUwODIwZDg4NDczZTI5ZmU1NTQ5YzljMTk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8825BE"/>
    <w:rsid w:val="03DC2831"/>
    <w:rsid w:val="05107E95"/>
    <w:rsid w:val="05D83B97"/>
    <w:rsid w:val="081B5E94"/>
    <w:rsid w:val="08FA7B83"/>
    <w:rsid w:val="0A2032A3"/>
    <w:rsid w:val="0B8A37D8"/>
    <w:rsid w:val="0F5FFB2F"/>
    <w:rsid w:val="0FFFCF60"/>
    <w:rsid w:val="10C055FF"/>
    <w:rsid w:val="118107EC"/>
    <w:rsid w:val="11DD6519"/>
    <w:rsid w:val="131011B2"/>
    <w:rsid w:val="16983366"/>
    <w:rsid w:val="16BB723D"/>
    <w:rsid w:val="18015F3F"/>
    <w:rsid w:val="1BE8440E"/>
    <w:rsid w:val="1D155CEE"/>
    <w:rsid w:val="1D7229CB"/>
    <w:rsid w:val="1D763C4B"/>
    <w:rsid w:val="1DD5352B"/>
    <w:rsid w:val="1E257ADC"/>
    <w:rsid w:val="1FB76977"/>
    <w:rsid w:val="1FDBBF84"/>
    <w:rsid w:val="20F57F95"/>
    <w:rsid w:val="21CE6267"/>
    <w:rsid w:val="240371BF"/>
    <w:rsid w:val="25711CC6"/>
    <w:rsid w:val="25C741E6"/>
    <w:rsid w:val="27087514"/>
    <w:rsid w:val="276F80C0"/>
    <w:rsid w:val="27842671"/>
    <w:rsid w:val="29FD04D3"/>
    <w:rsid w:val="2ABE7A3E"/>
    <w:rsid w:val="2AFF09B6"/>
    <w:rsid w:val="2C911577"/>
    <w:rsid w:val="2CA234A8"/>
    <w:rsid w:val="2D0422FB"/>
    <w:rsid w:val="2DAD33C8"/>
    <w:rsid w:val="2ECE514D"/>
    <w:rsid w:val="2ED0465D"/>
    <w:rsid w:val="2EFA178C"/>
    <w:rsid w:val="2EFDF86C"/>
    <w:rsid w:val="2F9D17E1"/>
    <w:rsid w:val="30B46D73"/>
    <w:rsid w:val="319F7F4E"/>
    <w:rsid w:val="32EB4CBA"/>
    <w:rsid w:val="337D0415"/>
    <w:rsid w:val="346C7FDC"/>
    <w:rsid w:val="356A28F1"/>
    <w:rsid w:val="357C035A"/>
    <w:rsid w:val="36245E6E"/>
    <w:rsid w:val="3625211C"/>
    <w:rsid w:val="36416388"/>
    <w:rsid w:val="368E000D"/>
    <w:rsid w:val="369363ED"/>
    <w:rsid w:val="383D272C"/>
    <w:rsid w:val="38674C00"/>
    <w:rsid w:val="39AE70AB"/>
    <w:rsid w:val="3A4DCE41"/>
    <w:rsid w:val="3BCB56FA"/>
    <w:rsid w:val="3C0C0783"/>
    <w:rsid w:val="3C1A6039"/>
    <w:rsid w:val="3EE7C2F4"/>
    <w:rsid w:val="3EF858D3"/>
    <w:rsid w:val="3F371B56"/>
    <w:rsid w:val="3F792ED8"/>
    <w:rsid w:val="3F9F3A96"/>
    <w:rsid w:val="3FECA4B2"/>
    <w:rsid w:val="3FF58C48"/>
    <w:rsid w:val="42FF6694"/>
    <w:rsid w:val="43DE3DAF"/>
    <w:rsid w:val="4522220C"/>
    <w:rsid w:val="45F90983"/>
    <w:rsid w:val="48BF60AB"/>
    <w:rsid w:val="493C27E9"/>
    <w:rsid w:val="496F39ED"/>
    <w:rsid w:val="49FF41D3"/>
    <w:rsid w:val="4BE068DB"/>
    <w:rsid w:val="4BF6002B"/>
    <w:rsid w:val="4BFFC6BE"/>
    <w:rsid w:val="4D7B3057"/>
    <w:rsid w:val="4ECE2238"/>
    <w:rsid w:val="50675932"/>
    <w:rsid w:val="51DB4B86"/>
    <w:rsid w:val="51F64DB0"/>
    <w:rsid w:val="54152BF0"/>
    <w:rsid w:val="54A23355"/>
    <w:rsid w:val="552065D7"/>
    <w:rsid w:val="55333C3E"/>
    <w:rsid w:val="58DA35F3"/>
    <w:rsid w:val="5B886955"/>
    <w:rsid w:val="5E5851F8"/>
    <w:rsid w:val="5F67802D"/>
    <w:rsid w:val="5F7DC4F2"/>
    <w:rsid w:val="5FB36814"/>
    <w:rsid w:val="5FBB8E56"/>
    <w:rsid w:val="5FFB5535"/>
    <w:rsid w:val="60CC3921"/>
    <w:rsid w:val="64CA39A1"/>
    <w:rsid w:val="657F7842"/>
    <w:rsid w:val="679741C7"/>
    <w:rsid w:val="690E34B4"/>
    <w:rsid w:val="69630ADE"/>
    <w:rsid w:val="69BD5F13"/>
    <w:rsid w:val="69FB0B4B"/>
    <w:rsid w:val="6AA76B1D"/>
    <w:rsid w:val="6BFFE1FB"/>
    <w:rsid w:val="6C1B20EF"/>
    <w:rsid w:val="6C4A05C8"/>
    <w:rsid w:val="6CB96B3E"/>
    <w:rsid w:val="6D3316D1"/>
    <w:rsid w:val="6D3B1A89"/>
    <w:rsid w:val="6DB7D8A3"/>
    <w:rsid w:val="6EC78701"/>
    <w:rsid w:val="6ECC5172"/>
    <w:rsid w:val="6ECC6914"/>
    <w:rsid w:val="6F222E56"/>
    <w:rsid w:val="6F7A5481"/>
    <w:rsid w:val="6FCA51AC"/>
    <w:rsid w:val="6FFE07A9"/>
    <w:rsid w:val="707A07D6"/>
    <w:rsid w:val="71B106B3"/>
    <w:rsid w:val="71BF4EC2"/>
    <w:rsid w:val="72734D90"/>
    <w:rsid w:val="72FD6C50"/>
    <w:rsid w:val="73E75B71"/>
    <w:rsid w:val="7412278C"/>
    <w:rsid w:val="747476FB"/>
    <w:rsid w:val="74B0275A"/>
    <w:rsid w:val="75DDCDA9"/>
    <w:rsid w:val="75FF44B1"/>
    <w:rsid w:val="766030BE"/>
    <w:rsid w:val="76E05618"/>
    <w:rsid w:val="77670518"/>
    <w:rsid w:val="777FA627"/>
    <w:rsid w:val="77DF1B5F"/>
    <w:rsid w:val="77EF2D9D"/>
    <w:rsid w:val="797F45AA"/>
    <w:rsid w:val="79E7B28D"/>
    <w:rsid w:val="7ACFF0C2"/>
    <w:rsid w:val="7AFB9108"/>
    <w:rsid w:val="7BD5340C"/>
    <w:rsid w:val="7BFB19D2"/>
    <w:rsid w:val="7BFD1750"/>
    <w:rsid w:val="7BFDAA1B"/>
    <w:rsid w:val="7CDF9A82"/>
    <w:rsid w:val="7CFFA1BD"/>
    <w:rsid w:val="7D2E3F7A"/>
    <w:rsid w:val="7DED9490"/>
    <w:rsid w:val="7DFF4872"/>
    <w:rsid w:val="7E7487E6"/>
    <w:rsid w:val="7E7C2A54"/>
    <w:rsid w:val="7ED70E11"/>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nhideWhenUsed="0" w:uiPriority="0" w:semiHidden="0"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qFormat/>
    <w:uiPriority w:val="0"/>
    <w:pPr>
      <w:spacing w:after="120"/>
      <w:ind w:left="200" w:leftChars="200"/>
    </w:pPr>
    <w:rPr>
      <w:rFonts w:ascii="仿宋_GB2312"/>
      <w:szCs w:val="32"/>
    </w:rPr>
  </w:style>
  <w:style w:type="paragraph" w:styleId="8">
    <w:name w:val="annotation text"/>
    <w:basedOn w:val="1"/>
    <w:qFormat/>
    <w:uiPriority w:val="0"/>
    <w:pPr>
      <w:jc w:val="left"/>
    </w:pPr>
  </w:style>
  <w:style w:type="paragraph" w:styleId="9">
    <w:name w:val="Body Text"/>
    <w:basedOn w:val="1"/>
    <w:next w:val="1"/>
    <w:link w:val="27"/>
    <w:qFormat/>
    <w:uiPriority w:val="99"/>
    <w:pPr>
      <w:spacing w:beforeLines="30"/>
    </w:pPr>
    <w:rPr>
      <w:rFonts w:ascii="仿宋_GB2312" w:eastAsia="仿宋_GB2312"/>
      <w:kern w:val="0"/>
      <w:sz w:val="30"/>
    </w:r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3"/>
    <w:semiHidden/>
    <w:unhideWhenUsed/>
    <w:qFormat/>
    <w:uiPriority w:val="99"/>
    <w:rPr>
      <w:sz w:val="18"/>
      <w:szCs w:val="18"/>
    </w:rPr>
  </w:style>
  <w:style w:type="paragraph" w:styleId="12">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oc 2"/>
    <w:basedOn w:val="1"/>
    <w:next w:val="1"/>
    <w:unhideWhenUsed/>
    <w:qFormat/>
    <w:uiPriority w:val="39"/>
    <w:pPr>
      <w:tabs>
        <w:tab w:val="right" w:leader="dot" w:pos="8296"/>
      </w:tabs>
      <w:ind w:left="420" w:leftChars="200"/>
    </w:pPr>
  </w:style>
  <w:style w:type="paragraph" w:styleId="16">
    <w:name w:val="Title"/>
    <w:basedOn w:val="1"/>
    <w:next w:val="1"/>
    <w:qFormat/>
    <w:uiPriority w:val="0"/>
    <w:pPr>
      <w:spacing w:line="700" w:lineRule="exact"/>
      <w:jc w:val="center"/>
    </w:pPr>
    <w:rPr>
      <w:rFonts w:eastAsia="方正小标宋简体"/>
      <w:color w:val="000000"/>
      <w:kern w:val="0"/>
      <w:sz w:val="44"/>
      <w:szCs w:val="44"/>
    </w:r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2">
    <w:name w:val="Header Char"/>
    <w:basedOn w:val="18"/>
    <w:semiHidden/>
    <w:qFormat/>
    <w:uiPriority w:val="99"/>
    <w:rPr>
      <w:rFonts w:ascii="Times New Roman" w:hAnsi="Times New Roman"/>
      <w:sz w:val="18"/>
      <w:szCs w:val="18"/>
    </w:rPr>
  </w:style>
  <w:style w:type="character" w:customStyle="1" w:styleId="23">
    <w:name w:val="页眉 字符"/>
    <w:link w:val="13"/>
    <w:semiHidden/>
    <w:qFormat/>
    <w:locked/>
    <w:uiPriority w:val="99"/>
    <w:rPr>
      <w:sz w:val="18"/>
    </w:rPr>
  </w:style>
  <w:style w:type="character" w:customStyle="1" w:styleId="24">
    <w:name w:val="Footer Char"/>
    <w:basedOn w:val="18"/>
    <w:semiHidden/>
    <w:qFormat/>
    <w:uiPriority w:val="99"/>
    <w:rPr>
      <w:rFonts w:ascii="Times New Roman" w:hAnsi="Times New Roman"/>
      <w:sz w:val="18"/>
      <w:szCs w:val="18"/>
    </w:rPr>
  </w:style>
  <w:style w:type="character" w:customStyle="1" w:styleId="25">
    <w:name w:val="页脚 字符"/>
    <w:link w:val="12"/>
    <w:qFormat/>
    <w:locked/>
    <w:uiPriority w:val="99"/>
    <w:rPr>
      <w:sz w:val="18"/>
    </w:rPr>
  </w:style>
  <w:style w:type="character" w:customStyle="1" w:styleId="26">
    <w:name w:val="Body Text Char"/>
    <w:basedOn w:val="18"/>
    <w:semiHidden/>
    <w:qFormat/>
    <w:uiPriority w:val="99"/>
    <w:rPr>
      <w:rFonts w:ascii="Times New Roman" w:hAnsi="Times New Roman"/>
      <w:szCs w:val="24"/>
    </w:rPr>
  </w:style>
  <w:style w:type="character" w:customStyle="1" w:styleId="27">
    <w:name w:val="正文文本 字符"/>
    <w:link w:val="9"/>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字符"/>
    <w:basedOn w:val="18"/>
    <w:link w:val="5"/>
    <w:qFormat/>
    <w:uiPriority w:val="9"/>
    <w:rPr>
      <w:rFonts w:ascii="Times New Roman" w:hAnsi="Times New Roman"/>
      <w:b/>
      <w:bCs/>
      <w:kern w:val="44"/>
      <w:sz w:val="44"/>
      <w:szCs w:val="44"/>
    </w:rPr>
  </w:style>
  <w:style w:type="character" w:customStyle="1" w:styleId="31">
    <w:name w:val="标题 2 字符"/>
    <w:basedOn w:val="18"/>
    <w:link w:val="6"/>
    <w:qFormat/>
    <w:uiPriority w:val="9"/>
    <w:rPr>
      <w:rFonts w:asciiTheme="majorHAnsi" w:hAnsiTheme="majorHAnsi" w:eastAsiaTheme="majorEastAsia" w:cstheme="majorBidi"/>
      <w:b/>
      <w:bCs/>
      <w:kern w:val="2"/>
      <w:sz w:val="32"/>
      <w:szCs w:val="32"/>
    </w:rPr>
  </w:style>
  <w:style w:type="paragraph" w:customStyle="1" w:styleId="32">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18"/>
    <w:link w:val="11"/>
    <w:semiHidden/>
    <w:qFormat/>
    <w:uiPriority w:val="99"/>
    <w:rPr>
      <w:rFonts w:ascii="Times New Roman" w:hAnsi="Times New Roman"/>
      <w:kern w:val="2"/>
      <w:sz w:val="18"/>
      <w:szCs w:val="18"/>
    </w:rPr>
  </w:style>
  <w:style w:type="character" w:customStyle="1" w:styleId="34">
    <w:name w:val="标题 3 字符"/>
    <w:basedOn w:val="18"/>
    <w:link w:val="7"/>
    <w:qFormat/>
    <w:uiPriority w:val="9"/>
    <w:rPr>
      <w:rFonts w:ascii="Times New Roman" w:hAnsi="Times New Roman"/>
      <w:b/>
      <w:bCs/>
      <w:kern w:val="2"/>
      <w:sz w:val="32"/>
      <w:szCs w:val="32"/>
    </w:rPr>
  </w:style>
  <w:style w:type="paragraph" w:customStyle="1" w:styleId="35">
    <w:name w:val="TOC 标题2"/>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标题 2 Char"/>
    <w:basedOn w:val="18"/>
    <w:link w:val="6"/>
    <w:qFormat/>
    <w:uiPriority w:val="9"/>
    <w:rPr>
      <w:rFonts w:ascii="Cambria" w:hAnsi="Cambria" w:eastAsia="宋体" w:cs="Times New Roman"/>
      <w:b/>
      <w:bCs/>
      <w:sz w:val="32"/>
      <w:szCs w:val="32"/>
    </w:rPr>
  </w:style>
  <w:style w:type="character" w:customStyle="1" w:styleId="37">
    <w:name w:val="font21"/>
    <w:basedOn w:val="18"/>
    <w:qFormat/>
    <w:uiPriority w:val="0"/>
    <w:rPr>
      <w:rFonts w:hint="default" w:ascii="Arial" w:hAnsi="Arial" w:cs="Arial"/>
      <w:color w:val="333333"/>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2023\&#39292;&#29366;&#22270;&#12289;&#26609;&#29366;&#22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23\&#39292;&#29366;&#22270;&#12289;&#26609;&#29366;&#2227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23\&#39292;&#29366;&#22270;&#12289;&#26609;&#29366;&#2227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2023\&#39292;&#29366;&#22270;&#12289;&#26609;&#29366;&#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23\&#39292;&#29366;&#22270;&#12289;&#26609;&#29366;&#2227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23\&#39292;&#29366;&#22270;&#12289;&#26609;&#29366;&#22270;.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23\&#39292;&#29366;&#22270;&#12289;&#26609;&#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defRPr lang="zh-CN" sz="1800" b="1" i="0" u="none" strike="noStrike" kern="1200" baseline="0">
                <a:solidFill>
                  <a:sysClr val="windowText" lastClr="000000">
                    <a:lumMod val="65000"/>
                    <a:lumOff val="35000"/>
                  </a:sysClr>
                </a:solidFill>
                <a:latin typeface="+mn-lt"/>
                <a:ea typeface="+mn-ea"/>
                <a:cs typeface="+mn-cs"/>
              </a:defRPr>
            </a:pPr>
            <a:r>
              <a:rPr lang="zh-CN" altLang="en-US" sz="1800">
                <a:effectLst/>
              </a:rPr>
              <a:t>图</a:t>
            </a:r>
            <a:r>
              <a:rPr lang="en-US" altLang="zh-CN" sz="1800">
                <a:effectLst/>
              </a:rPr>
              <a:t>1</a:t>
            </a:r>
            <a:r>
              <a:rPr lang="zh-CN" altLang="en-US" sz="1800">
                <a:effectLst/>
              </a:rPr>
              <a:t>：收、支决算总计变动情况图</a:t>
            </a:r>
            <a:endParaRPr lang="zh-CN" altLang="en-US" sz="1800">
              <a:effectLst/>
            </a:endParaRPr>
          </a:p>
        </c:rich>
      </c:tx>
      <c:layout/>
      <c:overlay val="0"/>
      <c:spPr>
        <a:noFill/>
        <a:ln>
          <a:noFill/>
        </a:ln>
        <a:effectLst/>
      </c:spPr>
    </c:title>
    <c:autoTitleDeleted val="0"/>
    <c:plotArea>
      <c:layout/>
      <c:barChart>
        <c:barDir val="col"/>
        <c:grouping val="clustered"/>
        <c:varyColors val="1"/>
        <c:ser>
          <c:idx val="0"/>
          <c:order val="0"/>
          <c:invertIfNegative val="0"/>
          <c:dPt>
            <c:idx val="0"/>
            <c:invertIfNegative val="0"/>
            <c:bubble3D val="0"/>
            <c:spPr>
              <a:gradFill rotWithShape="1">
                <a:gsLst>
                  <a:gs pos="0">
                    <a:srgbClr val="688FC5">
                      <a:satMod val="103000"/>
                      <a:lumMod val="102000"/>
                      <a:tint val="94000"/>
                    </a:srgbClr>
                  </a:gs>
                  <a:gs pos="50000">
                    <a:srgbClr val="4A81C3">
                      <a:satMod val="110000"/>
                      <a:lumMod val="100000"/>
                      <a:shade val="100000"/>
                    </a:srgbClr>
                  </a:gs>
                  <a:gs pos="100000">
                    <a:srgbClr val="3A71B2">
                      <a:lumMod val="99000"/>
                      <a:satMod val="120000"/>
                      <a:shade val="78000"/>
                    </a:srgbClr>
                  </a:gs>
                </a:gsLst>
                <a:lin ang="5400000" scaled="0"/>
              </a:gradFill>
              <a:ln>
                <a:noFill/>
              </a:ln>
              <a:effectLst>
                <a:outerShdw blurRad="57150" dist="19050" dir="5400000" algn="ctr" rotWithShape="0">
                  <a:srgbClr val="000000">
                    <a:alpha val="63000"/>
                  </a:srgbClr>
                </a:outerShdw>
              </a:effectLst>
              <a:sp3d/>
            </c:spPr>
          </c:dPt>
          <c:dPt>
            <c:idx val="1"/>
            <c:invertIfNegative val="0"/>
            <c:bubble3D val="0"/>
            <c:spPr>
              <a:gradFill rotWithShape="1">
                <a:gsLst>
                  <a:gs pos="0">
                    <a:srgbClr val="C76966">
                      <a:satMod val="103000"/>
                      <a:lumMod val="102000"/>
                      <a:tint val="94000"/>
                    </a:srgbClr>
                  </a:gs>
                  <a:gs pos="50000">
                    <a:srgbClr val="C64B47">
                      <a:satMod val="110000"/>
                      <a:lumMod val="100000"/>
                      <a:shade val="100000"/>
                    </a:srgbClr>
                  </a:gs>
                  <a:gs pos="100000">
                    <a:srgbClr val="B63B38">
                      <a:lumMod val="99000"/>
                      <a:satMod val="120000"/>
                      <a:shade val="78000"/>
                    </a:srgbClr>
                  </a:gs>
                </a:gsLst>
                <a:lin ang="5400000" scaled="0"/>
              </a:gradFill>
              <a:ln>
                <a:noFill/>
              </a:ln>
              <a:effectLst>
                <a:outerShdw blurRad="57150" dist="19050" dir="5400000" algn="ctr" rotWithShape="0">
                  <a:srgbClr val="000000">
                    <a:alpha val="63000"/>
                  </a:srgbClr>
                </a:outerShdw>
              </a:effectLst>
              <a:sp3d/>
            </c:spPr>
          </c:dPt>
          <c:dLbls>
            <c:delete val="1"/>
          </c:dLbls>
          <c:cat>
            <c:strRef>
              <c:f>[饼状图、柱状图.xlsx]Sheet1!$D$126:$D$127</c:f>
              <c:strCache>
                <c:ptCount val="2"/>
                <c:pt idx="0">
                  <c:v>2022年</c:v>
                </c:pt>
                <c:pt idx="1">
                  <c:v>2023年</c:v>
                </c:pt>
              </c:strCache>
            </c:strRef>
          </c:cat>
          <c:val>
            <c:numRef>
              <c:f>[饼状图、柱状图.xlsx]Sheet1!$E$126:$E$127</c:f>
              <c:numCache>
                <c:formatCode>General</c:formatCode>
                <c:ptCount val="2"/>
                <c:pt idx="0">
                  <c:v>966.43</c:v>
                </c:pt>
                <c:pt idx="1">
                  <c:v>1171.99</c:v>
                </c:pt>
              </c:numCache>
            </c:numRef>
          </c:val>
        </c:ser>
        <c:dLbls>
          <c:showLegendKey val="0"/>
          <c:showVal val="0"/>
          <c:showCatName val="0"/>
          <c:showSerName val="0"/>
          <c:showPercent val="0"/>
          <c:showBubbleSize val="0"/>
        </c:dLbls>
        <c:gapWidth val="250"/>
        <c:axId val="109101056"/>
        <c:axId val="109102592"/>
      </c:barChart>
      <c:catAx>
        <c:axId val="109101056"/>
        <c:scaling>
          <c:orientation val="minMax"/>
        </c:scaling>
        <c:delete val="0"/>
        <c:axPos val="b"/>
        <c:numFmt formatCode="General" sourceLinked="1"/>
        <c:majorTickMark val="none"/>
        <c:minorTickMark val="none"/>
        <c:tickLblPos val="nextTo"/>
        <c:spPr>
          <a:noFill/>
          <a:ln w="12700" cap="flat" cmpd="sng" algn="ctr">
            <a:solidFill>
              <a:srgbClr val="D9D9D9">
                <a:lumMod val="15000"/>
                <a:lumOff val="85000"/>
              </a:srgbClr>
            </a:solidFill>
            <a:prstDash val="solid"/>
            <a:round/>
          </a:ln>
          <a:effectLst/>
        </c:spPr>
        <c:txPr>
          <a:bodyPr rot="-60000000" spcFirstLastPara="1" vertOverflow="ellipsis" vert="horz" wrap="square" anchor="ctr" anchorCtr="1"/>
          <a:lstStyle/>
          <a:p>
            <a:pPr>
              <a:defRPr lang="zh-CN" sz="1100" b="0" i="0" u="none" strike="noStrike" kern="1200" baseline="0">
                <a:solidFill>
                  <a:srgbClr val="595959">
                    <a:lumMod val="65000"/>
                    <a:lumOff val="35000"/>
                  </a:srgbClr>
                </a:solidFill>
                <a:latin typeface="+mn-lt"/>
                <a:ea typeface="+mn-ea"/>
                <a:cs typeface="+mn-cs"/>
              </a:defRPr>
            </a:pPr>
          </a:p>
        </c:txPr>
        <c:crossAx val="109102592"/>
        <c:crosses val="autoZero"/>
        <c:auto val="1"/>
        <c:lblAlgn val="ctr"/>
        <c:lblOffset val="100"/>
        <c:noMultiLvlLbl val="0"/>
      </c:catAx>
      <c:valAx>
        <c:axId val="109102592"/>
        <c:scaling>
          <c:orientation val="minMax"/>
          <c:max val="1500"/>
          <c:min val="100"/>
        </c:scaling>
        <c:delete val="0"/>
        <c:axPos val="l"/>
        <c:majorGridlines>
          <c:spPr>
            <a:ln w="9525" cap="flat" cmpd="sng" algn="ctr">
              <a:solidFill>
                <a:srgbClr val="D9D9D9">
                  <a:lumMod val="15000"/>
                  <a:lumOff val="85000"/>
                </a:srgb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09101056"/>
        <c:crosses val="autoZero"/>
        <c:crossBetween val="between"/>
        <c:majorUnit val="100"/>
        <c:minorUnit val="100"/>
      </c:valAx>
      <c:dTable>
        <c:showHorzBorder val="1"/>
        <c:showVertBorder val="1"/>
        <c:showOutline val="1"/>
        <c:showKeys val="1"/>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6d450ebb-0305-4bcb-bbce-7344b593e7f5}"/>
      </c:ext>
    </c:extLst>
  </c:chart>
  <c:spPr>
    <a:solidFill>
      <a:srgbClr val="FFFFFF"/>
    </a:solidFill>
    <a:ln w="9525" cap="flat" cmpd="sng" algn="ctr">
      <a:solidFill>
        <a:srgbClr val="000000"/>
      </a:solidFill>
      <a:prstDash val="solid"/>
      <a:round/>
    </a:ln>
    <a:effectLst/>
    <a:scene3d>
      <a:camera prst="orthographicFront"/>
      <a:lightRig rig="threePt" dir="t"/>
    </a:scene3d>
    <a:sp3d>
      <a:bevelB w="101600" prst="riblet"/>
    </a:sp3d>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800" b="1" i="0" u="none" strike="noStrike" kern="1200" baseline="0">
                <a:solidFill>
                  <a:srgbClr val="595959">
                    <a:lumMod val="65000"/>
                    <a:lumOff val="35000"/>
                  </a:srgbClr>
                </a:solidFill>
                <a:latin typeface="+mn-lt"/>
                <a:ea typeface="+mn-ea"/>
                <a:cs typeface="+mn-cs"/>
              </a:defRPr>
            </a:pPr>
            <a:r>
              <a:rPr lang="zh-CN" altLang="en-US" sz="1800">
                <a:effectLst/>
              </a:rPr>
              <a:t>图</a:t>
            </a:r>
            <a:r>
              <a:rPr lang="en-US" altLang="zh-CN" sz="1800">
                <a:effectLst/>
              </a:rPr>
              <a:t>2</a:t>
            </a:r>
            <a:r>
              <a:rPr lang="zh-CN" altLang="en-US" sz="1800">
                <a:effectLst/>
              </a:rPr>
              <a:t>：收入决算结构图</a:t>
            </a:r>
            <a:endParaRPr lang="zh-CN" altLang="en-US" sz="1800">
              <a:effectLst/>
            </a:endParaRPr>
          </a:p>
        </c:rich>
      </c:tx>
      <c:layout>
        <c:manualLayout>
          <c:xMode val="edge"/>
          <c:yMode val="edge"/>
          <c:x val="0.2525"/>
          <c:y val="0.0381944444444444"/>
        </c:manualLayout>
      </c:layout>
      <c:overlay val="0"/>
      <c:spPr>
        <a:noFill/>
        <a:ln>
          <a:noFill/>
        </a:ln>
        <a:effectLst/>
      </c:spPr>
    </c:title>
    <c:autoTitleDeleted val="0"/>
    <c:plotArea>
      <c:layout/>
      <c:pieChart>
        <c:varyColors val="1"/>
        <c:ser>
          <c:idx val="0"/>
          <c:order val="0"/>
          <c:spPr>
            <a:scene3d>
              <a:camera prst="orthographicFront"/>
              <a:lightRig rig="threePt" dir="t"/>
            </a:scene3d>
            <a:sp3d>
              <a:bevelT w="101600" prst="riblet"/>
            </a:sp3d>
          </c:spPr>
          <c:explosion val="0"/>
          <c:dPt>
            <c:idx val="0"/>
            <c:bubble3D val="0"/>
            <c:spPr>
              <a:gradFill rotWithShape="1">
                <a:gsLst>
                  <a:gs pos="0">
                    <a:srgbClr val="688FC5">
                      <a:satMod val="103000"/>
                      <a:lumMod val="102000"/>
                      <a:tint val="94000"/>
                    </a:srgbClr>
                  </a:gs>
                  <a:gs pos="50000">
                    <a:srgbClr val="4A81C3">
                      <a:satMod val="110000"/>
                      <a:lumMod val="100000"/>
                      <a:shade val="100000"/>
                    </a:srgbClr>
                  </a:gs>
                  <a:gs pos="100000">
                    <a:srgbClr val="3A71B2">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Pt>
            <c:idx val="1"/>
            <c:bubble3D val="0"/>
            <c:spPr>
              <a:gradFill rotWithShape="1">
                <a:gsLst>
                  <a:gs pos="0">
                    <a:srgbClr val="C76966">
                      <a:satMod val="103000"/>
                      <a:lumMod val="102000"/>
                      <a:tint val="94000"/>
                    </a:srgbClr>
                  </a:gs>
                  <a:gs pos="50000">
                    <a:srgbClr val="C64B47">
                      <a:satMod val="110000"/>
                      <a:lumMod val="100000"/>
                      <a:shade val="100000"/>
                    </a:srgbClr>
                  </a:gs>
                  <a:gs pos="100000">
                    <a:srgbClr val="B63B38">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Lbls>
            <c:dLbl>
              <c:idx val="0"/>
              <c:layout>
                <c:manualLayout>
                  <c:x val="-0.236699693788277"/>
                  <c:y val="-0.21639909594634"/>
                </c:manualLayout>
              </c:layout>
              <c:tx>
                <c:rich>
                  <a:bodyPr rot="0" spcFirstLastPara="1" vertOverflow="ellipsis" vert="horz" wrap="square" lIns="38100" tIns="19050" rIns="38100" bIns="19050" anchor="ctr" anchorCtr="1">
                    <a:spAutoFit/>
                  </a:bodyPr>
                  <a:lstStyle/>
                  <a:p>
                    <a:pPr defTabSz="914400">
                      <a:defRPr lang="zh-CN" sz="1100" b="0" i="0" u="none" strike="noStrike" kern="1200" baseline="0">
                        <a:solidFill>
                          <a:srgbClr val="404040">
                            <a:lumMod val="75000"/>
                            <a:lumOff val="25000"/>
                          </a:srgbClr>
                        </a:solidFill>
                        <a:latin typeface="+mn-lt"/>
                        <a:ea typeface="+mn-ea"/>
                        <a:cs typeface="+mn-cs"/>
                      </a:defRPr>
                    </a:pPr>
                    <a:r>
                      <a:rPr lang="en-US" altLang="zh-CN"/>
                      <a:t>89.4</a:t>
                    </a:r>
                    <a:r>
                      <a:t>%</a:t>
                    </a:r>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lang="zh-CN" sz="1100" b="0" i="0" u="none" strike="noStrike" kern="1200" baseline="0">
                      <a:solidFill>
                        <a:srgbClr val="404040">
                          <a:lumMod val="75000"/>
                          <a:lumOff val="25000"/>
                        </a:srgbClr>
                      </a:solidFill>
                      <a:latin typeface="+mn-lt"/>
                      <a:ea typeface="+mn-ea"/>
                      <a:cs typeface="+mn-cs"/>
                    </a:defRPr>
                  </a:pPr>
                </a:p>
              </c:txPr>
              <c:dLblPos val="bestFit"/>
              <c:showLegendKey val="1"/>
              <c:showVal val="0"/>
              <c:showCatName val="0"/>
              <c:showSerName val="0"/>
              <c:showPercent val="1"/>
              <c:showBubbleSize val="0"/>
              <c:extLst>
                <c:ext xmlns:c15="http://schemas.microsoft.com/office/drawing/2012/chart" uri="{CE6537A1-D6FC-4f65-9D91-7224C49458BB}">
                  <c15:layout/>
                </c:ext>
              </c:extLst>
            </c:dLbl>
            <c:dLbl>
              <c:idx val="1"/>
              <c:layout>
                <c:manualLayout>
                  <c:x val="-0.163377515310586"/>
                  <c:y val="0.059911502262004"/>
                </c:manualLayout>
              </c:layout>
              <c:tx>
                <c:rich>
                  <a:bodyPr rot="0" spcFirstLastPara="1" vertOverflow="ellipsis" vert="horz" wrap="square" lIns="38100" tIns="19050" rIns="38100" bIns="19050" anchor="ctr" anchorCtr="1">
                    <a:spAutoFit/>
                  </a:bodyPr>
                  <a:lstStyle/>
                  <a:p>
                    <a:pPr defTabSz="914400">
                      <a:defRPr lang="zh-CN" sz="1100" b="0" i="0" u="none" strike="noStrike" kern="1200" baseline="0">
                        <a:solidFill>
                          <a:srgbClr val="404040">
                            <a:lumMod val="75000"/>
                            <a:lumOff val="25000"/>
                          </a:srgbClr>
                        </a:solidFill>
                        <a:latin typeface="+mn-lt"/>
                        <a:ea typeface="+mn-ea"/>
                        <a:cs typeface="+mn-cs"/>
                      </a:defRPr>
                    </a:pPr>
                    <a:r>
                      <a:rPr lang="en-US" altLang="zh-CN"/>
                      <a:t>10.6</a:t>
                    </a:r>
                    <a:r>
                      <a:t>%</a:t>
                    </a:r>
                  </a:p>
                </c:rich>
              </c:tx>
              <c:numFmt formatCode="0.00%" sourceLinked="0"/>
              <c:spPr>
                <a:noFill/>
                <a:ln>
                  <a:noFill/>
                </a:ln>
                <a:effectLst/>
              </c:spPr>
              <c:txPr>
                <a:bodyPr rot="0" spcFirstLastPara="1" vertOverflow="ellipsis" vert="horz" wrap="square" lIns="38100" tIns="19050" rIns="38100" bIns="19050" anchor="ctr" anchorCtr="1">
                  <a:spAutoFit/>
                </a:bodyPr>
                <a:lstStyle/>
                <a:p>
                  <a:pPr>
                    <a:defRPr lang="zh-CN" sz="1100" b="0" i="0" u="none" strike="noStrike" kern="1200" baseline="0">
                      <a:solidFill>
                        <a:srgbClr val="404040">
                          <a:lumMod val="75000"/>
                          <a:lumOff val="25000"/>
                        </a:srgbClr>
                      </a:solidFill>
                      <a:latin typeface="+mn-lt"/>
                      <a:ea typeface="+mn-ea"/>
                      <a:cs typeface="+mn-cs"/>
                    </a:defRPr>
                  </a:pPr>
                </a:p>
              </c:txPr>
              <c:dLblPos val="bestFit"/>
              <c:showLegendKey val="1"/>
              <c:showVal val="0"/>
              <c:showCatName val="0"/>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1"/>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[饼状图、柱状图.xlsx]Sheet1!$D$5:$D$6</c:f>
              <c:strCache>
                <c:ptCount val="2"/>
                <c:pt idx="0">
                  <c:v>一般公共预算财政拨款收入</c:v>
                </c:pt>
                <c:pt idx="1">
                  <c:v>政府性基金预算财政拨款收入</c:v>
                </c:pt>
              </c:strCache>
            </c:strRef>
          </c:cat>
          <c:val>
            <c:numRef>
              <c:f>[饼状图、柱状图.xlsx]Sheet1!$E$5:$E$6</c:f>
              <c:numCache>
                <c:formatCode>General</c:formatCode>
                <c:ptCount val="2"/>
                <c:pt idx="0">
                  <c:v>10478.1</c:v>
                </c:pt>
                <c:pt idx="1">
                  <c:v>1241.8</c:v>
                </c:pt>
              </c:numCache>
            </c:numRef>
          </c:val>
        </c:ser>
        <c:ser>
          <c:idx val="1"/>
          <c:order val="1"/>
          <c:explosion val="0"/>
          <c:dPt>
            <c:idx val="0"/>
            <c:bubble3D val="0"/>
            <c:spPr>
              <a:gradFill rotWithShape="1">
                <a:gsLst>
                  <a:gs pos="0">
                    <a:srgbClr val="688FC5">
                      <a:satMod val="103000"/>
                      <a:lumMod val="102000"/>
                      <a:tint val="94000"/>
                    </a:srgbClr>
                  </a:gs>
                  <a:gs pos="50000">
                    <a:srgbClr val="4A81C3">
                      <a:satMod val="110000"/>
                      <a:lumMod val="100000"/>
                      <a:shade val="100000"/>
                    </a:srgbClr>
                  </a:gs>
                  <a:gs pos="100000">
                    <a:srgbClr val="3A71B2">
                      <a:lumMod val="99000"/>
                      <a:satMod val="120000"/>
                      <a:shade val="78000"/>
                    </a:srgb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rgbClr val="C76966">
                      <a:satMod val="103000"/>
                      <a:lumMod val="102000"/>
                      <a:tint val="94000"/>
                    </a:srgbClr>
                  </a:gs>
                  <a:gs pos="50000">
                    <a:srgbClr val="C64B47">
                      <a:satMod val="110000"/>
                      <a:lumMod val="100000"/>
                      <a:shade val="100000"/>
                    </a:srgbClr>
                  </a:gs>
                  <a:gs pos="100000">
                    <a:srgbClr val="B63B38">
                      <a:lumMod val="99000"/>
                      <a:satMod val="120000"/>
                      <a:shade val="78000"/>
                    </a:srgbClr>
                  </a:gs>
                </a:gsLst>
                <a:lin ang="5400000" scaled="0"/>
              </a:gradFill>
              <a:ln>
                <a:noFill/>
              </a:ln>
              <a:effectLst>
                <a:outerShdw blurRad="57150" dist="19050" dir="5400000" algn="ctr" rotWithShape="0">
                  <a:srgbClr val="000000">
                    <a:alpha val="63000"/>
                  </a:srgbClr>
                </a:outerShdw>
              </a:effectLst>
              <a:sp3d/>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[饼状图、柱状图.xlsx]Sheet1!$D$5:$D$6</c:f>
              <c:strCache>
                <c:ptCount val="2"/>
                <c:pt idx="0">
                  <c:v>一般公共预算财政拨款收入</c:v>
                </c:pt>
                <c:pt idx="1">
                  <c:v>政府性基金预算财政拨款收入</c:v>
                </c:pt>
              </c:strCache>
            </c:strRef>
          </c:cat>
          <c:val>
            <c:numRef>
              <c:f>[饼状图、柱状图.xlsx]Sheet1!$F$5:$F$6</c:f>
              <c:numCache>
                <c:formatCode>0.00%</c:formatCode>
                <c:ptCount val="2"/>
                <c:pt idx="0">
                  <c:v>0.89404346453468</c:v>
                </c:pt>
                <c:pt idx="1">
                  <c:v>0.10595653546532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1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f6b40a03-9bed-4b71-a75d-32884d34c6e1}"/>
      </c:ext>
    </c:extLst>
  </c:chart>
  <c:spPr>
    <a:solidFill>
      <a:srgbClr val="FFFFFF"/>
    </a:solidFill>
    <a:ln w="9525" cap="flat" cmpd="sng" algn="ctr">
      <a:solidFill>
        <a:srgbClr val="000000"/>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800" b="1" i="0" u="none" strike="noStrike" kern="1200" baseline="0">
                <a:solidFill>
                  <a:srgbClr val="595959">
                    <a:lumMod val="65000"/>
                    <a:lumOff val="35000"/>
                  </a:srgbClr>
                </a:solidFill>
                <a:latin typeface="+mn-lt"/>
                <a:ea typeface="+mn-ea"/>
                <a:cs typeface="+mn-cs"/>
              </a:defRPr>
            </a:pPr>
            <a:r>
              <a:rPr lang="zh-CN" altLang="en-US" sz="1800">
                <a:effectLst/>
              </a:rPr>
              <a:t>图</a:t>
            </a:r>
            <a:r>
              <a:rPr lang="en-US" altLang="zh-CN" sz="1800">
                <a:effectLst/>
              </a:rPr>
              <a:t>3</a:t>
            </a:r>
            <a:r>
              <a:rPr lang="zh-CN" altLang="en-US" sz="1800">
                <a:effectLst/>
              </a:rPr>
              <a:t>：支出决算结构图</a:t>
            </a:r>
            <a:endParaRPr lang="zh-CN" altLang="en-US" sz="1800">
              <a:effectLst/>
            </a:endParaRPr>
          </a:p>
        </c:rich>
      </c:tx>
      <c:layout/>
      <c:overlay val="0"/>
      <c:spPr>
        <a:noFill/>
        <a:ln>
          <a:noFill/>
        </a:ln>
        <a:effectLst/>
      </c:spPr>
    </c:title>
    <c:autoTitleDeleted val="0"/>
    <c:plotArea>
      <c:layout/>
      <c:pieChart>
        <c:varyColors val="1"/>
        <c:ser>
          <c:idx val="0"/>
          <c:order val="0"/>
          <c:spPr>
            <a:scene3d>
              <a:camera prst="orthographicFront"/>
              <a:lightRig rig="threePt" dir="t"/>
            </a:scene3d>
            <a:sp3d>
              <a:bevelT w="101600" prst="riblet"/>
            </a:sp3d>
          </c:spPr>
          <c:explosion val="0"/>
          <c:dPt>
            <c:idx val="0"/>
            <c:bubble3D val="0"/>
            <c:spPr>
              <a:gradFill rotWithShape="1">
                <a:gsLst>
                  <a:gs pos="0">
                    <a:srgbClr val="688FC5">
                      <a:satMod val="103000"/>
                      <a:lumMod val="102000"/>
                      <a:tint val="94000"/>
                    </a:srgbClr>
                  </a:gs>
                  <a:gs pos="50000">
                    <a:srgbClr val="4A81C3">
                      <a:satMod val="110000"/>
                      <a:lumMod val="100000"/>
                      <a:shade val="100000"/>
                    </a:srgbClr>
                  </a:gs>
                  <a:gs pos="100000">
                    <a:srgbClr val="3A71B2">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Pt>
            <c:idx val="1"/>
            <c:bubble3D val="0"/>
            <c:spPr>
              <a:gradFill rotWithShape="1">
                <a:gsLst>
                  <a:gs pos="0">
                    <a:srgbClr val="C76966">
                      <a:satMod val="103000"/>
                      <a:lumMod val="102000"/>
                      <a:tint val="94000"/>
                    </a:srgbClr>
                  </a:gs>
                  <a:gs pos="50000">
                    <a:srgbClr val="C64B47">
                      <a:satMod val="110000"/>
                      <a:lumMod val="100000"/>
                      <a:shade val="100000"/>
                    </a:srgbClr>
                  </a:gs>
                  <a:gs pos="100000">
                    <a:srgbClr val="B63B38">
                      <a:lumMod val="99000"/>
                      <a:satMod val="120000"/>
                      <a:shade val="78000"/>
                    </a:srgbClr>
                  </a:gs>
                </a:gsLst>
                <a:lin ang="5400000" scaled="0"/>
              </a:gra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Lbls>
            <c:dLbl>
              <c:idx val="0"/>
              <c:layout/>
              <c:dLblPos val="ctr"/>
              <c:showLegendKey val="1"/>
              <c:showVal val="0"/>
              <c:showCatName val="0"/>
              <c:showSerName val="0"/>
              <c:showPercent val="1"/>
              <c:showBubbleSize val="0"/>
              <c:extLst>
                <c:ext xmlns:c15="http://schemas.microsoft.com/office/drawing/2012/chart" uri="{CE6537A1-D6FC-4f65-9D91-7224C49458BB}"/>
              </c:extLst>
            </c:dLbl>
            <c:dLbl>
              <c:idx val="1"/>
              <c:layout/>
              <c:dLblPos val="ctr"/>
              <c:showLegendKey val="1"/>
              <c:showVal val="0"/>
              <c:showCatName val="0"/>
              <c:showSerName val="0"/>
              <c:showPercent val="1"/>
              <c:showBubbleSize val="0"/>
              <c:extLst>
                <c:ext xmlns:c15="http://schemas.microsoft.com/office/drawing/2012/chart" uri="{CE6537A1-D6FC-4f65-9D91-7224C49458BB}"/>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1100" b="0" i="0" u="none" strike="noStrike" kern="1200" baseline="0">
                    <a:solidFill>
                      <a:srgbClr val="404040">
                        <a:lumMod val="75000"/>
                        <a:lumOff val="25000"/>
                      </a:srgbClr>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[饼状图、柱状图.xlsx]Sheet1!$D$19:$D$20</c:f>
              <c:strCache>
                <c:ptCount val="2"/>
                <c:pt idx="0">
                  <c:v>基本支出</c:v>
                </c:pt>
                <c:pt idx="1">
                  <c:v>项目支出</c:v>
                </c:pt>
              </c:strCache>
            </c:strRef>
          </c:cat>
          <c:val>
            <c:numRef>
              <c:f>[饼状图、柱状图.xlsx]Sheet1!$E$19:$E$20</c:f>
              <c:numCache>
                <c:formatCode>#,##0.00</c:formatCode>
                <c:ptCount val="2"/>
                <c:pt idx="0">
                  <c:v>9656.6</c:v>
                </c:pt>
                <c:pt idx="1" c:formatCode="General">
                  <c:v>2063.4</c:v>
                </c:pt>
              </c:numCache>
            </c:numRef>
          </c:val>
        </c:ser>
        <c:ser>
          <c:idx val="1"/>
          <c:order val="1"/>
          <c:explosion val="0"/>
          <c:dPt>
            <c:idx val="0"/>
            <c:bubble3D val="0"/>
            <c:spPr>
              <a:gradFill rotWithShape="1">
                <a:gsLst>
                  <a:gs pos="0">
                    <a:srgbClr val="688FC5">
                      <a:satMod val="103000"/>
                      <a:lumMod val="102000"/>
                      <a:tint val="94000"/>
                    </a:srgbClr>
                  </a:gs>
                  <a:gs pos="50000">
                    <a:srgbClr val="4A81C3">
                      <a:satMod val="110000"/>
                      <a:lumMod val="100000"/>
                      <a:shade val="100000"/>
                    </a:srgbClr>
                  </a:gs>
                  <a:gs pos="100000">
                    <a:srgbClr val="3A71B2">
                      <a:lumMod val="99000"/>
                      <a:satMod val="120000"/>
                      <a:shade val="78000"/>
                    </a:srgb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rgbClr val="C76966">
                      <a:satMod val="103000"/>
                      <a:lumMod val="102000"/>
                      <a:tint val="94000"/>
                    </a:srgbClr>
                  </a:gs>
                  <a:gs pos="50000">
                    <a:srgbClr val="C64B47">
                      <a:satMod val="110000"/>
                      <a:lumMod val="100000"/>
                      <a:shade val="100000"/>
                    </a:srgbClr>
                  </a:gs>
                  <a:gs pos="100000">
                    <a:srgbClr val="B63B38">
                      <a:lumMod val="99000"/>
                      <a:satMod val="120000"/>
                      <a:shade val="78000"/>
                    </a:srgbClr>
                  </a:gs>
                </a:gsLst>
                <a:lin ang="5400000" scaled="0"/>
              </a:gradFill>
              <a:ln>
                <a:noFill/>
              </a:ln>
              <a:effectLst>
                <a:outerShdw blurRad="57150" dist="19050" dir="5400000" algn="ctr" rotWithShape="0">
                  <a:srgbClr val="000000">
                    <a:alpha val="63000"/>
                  </a:srgbClr>
                </a:outerShdw>
              </a:effectLst>
              <a:sp3d/>
            </c:spPr>
          </c:dPt>
          <c:dLbls>
            <c:delete val="1"/>
          </c:dLbls>
          <c:cat>
            <c:strRef>
              <c:f>[饼状图、柱状图.xlsx]Sheet1!$D$19:$D$20</c:f>
              <c:strCache>
                <c:ptCount val="2"/>
                <c:pt idx="0">
                  <c:v>基本支出</c:v>
                </c:pt>
                <c:pt idx="1">
                  <c:v>项目支出</c:v>
                </c:pt>
              </c:strCache>
            </c:strRef>
          </c:cat>
          <c:val>
            <c:numRef>
              <c:f>[饼状图、柱状图.xlsx]Sheet1!$F$19:$F$20</c:f>
              <c:numCache>
                <c:formatCode>0.00%</c:formatCode>
                <c:ptCount val="2"/>
                <c:pt idx="0">
                  <c:v>0.823941979522184</c:v>
                </c:pt>
                <c:pt idx="1">
                  <c:v>0.176058020477816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11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5594214a-afda-4117-a9dd-9f760a4c5420}"/>
      </c:ext>
    </c:extLst>
  </c:chart>
  <c:spPr>
    <a:solidFill>
      <a:srgbClr val="FFFFFF"/>
    </a:solidFill>
    <a:ln w="9525" cap="flat" cmpd="sng" algn="ctr">
      <a:solidFill>
        <a:srgbClr val="000000"/>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800" b="1" i="0" u="none" strike="noStrike" kern="1200" baseline="0">
                <a:solidFill>
                  <a:srgbClr val="000000"/>
                </a:solidFill>
                <a:latin typeface="+mn-lt"/>
                <a:ea typeface="+mn-ea"/>
                <a:cs typeface="+mn-cs"/>
              </a:defRPr>
            </a:pPr>
            <a:r>
              <a:t>图</a:t>
            </a:r>
            <a:r>
              <a:rPr lang="en-US" altLang="zh-CN"/>
              <a:t>4</a:t>
            </a:r>
            <a:r>
              <a:t>：财政拨款收、支决算总计</a:t>
            </a:r>
          </a:p>
          <a:p>
            <a:pPr>
              <a:defRPr lang="zh-CN" sz="1800" b="1" i="0" u="none" strike="noStrike" kern="1200" baseline="0">
                <a:solidFill>
                  <a:srgbClr val="000000"/>
                </a:solidFill>
                <a:latin typeface="+mn-lt"/>
                <a:ea typeface="+mn-ea"/>
                <a:cs typeface="+mn-cs"/>
              </a:defRPr>
            </a:pPr>
            <a:r>
              <a:t>变动情况</a:t>
            </a:r>
          </a:p>
        </c:rich>
      </c:tx>
      <c:layout/>
      <c:overlay val="0"/>
    </c:title>
    <c:autoTitleDeleted val="0"/>
    <c:plotArea>
      <c:layout>
        <c:manualLayout>
          <c:layoutTarget val="inner"/>
          <c:xMode val="edge"/>
          <c:yMode val="edge"/>
          <c:x val="0.118718025880229"/>
          <c:y val="0.315576874526635"/>
          <c:w val="0.848179356003611"/>
          <c:h val="0.540267609189599"/>
        </c:manualLayout>
      </c:layout>
      <c:barChart>
        <c:barDir val="col"/>
        <c:grouping val="stacked"/>
        <c:varyColors val="1"/>
        <c:ser>
          <c:idx val="0"/>
          <c:order val="0"/>
          <c:invertIfNegative val="0"/>
          <c:dPt>
            <c:idx val="0"/>
            <c:invertIfNegative val="0"/>
            <c:bubble3D val="0"/>
          </c:dPt>
          <c:dPt>
            <c:idx val="1"/>
            <c:invertIfNegative val="0"/>
            <c:bubble3D val="0"/>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solidFill>
                        <a:latin typeface="+mn-lt"/>
                        <a:ea typeface="+mn-ea"/>
                        <a:cs typeface="+mn-cs"/>
                      </a:defRPr>
                    </a:pPr>
                    <a:r>
                      <a:t>966</a:t>
                    </a:r>
                    <a:r>
                      <a:rPr lang="en-US" altLang="zh-CN"/>
                      <a:t>.</a:t>
                    </a:r>
                    <a:r>
                      <a:t>43</a:t>
                    </a:r>
                  </a:p>
                </c:rich>
              </c:tx>
              <c:dLblPos val="ctr"/>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1000" b="0" i="0" u="none" strike="noStrike" kern="1200" baseline="0">
                        <a:solidFill>
                          <a:srgbClr val="000000"/>
                        </a:solidFill>
                        <a:latin typeface="+mn-lt"/>
                        <a:ea typeface="+mn-ea"/>
                        <a:cs typeface="+mn-cs"/>
                      </a:defRPr>
                    </a:pPr>
                    <a:r>
                      <a:t>1171</a:t>
                    </a:r>
                    <a:r>
                      <a:rPr lang="en-US" altLang="zh-CN"/>
                      <a:t>.</a:t>
                    </a:r>
                    <a:r>
                      <a:t>99</a:t>
                    </a:r>
                  </a:p>
                </c:rich>
              </c:tx>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[饼状图、柱状图.xlsx]Sheet1!$D$39:$D$40</c:f>
              <c:strCache>
                <c:ptCount val="2"/>
                <c:pt idx="0">
                  <c:v>2022年</c:v>
                </c:pt>
                <c:pt idx="1">
                  <c:v>2023年</c:v>
                </c:pt>
              </c:strCache>
            </c:strRef>
          </c:cat>
          <c:val>
            <c:numRef>
              <c:f>[饼状图、柱状图.xlsx]Sheet1!$E$39:$E$40</c:f>
              <c:numCache>
                <c:formatCode>General</c:formatCode>
                <c:ptCount val="2"/>
                <c:pt idx="0">
                  <c:v>966.43</c:v>
                </c:pt>
                <c:pt idx="1">
                  <c:v>1171.99</c:v>
                </c:pt>
              </c:numCache>
            </c:numRef>
          </c:val>
        </c:ser>
        <c:dLbls>
          <c:showLegendKey val="0"/>
          <c:showVal val="1"/>
          <c:showCatName val="0"/>
          <c:showSerName val="0"/>
          <c:showPercent val="0"/>
          <c:showBubbleSize val="0"/>
        </c:dLbls>
        <c:gapWidth val="230"/>
        <c:overlap val="100"/>
        <c:axId val="104992128"/>
        <c:axId val="104993920"/>
      </c:barChart>
      <c:catAx>
        <c:axId val="104992128"/>
        <c:scaling>
          <c:orientation val="minMax"/>
        </c:scaling>
        <c:delete val="0"/>
        <c:axPos val="b"/>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crossAx val="104993920"/>
        <c:crosses val="autoZero"/>
        <c:auto val="1"/>
        <c:lblAlgn val="ctr"/>
        <c:lblOffset val="100"/>
        <c:tickMarkSkip val="2"/>
        <c:noMultiLvlLbl val="0"/>
      </c:catAx>
      <c:valAx>
        <c:axId val="104993920"/>
        <c:scaling>
          <c:orientation val="minMax"/>
          <c:max val="1200"/>
          <c:min val="100"/>
        </c:scaling>
        <c:delete val="0"/>
        <c:axPos val="l"/>
        <c:majorGridlines>
          <c:spPr>
            <a:ln w="41275" cap="flat" cmpd="sng" algn="ctr">
              <a:solidFill>
                <a:srgbClr val="898989">
                  <a:tint val="75000"/>
                </a:srgbClr>
              </a:solidFill>
              <a:prstDash val="solid"/>
              <a:miter lim="800000"/>
            </a:ln>
          </c:spPr>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crossAx val="104992128"/>
        <c:crosses val="autoZero"/>
        <c:crossBetween val="between"/>
        <c:majorUnit val="100"/>
        <c:minorUnit val="100"/>
      </c:valAx>
    </c:plotArea>
    <c:legend>
      <c:legendPos val="b"/>
      <c:layout/>
      <c:overlay val="0"/>
      <c:txPr>
        <a:bodyPr rot="0" spcFirstLastPara="0" vertOverflow="ellipsis" vert="horz" wrap="square" anchor="ctr" anchorCtr="1"/>
        <a:lstStyle/>
        <a:p>
          <a:pPr>
            <a:defRPr lang="zh-CN" sz="1000" b="0" i="0" u="none" strike="noStrike" kern="1200" baseline="0">
              <a:solidFill>
                <a:srgbClr val="000000"/>
              </a:solidFill>
              <a:latin typeface="+mn-lt"/>
              <a:ea typeface="+mn-ea"/>
              <a:cs typeface="+mn-cs"/>
            </a:defRPr>
          </a:pPr>
        </a:p>
      </c:txPr>
    </c:legend>
    <c:plotVisOnly val="1"/>
    <c:dispBlanksAs val="gap"/>
    <c:showDLblsOverMax val="0"/>
    <c:extLst>
      <c:ext uri="{0b15fc19-7d7d-44ad-8c2d-2c3a37ce22c3}">
        <chartProps xmlns="https://web.wps.cn/et/2018/main" chartId="{8d765273-d4d0-4dd1-9c07-1363b2081389}"/>
      </c:ext>
    </c:extLst>
  </c:chart>
  <c:spPr>
    <a:solidFill>
      <a:srgbClr val="FFFFFF">
        <a:alpha val="85000"/>
      </a:srgbClr>
    </a:solidFill>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rgbClr val="595959">
                    <a:lumMod val="65000"/>
                    <a:lumOff val="35000"/>
                  </a:srgbClr>
                </a:solidFill>
                <a:latin typeface="+mn-lt"/>
                <a:ea typeface="+mn-ea"/>
                <a:cs typeface="+mn-cs"/>
              </a:defRPr>
            </a:pPr>
            <a:r>
              <a:rPr b="1"/>
              <a:t>图5：一般公共预算财政拨款支出决算变动情况</a:t>
            </a:r>
            <a:endParaRPr b="1"/>
          </a:p>
          <a:p>
            <a:pPr defTabSz="914400">
              <a:defRPr lang="zh-CN" sz="1400" b="0" i="0" u="none" strike="noStrike" kern="1200" spc="0" baseline="0">
                <a:solidFill>
                  <a:srgbClr val="595959">
                    <a:lumMod val="65000"/>
                    <a:lumOff val="35000"/>
                  </a:srgbClr>
                </a:solidFill>
                <a:latin typeface="+mn-lt"/>
                <a:ea typeface="+mn-ea"/>
                <a:cs typeface="+mn-cs"/>
              </a:defRPr>
            </a:pPr>
          </a:p>
        </c:rich>
      </c:tx>
      <c:layout>
        <c:manualLayout>
          <c:xMode val="edge"/>
          <c:yMode val="edge"/>
          <c:x val="0.245694444444444"/>
          <c:y val="0.0243055555555556"/>
        </c:manualLayout>
      </c:layout>
      <c:overlay val="0"/>
      <c:spPr>
        <a:noFill/>
        <a:ln>
          <a:noFill/>
        </a:ln>
        <a:effectLst/>
      </c:spPr>
    </c:title>
    <c:autoTitleDeleted val="0"/>
    <c:plotArea>
      <c:layout/>
      <c:barChart>
        <c:barDir val="col"/>
        <c:grouping val="clustered"/>
        <c:varyColors val="0"/>
        <c:ser>
          <c:idx val="0"/>
          <c:order val="0"/>
          <c:spPr>
            <a:solidFill>
              <a:srgbClr val="EA6F1C"/>
            </a:solidFill>
            <a:ln>
              <a:noFill/>
            </a:ln>
            <a:effectLst/>
          </c:spPr>
          <c:invertIfNegative val="0"/>
          <c:dPt>
            <c:idx val="0"/>
            <c:invertIfNegative val="0"/>
            <c:bubble3D val="0"/>
            <c:spPr>
              <a:solidFill>
                <a:srgbClr val="5097D6"/>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[饼状图、柱状图.xlsx]Sheet1!$D$72:$D$73</c:f>
              <c:strCache>
                <c:ptCount val="2"/>
                <c:pt idx="0">
                  <c:v>2022年</c:v>
                </c:pt>
                <c:pt idx="1">
                  <c:v>2023年</c:v>
                </c:pt>
              </c:strCache>
            </c:strRef>
          </c:cat>
          <c:val>
            <c:numRef>
              <c:f>[饼状图、柱状图.xlsx]Sheet1!$E$72:$E$73</c:f>
              <c:numCache>
                <c:formatCode>General</c:formatCode>
                <c:ptCount val="2"/>
                <c:pt idx="0">
                  <c:v>966.43</c:v>
                </c:pt>
                <c:pt idx="1">
                  <c:v>1171.99</c:v>
                </c:pt>
              </c:numCache>
            </c:numRef>
          </c:val>
        </c:ser>
        <c:dLbls>
          <c:showLegendKey val="0"/>
          <c:showVal val="1"/>
          <c:showCatName val="0"/>
          <c:showSerName val="0"/>
          <c:showPercent val="0"/>
          <c:showBubbleSize val="0"/>
        </c:dLbls>
        <c:gapWidth val="219"/>
        <c:overlap val="-27"/>
        <c:axId val="60829169"/>
        <c:axId val="102275076"/>
      </c:barChart>
      <c:catAx>
        <c:axId val="60829169"/>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02275076"/>
        <c:crosses val="autoZero"/>
        <c:auto val="1"/>
        <c:lblAlgn val="ctr"/>
        <c:lblOffset val="100"/>
        <c:noMultiLvlLbl val="0"/>
      </c:catAx>
      <c:valAx>
        <c:axId val="102275076"/>
        <c:scaling>
          <c:orientation val="minMax"/>
          <c:max val="1500"/>
          <c:min val="100"/>
        </c:scaling>
        <c:delete val="0"/>
        <c:axPos val="l"/>
        <c:majorGridlines>
          <c:spPr>
            <a:ln w="9525" cap="flat" cmpd="sng" algn="ctr">
              <a:solidFill>
                <a:srgbClr val="D9D9D9">
                  <a:lumMod val="15000"/>
                  <a:lumOff val="85000"/>
                </a:srgb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60829169"/>
        <c:crosses val="autoZero"/>
        <c:crossBetween val="between"/>
        <c:majorUnit val="200"/>
        <c:minorUnit val="100"/>
      </c:valAx>
      <c:spPr>
        <a:noFill/>
        <a:ln>
          <a:noFill/>
        </a:ln>
        <a:effectLst/>
      </c:spPr>
    </c:plotArea>
    <c:plotVisOnly val="1"/>
    <c:dispBlanksAs val="gap"/>
    <c:showDLblsOverMax val="0"/>
    <c:extLst>
      <c:ext uri="{0b15fc19-7d7d-44ad-8c2d-2c3a37ce22c3}">
        <chartProps xmlns="https://web.wps.cn/et/2018/main" chartId="{523080ca-1838-436d-bfde-bd713c1952c2}"/>
      </c:ext>
    </c:extLst>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2000" b="1" i="0" u="none" strike="noStrike" kern="1200" baseline="0">
                <a:solidFill>
                  <a:srgbClr val="404040">
                    <a:lumMod val="75000"/>
                    <a:lumOff val="25000"/>
                  </a:srgbClr>
                </a:solidFill>
                <a:latin typeface="+mn-lt"/>
                <a:ea typeface="+mn-ea"/>
                <a:cs typeface="+mn-cs"/>
              </a:defRPr>
            </a:pPr>
            <a:r>
              <a:rPr sz="2000"/>
              <a:t>图6：一般公共预算财政拨款支出决算结构</a:t>
            </a:r>
            <a:endParaRPr sz="2000"/>
          </a:p>
        </c:rich>
      </c:tx>
      <c:layout>
        <c:manualLayout>
          <c:xMode val="edge"/>
          <c:yMode val="edge"/>
          <c:x val="0.22625"/>
          <c:y val="0.020225772954142"/>
        </c:manualLayout>
      </c:layout>
      <c:overlay val="0"/>
      <c:spPr>
        <a:noFill/>
        <a:ln>
          <a:noFill/>
        </a:ln>
        <a:effectLst/>
      </c:spPr>
    </c:title>
    <c:autoTitleDeleted val="0"/>
    <c:plotArea>
      <c:layout/>
      <c:pieChart>
        <c:varyColors val="1"/>
        <c:ser>
          <c:idx val="0"/>
          <c:order val="0"/>
          <c:spPr/>
          <c:explosion val="0"/>
          <c:dPt>
            <c:idx val="0"/>
            <c:bubble3D val="0"/>
            <c:spPr>
              <a:solidFill>
                <a:srgbClr val="4572A8">
                  <a:shade val="76667"/>
                </a:srgbClr>
              </a:solidFill>
              <a:ln>
                <a:noFill/>
              </a:ln>
              <a:effectLst>
                <a:outerShdw blurRad="254000" sx="102000" sy="102000" algn="ctr" rotWithShape="0">
                  <a:prstClr val="black">
                    <a:alpha val="20000"/>
                  </a:prstClr>
                </a:outerShdw>
              </a:effectLst>
            </c:spPr>
          </c:dPt>
          <c:dPt>
            <c:idx val="1"/>
            <c:bubble3D val="0"/>
            <c:spPr>
              <a:solidFill>
                <a:srgbClr val="AA4643">
                  <a:shade val="76667"/>
                </a:srgbClr>
              </a:solidFill>
              <a:ln>
                <a:noFill/>
              </a:ln>
              <a:effectLst>
                <a:outerShdw blurRad="254000" sx="102000" sy="102000" algn="ctr" rotWithShape="0">
                  <a:prstClr val="black">
                    <a:alpha val="20000"/>
                  </a:prstClr>
                </a:outerShdw>
              </a:effectLst>
            </c:spPr>
          </c:dPt>
          <c:dPt>
            <c:idx val="2"/>
            <c:bubble3D val="0"/>
            <c:spPr>
              <a:solidFill>
                <a:srgbClr val="89A64E">
                  <a:shade val="76667"/>
                </a:srgbClr>
              </a:solidFill>
              <a:ln>
                <a:noFill/>
              </a:ln>
              <a:effectLst>
                <a:outerShdw blurRad="254000" sx="102000" sy="102000" algn="ctr" rotWithShape="0">
                  <a:prstClr val="black">
                    <a:alpha val="20000"/>
                  </a:prstClr>
                </a:outerShdw>
              </a:effectLst>
            </c:spPr>
          </c:dPt>
          <c:dPt>
            <c:idx val="3"/>
            <c:bubble3D val="0"/>
            <c:spPr>
              <a:solidFill>
                <a:srgbClr val="715890">
                  <a:shade val="76667"/>
                </a:srgbClr>
              </a:solidFill>
              <a:ln>
                <a:noFill/>
              </a:ln>
              <a:effectLst>
                <a:outerShdw blurRad="254000" sx="102000" sy="102000" algn="ctr" rotWithShape="0">
                  <a:prstClr val="black">
                    <a:alpha val="20000"/>
                  </a:prstClr>
                </a:outerShdw>
              </a:effectLst>
            </c:spPr>
          </c:dPt>
          <c:dPt>
            <c:idx val="4"/>
            <c:bubble3D val="0"/>
            <c:spPr>
              <a:solidFill>
                <a:srgbClr val="4299B0">
                  <a:shade val="76667"/>
                </a:srgbClr>
              </a:solidFill>
              <a:ln>
                <a:noFill/>
              </a:ln>
              <a:effectLst>
                <a:outerShdw blurRad="254000" sx="102000" sy="102000" algn="ctr" rotWithShape="0">
                  <a:prstClr val="black">
                    <a:alpha val="20000"/>
                  </a:prstClr>
                </a:outerShdw>
              </a:effectLst>
            </c:spPr>
          </c:dPt>
          <c:dPt>
            <c:idx val="5"/>
            <c:bubble3D val="0"/>
            <c:spPr>
              <a:solidFill>
                <a:srgbClr val="DC853D">
                  <a:shade val="76667"/>
                </a:srgbClr>
              </a:solidFill>
              <a:ln>
                <a:noFill/>
              </a:ln>
              <a:effectLst>
                <a:outerShdw blurRad="254000" sx="102000" sy="102000" algn="ctr" rotWithShape="0">
                  <a:prstClr val="black">
                    <a:alpha val="20000"/>
                  </a:prstClr>
                </a:outerShdw>
              </a:effectLst>
            </c:spPr>
          </c:dPt>
          <c:dPt>
            <c:idx val="6"/>
            <c:bubble3D val="0"/>
            <c:spPr>
              <a:solidFill>
                <a:srgbClr val="93AACF">
                  <a:tint val="76667"/>
                </a:srgbClr>
              </a:solidFill>
              <a:ln>
                <a:noFill/>
              </a:ln>
              <a:effectLst>
                <a:outerShdw blurRad="254000" sx="102000" sy="102000" algn="ctr" rotWithShape="0">
                  <a:prstClr val="black">
                    <a:alpha val="20000"/>
                  </a:prstClr>
                </a:outerShdw>
              </a:effectLst>
            </c:spPr>
          </c:dPt>
          <c:dPt>
            <c:idx val="7"/>
            <c:bubble3D val="0"/>
            <c:spPr>
              <a:solidFill>
                <a:srgbClr val="D19493">
                  <a:tint val="76667"/>
                </a:srgbClr>
              </a:solidFill>
              <a:ln>
                <a:noFill/>
              </a:ln>
              <a:effectLst>
                <a:outerShdw blurRad="254000" sx="102000" sy="102000" algn="ctr" rotWithShape="0">
                  <a:prstClr val="black">
                    <a:alpha val="20000"/>
                  </a:prstClr>
                </a:outerShdw>
              </a:effectLst>
            </c:spPr>
          </c:dPt>
          <c:dPt>
            <c:idx val="8"/>
            <c:bubble3D val="0"/>
            <c:spPr>
              <a:solidFill>
                <a:srgbClr val="B9CE97">
                  <a:tint val="76667"/>
                </a:srgbClr>
              </a:solidFill>
              <a:ln>
                <a:noFill/>
              </a:ln>
              <a:effectLst>
                <a:outerShdw blurRad="254000" sx="102000" sy="102000" algn="ctr" rotWithShape="0">
                  <a:prstClr val="black">
                    <a:alpha val="20000"/>
                  </a:prstClr>
                </a:outerShdw>
              </a:effectLst>
            </c:spPr>
          </c:dPt>
          <c:dLbls>
            <c:dLbl>
              <c:idx val="0"/>
              <c:layout>
                <c:manualLayout>
                  <c:x val="-0.030779040406257"/>
                  <c:y val="0.0866506366680923"/>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rgbClr val="FFFFFF"/>
                        </a:solidFill>
                        <a:latin typeface="+mn-lt"/>
                        <a:ea typeface="+mn-ea"/>
                        <a:cs typeface="+mn-cs"/>
                      </a:defRPr>
                    </a:pPr>
                    <a:r>
                      <a:rPr lang="en-US" altLang="zh-CN"/>
                      <a:t>78.76</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1"/>
              <c:layout>
                <c:manualLayout>
                  <c:x val="-0.00833847565941735"/>
                  <c:y val="-0.0825568029682485"/>
                </c:manualLayout>
              </c:layout>
              <c:tx>
                <c:rich>
                  <a:bodyPr rot="0" spcFirstLastPara="0" vertOverflow="ellipsis" vert="horz" wrap="square" lIns="38100" tIns="19050" rIns="38100" bIns="19050" anchor="ctr" anchorCtr="1"/>
                  <a:lstStyle/>
                  <a:p>
                    <a:pPr>
                      <a:defRPr lang="zh-CN" sz="1000" b="1" i="0" u="none" strike="noStrike" kern="1200" baseline="0">
                        <a:solidFill>
                          <a:srgbClr val="FFFFFF"/>
                        </a:solidFill>
                        <a:latin typeface="+mn-lt"/>
                        <a:ea typeface="+mn-ea"/>
                        <a:cs typeface="+mn-cs"/>
                      </a:defRPr>
                    </a:pPr>
                    <a:r>
                      <a:rPr lang="en-US" altLang="zh-CN"/>
                      <a:t>13.65</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2"/>
              <c:layout>
                <c:manualLayout>
                  <c:x val="0.0255026199346737"/>
                  <c:y val="-0.0168170204065998"/>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rgbClr val="FFFFFF"/>
                        </a:solidFill>
                        <a:latin typeface="+mn-lt"/>
                        <a:ea typeface="+mn-ea"/>
                        <a:cs typeface="+mn-cs"/>
                      </a:defRPr>
                    </a:pPr>
                    <a:r>
                      <a:rPr lang="en-US" altLang="zh-CN"/>
                      <a:t>1.96</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3"/>
              <c:layout>
                <c:manualLayout>
                  <c:x val="0.0199490885233556"/>
                  <c:y val="0.0704102255195806"/>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rgbClr val="FFFFFF"/>
                        </a:solidFill>
                        <a:latin typeface="+mn-lt"/>
                        <a:ea typeface="+mn-ea"/>
                        <a:cs typeface="+mn-cs"/>
                      </a:defRPr>
                    </a:pPr>
                    <a:r>
                      <a:rPr lang="en-US" altLang="zh-CN"/>
                      <a:t>5.63</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4"/>
              <c:layout>
                <c:manualLayout>
                  <c:x val="-0.00607798394589944"/>
                  <c:y val="0.163710137637092"/>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rgbClr val="FFFFFF"/>
                        </a:solidFill>
                        <a:latin typeface="+mn-lt"/>
                        <a:ea typeface="+mn-ea"/>
                        <a:cs typeface="+mn-cs"/>
                      </a:defRPr>
                    </a:pPr>
                    <a:r>
                      <a:t>8</a:t>
                    </a:r>
                    <a:r>
                      <a:rPr lang="en-US" altLang="zh-CN"/>
                      <a:t>5.60</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5"/>
              <c:layout>
                <c:manualLayout>
                  <c:x val="0.0315784317822838"/>
                  <c:y val="0.119485990511234"/>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rgbClr val="FFFFFF"/>
                        </a:solidFill>
                        <a:latin typeface="+mn-lt"/>
                        <a:ea typeface="+mn-ea"/>
                        <a:cs typeface="+mn-cs"/>
                      </a:defRPr>
                    </a:pPr>
                    <a:r>
                      <a:t>2.</a:t>
                    </a:r>
                    <a:r>
                      <a:rPr lang="en-US" altLang="zh-CN"/>
                      <a:t>4</a:t>
                    </a:r>
                    <a:r>
                      <a:t>5%</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6"/>
              <c:layout>
                <c:manualLayout>
                  <c:x val="-0.0219828116576736"/>
                  <c:y val="0.255749377280647"/>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rgbClr val="FFFFFF"/>
                        </a:solidFill>
                        <a:latin typeface="+mn-lt"/>
                        <a:ea typeface="+mn-ea"/>
                        <a:cs typeface="+mn-cs"/>
                      </a:defRPr>
                    </a:pPr>
                    <a:r>
                      <a:t>0.6</a:t>
                    </a:r>
                    <a:r>
                      <a:rPr lang="en-US" altLang="zh-CN"/>
                      <a:t>0</a:t>
                    </a:r>
                    <a:r>
                      <a:t>%</a:t>
                    </a:r>
                  </a:p>
                </c:rich>
              </c:tx>
              <c:dLblPos val="bestFit"/>
              <c:showLegendKey val="1"/>
              <c:showVal val="0"/>
              <c:showCatName val="0"/>
              <c:showSerName val="0"/>
              <c:showPercent val="1"/>
              <c:showBubbleSize val="0"/>
              <c:extLst>
                <c:ext xmlns:c15="http://schemas.microsoft.com/office/drawing/2012/chart" uri="{CE6537A1-D6FC-4f65-9D91-7224C49458BB}">
                  <c15:layout/>
                </c:ext>
              </c:extLst>
            </c:dLbl>
            <c:dLbl>
              <c:idx val="8"/>
              <c:layout>
                <c:manualLayout>
                  <c:x val="0.034123898143066"/>
                  <c:y val="0.290662043130256"/>
                </c:manualLayout>
              </c:layout>
              <c:dLblPos val="bestFit"/>
              <c:showLegendKey val="1"/>
              <c:showVal val="0"/>
              <c:showCatName val="0"/>
              <c:showSerName val="0"/>
              <c:showPercent val="1"/>
              <c:showBubbleSize val="0"/>
              <c:extLst>
                <c:ext xmlns:c15="http://schemas.microsoft.com/office/drawing/2012/chart" uri="{CE6537A1-D6FC-4f65-9D91-7224C49458BB}">
                  <c15:layout/>
                </c:ext>
              </c:extLst>
            </c:dLbl>
            <c:numFmt formatCode="0.00%" sourceLinked="0"/>
            <c:spPr>
              <a:pattFill prst="pct75">
                <a:fgClr>
                  <a:srgbClr val="404040">
                    <a:lumMod val="75000"/>
                    <a:lumOff val="25000"/>
                  </a:srgbClr>
                </a:fgClr>
                <a:bgClr>
                  <a:srgbClr val="595959">
                    <a:lumMod val="65000"/>
                    <a:lumOff val="35000"/>
                  </a:srgb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rgbClr val="FFFFFF"/>
                    </a:solidFill>
                    <a:latin typeface="+mn-lt"/>
                    <a:ea typeface="+mn-ea"/>
                    <a:cs typeface="+mn-cs"/>
                  </a:defRPr>
                </a:pPr>
              </a:p>
            </c:txPr>
            <c:dLblPos val="ctr"/>
            <c:showLegendKey val="1"/>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rgbClr val="808080">
                          <a:lumMod val="50000"/>
                          <a:lumOff val="50000"/>
                        </a:srgbClr>
                      </a:solidFill>
                    </a:ln>
                    <a:effectLst/>
                  </c:spPr>
                </c15:leaderLines>
              </c:ext>
            </c:extLst>
          </c:dLbls>
          <c:cat>
            <c:strRef>
              <c:f>[饼状图、柱状图.xlsx]Sheet1!$D$90:$D$98</c:f>
              <c:strCache>
                <c:ptCount val="9"/>
                <c:pt idx="0">
                  <c:v>一般公共服务支出</c:v>
                </c:pt>
                <c:pt idx="1">
                  <c:v>社会保障和就业支出</c:v>
                </c:pt>
                <c:pt idx="2">
                  <c:v>卫生健康支出</c:v>
                </c:pt>
                <c:pt idx="3">
                  <c:v>住房保障支出</c:v>
                </c:pt>
              </c:strCache>
            </c:strRef>
          </c:cat>
          <c:val>
            <c:numRef>
              <c:f>[饼状图、柱状图.xlsx]Sheet1!$E$90:$E$98</c:f>
              <c:numCache>
                <c:formatCode>0.00%</c:formatCode>
                <c:ptCount val="9"/>
                <c:pt idx="0">
                  <c:v>0.0592</c:v>
                </c:pt>
                <c:pt idx="1">
                  <c:v>0.0076</c:v>
                </c:pt>
                <c:pt idx="2">
                  <c:v>0.0017</c:v>
                </c:pt>
                <c:pt idx="3">
                  <c:v>0.0049</c:v>
                </c:pt>
              </c:numCache>
            </c:numRef>
          </c:val>
        </c:ser>
        <c:ser>
          <c:idx val="1"/>
          <c:order val="1"/>
          <c:spPr/>
          <c:explosion val="0"/>
          <c:dPt>
            <c:idx val="0"/>
            <c:bubble3D val="0"/>
            <c:spPr>
              <a:solidFill>
                <a:srgbClr val="4572A8">
                  <a:shade val="76667"/>
                </a:srgbClr>
              </a:solidFill>
              <a:ln>
                <a:noFill/>
              </a:ln>
              <a:effectLst>
                <a:outerShdw blurRad="254000" sx="102000" sy="102000" algn="ctr" rotWithShape="0">
                  <a:prstClr val="black">
                    <a:alpha val="20000"/>
                  </a:prstClr>
                </a:outerShdw>
              </a:effectLst>
            </c:spPr>
          </c:dPt>
          <c:dPt>
            <c:idx val="1"/>
            <c:bubble3D val="0"/>
            <c:spPr>
              <a:solidFill>
                <a:srgbClr val="AA4643">
                  <a:shade val="76667"/>
                </a:srgbClr>
              </a:solidFill>
              <a:ln>
                <a:noFill/>
              </a:ln>
              <a:effectLst>
                <a:outerShdw blurRad="254000" sx="102000" sy="102000" algn="ctr" rotWithShape="0">
                  <a:prstClr val="black">
                    <a:alpha val="20000"/>
                  </a:prstClr>
                </a:outerShdw>
              </a:effectLst>
            </c:spPr>
          </c:dPt>
          <c:dPt>
            <c:idx val="2"/>
            <c:bubble3D val="0"/>
            <c:spPr>
              <a:solidFill>
                <a:srgbClr val="89A64E">
                  <a:shade val="76667"/>
                </a:srgbClr>
              </a:solidFill>
              <a:ln>
                <a:noFill/>
              </a:ln>
              <a:effectLst>
                <a:outerShdw blurRad="254000" sx="102000" sy="102000" algn="ctr" rotWithShape="0">
                  <a:prstClr val="black">
                    <a:alpha val="20000"/>
                  </a:prstClr>
                </a:outerShdw>
              </a:effectLst>
            </c:spPr>
          </c:dPt>
          <c:dPt>
            <c:idx val="3"/>
            <c:bubble3D val="0"/>
            <c:spPr>
              <a:solidFill>
                <a:srgbClr val="715890">
                  <a:shade val="76667"/>
                </a:srgbClr>
              </a:solidFill>
              <a:ln>
                <a:noFill/>
              </a:ln>
              <a:effectLst>
                <a:outerShdw blurRad="254000" sx="102000" sy="102000" algn="ctr" rotWithShape="0">
                  <a:prstClr val="black">
                    <a:alpha val="20000"/>
                  </a:prstClr>
                </a:outerShdw>
              </a:effectLst>
            </c:spPr>
          </c:dPt>
          <c:dPt>
            <c:idx val="4"/>
            <c:bubble3D val="0"/>
            <c:spPr>
              <a:solidFill>
                <a:srgbClr val="4299B0">
                  <a:shade val="76667"/>
                </a:srgbClr>
              </a:solidFill>
              <a:ln>
                <a:noFill/>
              </a:ln>
              <a:effectLst>
                <a:outerShdw blurRad="254000" sx="102000" sy="102000" algn="ctr" rotWithShape="0">
                  <a:prstClr val="black">
                    <a:alpha val="20000"/>
                  </a:prstClr>
                </a:outerShdw>
              </a:effectLst>
            </c:spPr>
          </c:dPt>
          <c:dPt>
            <c:idx val="5"/>
            <c:bubble3D val="0"/>
            <c:spPr>
              <a:solidFill>
                <a:srgbClr val="DC853D">
                  <a:shade val="76667"/>
                </a:srgbClr>
              </a:solidFill>
              <a:ln>
                <a:noFill/>
              </a:ln>
              <a:effectLst>
                <a:outerShdw blurRad="254000" sx="102000" sy="102000" algn="ctr" rotWithShape="0">
                  <a:prstClr val="black">
                    <a:alpha val="20000"/>
                  </a:prstClr>
                </a:outerShdw>
              </a:effectLst>
            </c:spPr>
          </c:dPt>
          <c:dPt>
            <c:idx val="6"/>
            <c:bubble3D val="0"/>
            <c:spPr>
              <a:solidFill>
                <a:srgbClr val="93AACF">
                  <a:tint val="76667"/>
                </a:srgbClr>
              </a:solidFill>
              <a:ln>
                <a:noFill/>
              </a:ln>
              <a:effectLst>
                <a:outerShdw blurRad="254000" sx="102000" sy="102000" algn="ctr" rotWithShape="0">
                  <a:prstClr val="black">
                    <a:alpha val="20000"/>
                  </a:prstClr>
                </a:outerShdw>
              </a:effectLst>
            </c:spPr>
          </c:dPt>
          <c:dPt>
            <c:idx val="7"/>
            <c:bubble3D val="0"/>
            <c:spPr>
              <a:solidFill>
                <a:srgbClr val="D19493">
                  <a:tint val="76667"/>
                </a:srgbClr>
              </a:solidFill>
              <a:ln>
                <a:noFill/>
              </a:ln>
              <a:effectLst>
                <a:outerShdw blurRad="254000" sx="102000" sy="102000" algn="ctr" rotWithShape="0">
                  <a:prstClr val="black">
                    <a:alpha val="20000"/>
                  </a:prstClr>
                </a:outerShdw>
              </a:effectLst>
            </c:spPr>
          </c:dPt>
          <c:dPt>
            <c:idx val="8"/>
            <c:bubble3D val="0"/>
            <c:spPr>
              <a:solidFill>
                <a:srgbClr val="B9CE97">
                  <a:tint val="76667"/>
                </a:srgbClr>
              </a:solidFill>
              <a:ln>
                <a:noFill/>
              </a:ln>
              <a:effectLst>
                <a:outerShdw blurRad="254000" sx="102000" sy="102000" algn="ctr" rotWithShape="0">
                  <a:prstClr val="black">
                    <a:alpha val="20000"/>
                  </a:prstClr>
                </a:outerShdw>
              </a:effectLst>
            </c:spPr>
          </c:dPt>
          <c:dLbls>
            <c:spPr>
              <a:pattFill prst="pct75">
                <a:fgClr>
                  <a:srgbClr val="404040">
                    <a:lumMod val="75000"/>
                    <a:lumOff val="25000"/>
                  </a:srgbClr>
                </a:fgClr>
                <a:bgClr>
                  <a:srgbClr val="595959">
                    <a:lumMod val="65000"/>
                    <a:lumOff val="35000"/>
                  </a:srgb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rgbClr val="FFFFFF"/>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rgbClr val="808080">
                          <a:lumMod val="50000"/>
                          <a:lumOff val="50000"/>
                        </a:srgbClr>
                      </a:solidFill>
                    </a:ln>
                    <a:effectLst/>
                  </c:spPr>
                </c15:leaderLines>
              </c:ext>
            </c:extLst>
          </c:dLbls>
          <c:cat>
            <c:strRef>
              <c:f>[饼状图、柱状图.xlsx]Sheet1!$D$90:$D$98</c:f>
              <c:strCache>
                <c:ptCount val="9"/>
                <c:pt idx="0">
                  <c:v>一般公共服务支出</c:v>
                </c:pt>
                <c:pt idx="1">
                  <c:v>社会保障和就业支出</c:v>
                </c:pt>
                <c:pt idx="2">
                  <c:v>卫生健康支出</c:v>
                </c:pt>
                <c:pt idx="3">
                  <c:v>住房保障支出</c:v>
                </c:pt>
              </c:strCache>
            </c:strRef>
          </c:cat>
          <c:val>
            <c:numRef>
              <c:f>[饼状图、柱状图.xlsx]Sheet1!$F$90:$F$98</c:f>
              <c:numCache>
                <c:formatCode>General</c:formatCode>
                <c:ptCount val="9"/>
                <c:pt idx="0">
                  <c:v>825.22</c:v>
                </c:pt>
                <c:pt idx="1">
                  <c:v>143.04</c:v>
                </c:pt>
                <c:pt idx="2">
                  <c:v>20.6</c:v>
                </c:pt>
                <c:pt idx="3">
                  <c:v>58.95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rgbClr val="F2F2F2">
            <a:lumMod val="95000"/>
            <a:alpha val="39000"/>
          </a:srgbClr>
        </a:solidFill>
        <a:ln>
          <a:noFill/>
        </a:ln>
        <a:effectLst/>
      </c:spPr>
      <c:txPr>
        <a:bodyPr rot="0" spcFirstLastPara="0" vertOverflow="ellipsis" vert="horz" wrap="square" anchor="ctr" anchorCtr="1"/>
        <a:lstStyle/>
        <a:p>
          <a:pPr>
            <a:defRPr lang="zh-CN" sz="900" b="0" i="0" u="none" strike="noStrike" kern="1200" baseline="0">
              <a:solidFill>
                <a:srgbClr val="404040">
                  <a:lumMod val="75000"/>
                  <a:lumOff val="25000"/>
                </a:srgbClr>
              </a:solidFill>
              <a:latin typeface="+mn-lt"/>
              <a:ea typeface="+mn-ea"/>
              <a:cs typeface="+mn-cs"/>
            </a:defRPr>
          </a:pPr>
        </a:p>
      </c:txPr>
    </c:legend>
    <c:plotVisOnly val="1"/>
    <c:dispBlanksAs val="gap"/>
    <c:showDLblsOverMax val="0"/>
    <c:extLst>
      <c:ext uri="{0b15fc19-7d7d-44ad-8c2d-2c3a37ce22c3}">
        <chartProps xmlns="https://web.wps.cn/et/2018/main" chartId="{eb7afd6a-f22a-4232-b9f2-d48f08c71996}"/>
      </c:ext>
    </c:extLst>
  </c:chart>
  <c:spPr>
    <a:noFill/>
    <a:ln w="9525" cap="flat" cmpd="sng" algn="ctr">
      <a:solidFill>
        <a:srgbClr val="BFBFBF">
          <a:lumMod val="25000"/>
          <a:lumOff val="75000"/>
        </a:srgb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rgbClr val="595959">
                    <a:lumMod val="65000"/>
                    <a:lumOff val="35000"/>
                  </a:srgbClr>
                </a:solidFill>
                <a:latin typeface="+mn-lt"/>
                <a:ea typeface="+mn-ea"/>
                <a:cs typeface="+mn-cs"/>
              </a:defRPr>
            </a:pPr>
            <a:r>
              <a:rPr lang="zh-CN" altLang="en-US" sz="1800">
                <a:effectLst/>
              </a:rPr>
              <a:t>图</a:t>
            </a:r>
            <a:r>
              <a:rPr lang="en-US" altLang="zh-CN" sz="1800">
                <a:effectLst/>
              </a:rPr>
              <a:t>7</a:t>
            </a:r>
            <a:r>
              <a:rPr lang="zh-CN" altLang="en-US" sz="1800">
                <a:effectLst/>
              </a:rPr>
              <a:t>：</a:t>
            </a:r>
            <a:r>
              <a:rPr lang="en-US" altLang="zh-CN" sz="1800">
                <a:effectLst/>
              </a:rPr>
              <a:t>"</a:t>
            </a:r>
            <a:r>
              <a:rPr lang="zh-CN" altLang="en-US" sz="1800">
                <a:effectLst/>
              </a:rPr>
              <a:t>三公</a:t>
            </a:r>
            <a:r>
              <a:rPr lang="en-US" altLang="zh-CN" sz="1800">
                <a:effectLst/>
              </a:rPr>
              <a:t>"</a:t>
            </a:r>
            <a:r>
              <a:rPr lang="zh-CN" altLang="en-US" sz="1800">
                <a:effectLst/>
              </a:rPr>
              <a:t>经费财政拨款支出结构</a:t>
            </a:r>
            <a:endParaRPr lang="zh-CN" altLang="en-US" sz="1800">
              <a:effectLst/>
            </a:endParaRPr>
          </a:p>
        </c:rich>
      </c:tx>
      <c:layout/>
      <c:overlay val="0"/>
      <c:spPr>
        <a:noFill/>
        <a:ln>
          <a:noFill/>
        </a:ln>
        <a:effectLst/>
      </c:spPr>
    </c:title>
    <c:autoTitleDeleted val="0"/>
    <c:plotArea>
      <c:layout/>
      <c:pieChart>
        <c:varyColors val="1"/>
        <c:ser>
          <c:idx val="0"/>
          <c:order val="0"/>
          <c:spPr>
            <a:scene3d>
              <a:camera prst="orthographicFront"/>
              <a:lightRig rig="threePt" dir="t"/>
            </a:scene3d>
            <a:sp3d>
              <a:bevelT w="101600" prst="riblet"/>
            </a:sp3d>
          </c:spPr>
          <c:explosion val="0"/>
          <c:dPt>
            <c:idx val="0"/>
            <c:bubble3D val="0"/>
            <c:spPr>
              <a:solidFill>
                <a:srgbClr val="C0504D"/>
              </a:soli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Pt>
            <c:idx val="1"/>
            <c:bubble3D val="0"/>
            <c:spPr>
              <a:solidFill>
                <a:srgbClr val="8064A2"/>
              </a:soli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Pt>
            <c:idx val="2"/>
            <c:bubble3D val="0"/>
            <c:spPr>
              <a:solidFill>
                <a:srgbClr val="F79646"/>
              </a:solidFill>
              <a:ln>
                <a:noFill/>
              </a:ln>
              <a:effectLst>
                <a:outerShdw blurRad="57150" dist="19050" dir="5400000" algn="ctr" rotWithShape="0">
                  <a:srgbClr val="000000">
                    <a:alpha val="63000"/>
                  </a:srgbClr>
                </a:outerShdw>
              </a:effectLst>
              <a:scene3d>
                <a:camera prst="orthographicFront"/>
                <a:lightRig rig="threePt" dir="t"/>
              </a:scene3d>
              <a:sp3d>
                <a:bevelT w="101600" prst="riblet"/>
              </a:sp3d>
            </c:spPr>
          </c:dPt>
          <c:dLbls>
            <c:dLbl>
              <c:idx val="0"/>
              <c:layout>
                <c:manualLayout>
                  <c:x val="0.171528652668416"/>
                  <c:y val="0.0723764216972878"/>
                </c:manualLayout>
              </c:layout>
              <c:dLblPos val="bestFit"/>
              <c:showLegendKey val="1"/>
              <c:showVal val="0"/>
              <c:showCatName val="0"/>
              <c:showSerName val="0"/>
              <c:showPercent val="1"/>
              <c:showBubbleSize val="0"/>
              <c:extLst>
                <c:ext xmlns:c15="http://schemas.microsoft.com/office/drawing/2012/chart" uri="{CE6537A1-D6FC-4f65-9D91-7224C49458BB}">
                  <c15:layout/>
                </c:ext>
              </c:extLst>
            </c:dLbl>
            <c:dLbl>
              <c:idx val="1"/>
              <c:layout>
                <c:manualLayout>
                  <c:x val="0.195296369203849"/>
                  <c:y val="0.1639120370349"/>
                </c:manualLayout>
              </c:layout>
              <c:dLblPos val="bestFit"/>
              <c:showLegendKey val="1"/>
              <c:showVal val="0"/>
              <c:showCatName val="0"/>
              <c:showSerName val="0"/>
              <c:showPercent val="1"/>
              <c:showBubbleSize val="0"/>
              <c:extLst>
                <c:ext xmlns:c15="http://schemas.microsoft.com/office/drawing/2012/chart" uri="{CE6537A1-D6FC-4f65-9D91-7224C49458BB}">
                  <c15:layout/>
                </c:ext>
              </c:extLst>
            </c:dLbl>
            <c:dLbl>
              <c:idx val="2"/>
              <c:layout>
                <c:manualLayout>
                  <c:x val="0.00292432195975506"/>
                  <c:y val="-0.454884259257315"/>
                </c:manualLayout>
              </c:layout>
              <c:dLblPos val="bestFit"/>
              <c:showLegendKey val="1"/>
              <c:showVal val="0"/>
              <c:showCatName val="0"/>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lang="zh-CN" sz="1100" b="0" i="0" u="none" strike="noStrike" kern="1200" baseline="0">
                    <a:solidFill>
                      <a:srgbClr val="404040">
                        <a:lumMod val="75000"/>
                        <a:lumOff val="25000"/>
                      </a:srgbClr>
                    </a:solidFill>
                    <a:latin typeface="+mn-lt"/>
                    <a:ea typeface="+mn-ea"/>
                    <a:cs typeface="+mn-cs"/>
                  </a:defRPr>
                </a:pPr>
              </a:p>
            </c:txPr>
            <c:dLblPos val="inEnd"/>
            <c:showLegendKey val="1"/>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[饼状图、柱状图.xlsx]Sheet1!$D$105:$D$107</c:f>
              <c:strCache>
                <c:ptCount val="3"/>
                <c:pt idx="0">
                  <c:v>因公出国（境）费支出</c:v>
                </c:pt>
                <c:pt idx="1">
                  <c:v>公务用车购置及运行维护费支出</c:v>
                </c:pt>
                <c:pt idx="2">
                  <c:v>公务接待费支出</c:v>
                </c:pt>
              </c:strCache>
            </c:strRef>
          </c:cat>
          <c:val>
            <c:numRef>
              <c:f>[饼状图、柱状图.xlsx]Sheet1!$E$105:$E$107</c:f>
              <c:numCache>
                <c:formatCode>General</c:formatCode>
                <c:ptCount val="3"/>
                <c:pt idx="0">
                  <c:v>0</c:v>
                </c:pt>
                <c:pt idx="1">
                  <c:v>3.11</c:v>
                </c:pt>
                <c:pt idx="2">
                  <c:v>0.65</c:v>
                </c:pt>
              </c:numCache>
            </c:numRef>
          </c:val>
        </c:ser>
        <c:ser>
          <c:idx val="1"/>
          <c:order val="1"/>
          <c:spPr/>
          <c:explosion val="0"/>
          <c:dPt>
            <c:idx val="0"/>
            <c:bubble3D val="0"/>
            <c:spPr>
              <a:solidFill>
                <a:srgbClr val="C0504D"/>
              </a:solidFill>
              <a:ln>
                <a:noFill/>
              </a:ln>
              <a:effectLst>
                <a:outerShdw blurRad="57150" dist="19050" dir="5400000" algn="ctr" rotWithShape="0">
                  <a:srgbClr val="000000">
                    <a:alpha val="63000"/>
                  </a:srgbClr>
                </a:outerShdw>
              </a:effectLst>
              <a:sp3d/>
            </c:spPr>
          </c:dPt>
          <c:dPt>
            <c:idx val="1"/>
            <c:bubble3D val="0"/>
            <c:spPr>
              <a:solidFill>
                <a:srgbClr val="8064A2"/>
              </a:solidFill>
              <a:ln>
                <a:noFill/>
              </a:ln>
              <a:effectLst>
                <a:outerShdw blurRad="57150" dist="19050" dir="5400000" algn="ctr" rotWithShape="0">
                  <a:srgbClr val="000000">
                    <a:alpha val="63000"/>
                  </a:srgbClr>
                </a:outerShdw>
              </a:effectLst>
              <a:sp3d/>
            </c:spPr>
          </c:dPt>
          <c:dPt>
            <c:idx val="2"/>
            <c:bubble3D val="0"/>
            <c:spPr>
              <a:solidFill>
                <a:srgbClr val="F79646"/>
              </a:solidFill>
              <a:ln>
                <a:noFill/>
              </a:ln>
              <a:effectLst>
                <a:outerShdw blurRad="57150" dist="19050" dir="5400000" algn="ctr" rotWithShape="0">
                  <a:srgbClr val="000000">
                    <a:alpha val="63000"/>
                  </a:srgbClr>
                </a:outerShdw>
              </a:effectLst>
              <a:sp3d/>
            </c:spPr>
          </c:dPt>
          <c:dLbls>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rgbClr val="404040">
                        <a:lumMod val="75000"/>
                        <a:lumOff val="25000"/>
                      </a:srgb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prstDash val="solid"/>
                      <a:round/>
                    </a:ln>
                    <a:effectLst/>
                  </c:spPr>
                </c15:leaderLines>
              </c:ext>
            </c:extLst>
          </c:dLbls>
          <c:cat>
            <c:strRef>
              <c:f>[饼状图、柱状图.xlsx]Sheet1!$D$105:$D$107</c:f>
              <c:strCache>
                <c:ptCount val="3"/>
                <c:pt idx="0">
                  <c:v>因公出国（境）费支出</c:v>
                </c:pt>
                <c:pt idx="1">
                  <c:v>公务用车购置及运行维护费支出</c:v>
                </c:pt>
                <c:pt idx="2">
                  <c:v>公务接待费支出</c:v>
                </c:pt>
              </c:strCache>
            </c:strRef>
          </c:cat>
          <c:val>
            <c:numRef>
              <c:f>[饼状图、柱状图.xlsx]Sheet1!$F$105:$F$107</c:f>
              <c:numCache>
                <c:formatCode>0.00%</c:formatCode>
                <c:ptCount val="3"/>
                <c:pt idx="0">
                  <c:v>0</c:v>
                </c:pt>
                <c:pt idx="1">
                  <c:v>0</c:v>
                </c:pt>
                <c:pt idx="2">
                  <c:v>0.172872340425532</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11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extLst>
      <c:ext uri="{0b15fc19-7d7d-44ad-8c2d-2c3a37ce22c3}">
        <chartProps xmlns="https://web.wps.cn/et/2018/main" chartId="{82cc3cdc-ee23-450a-a51a-24c6e6a37689}"/>
      </c:ext>
    </c:extLst>
  </c:chart>
  <c:spPr>
    <a:solidFill>
      <a:srgbClr val="FFFFFF"/>
    </a:solidFill>
    <a:ln w="9525" cap="flat" cmpd="sng" algn="ctr">
      <a:solidFill>
        <a:srgbClr val="000000"/>
      </a:solidFill>
      <a:prstDash val="solid"/>
      <a:round/>
    </a:ln>
    <a:effectLst/>
    <a:scene3d>
      <a:camera prst="orthographicFront"/>
      <a:lightRig rig="threePt" dir="t"/>
    </a:scene3d>
    <a:sp3d/>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rgbClr val="4F81BD"/>
  <a:srgbClr val="C0504D"/>
  <a:srgbClr val="9BBB59"/>
  <a:srgbClr val="8064A2"/>
  <a:srgbClr val="4BACC6"/>
  <a:srgbClr val="F79646"/>
</cs:colorStyle>
</file>

<file path=word/charts/colors2.xml><?xml version="1.0" encoding="utf-8"?>
<cs:colorStyle xmlns:cs="http://schemas.microsoft.com/office/drawing/2012/chartStyle" xmlns:a="http://schemas.openxmlformats.org/drawingml/2006/main" meth="cycle" id="12">
  <a:srgbClr val="C0504D"/>
  <a:srgbClr val="8064A2"/>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rgbClr val="4F81BD"/>
  <a:srgbClr val="C0504D"/>
  <a:srgbClr val="9BBB59"/>
  <a:srgbClr val="8064A2"/>
  <a:srgbClr val="4BACC6"/>
  <a:srgbClr val="F7964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rgbClr val="404040">
        <a:lumMod val="75000"/>
        <a:lumOff val="25000"/>
      </a:srgbClr>
    </cs:fontRef>
    <cs:defRPr sz="900" b="1" kern="1200"/>
  </cs:axisTitle>
  <cs:categoryAxis>
    <cs:lnRef idx="0"/>
    <cs:fillRef idx="0"/>
    <cs:effectRef idx="0"/>
    <cs:fontRef idx="minor">
      <a:srgbClr val="404040">
        <a:lumMod val="75000"/>
        <a:lumOff val="25000"/>
      </a:srgbClr>
    </cs:fontRef>
    <cs:spPr>
      <a:ln w="19050" cap="flat" cmpd="sng" algn="ctr">
        <a:solidFill>
          <a:srgbClr val="404040">
            <a:lumMod val="75000"/>
            <a:lumOff val="25000"/>
          </a:srgbClr>
        </a:solidFill>
        <a:round/>
      </a:ln>
    </cs:spPr>
    <cs:defRPr sz="900" kern="1200" cap="all" baseline="0"/>
  </cs:categoryAxis>
  <cs:chartArea>
    <cs:lnRef idx="0"/>
    <cs:fillRef idx="0"/>
    <cs:effectRef idx="0"/>
    <cs:fontRef idx="minor">
      <a:srgbClr val="000000"/>
    </cs:fontRef>
    <cs:spPr>
      <a:gradFill flip="none" rotWithShape="1">
        <a:gsLst>
          <a:gs pos="0">
            <a:srgbClr val="FFFFFF"/>
          </a:gs>
          <a:gs pos="39000">
            <a:srgbClr val="FFFFFF"/>
          </a:gs>
          <a:gs pos="100000">
            <a:srgbClr val="BFBFBF">
              <a:lumMod val="75000"/>
            </a:srgbClr>
          </a:gs>
        </a:gsLst>
        <a:path path="circle">
          <a:fillToRect l="50000" t="-80000" r="50000" b="180000"/>
        </a:path>
      </a:gradFill>
      <a:ln w="9525" cap="flat" cmpd="sng" algn="ctr">
        <a:solidFill>
          <a:srgbClr val="BFBFBF">
            <a:lumMod val="25000"/>
            <a:lumOff val="75000"/>
          </a:srgbClr>
        </a:solidFill>
        <a:round/>
      </a:ln>
    </cs:spPr>
    <cs:defRPr sz="900" kern="1200"/>
  </cs:chartArea>
  <cs:dataLabel>
    <cs:lnRef idx="0"/>
    <cs:fillRef idx="0"/>
    <cs:effectRef idx="0"/>
    <cs:fontRef idx="minor">
      <a:srgbClr val="FFFFFF"/>
    </cs:fontRef>
    <cs:spPr>
      <a:pattFill prst="pct75">
        <a:fgClr>
          <a:srgbClr val="404040">
            <a:lumMod val="75000"/>
            <a:lumOff val="25000"/>
          </a:srgbClr>
        </a:fgClr>
        <a:bgClr>
          <a:srgbClr val="595959">
            <a:lumMod val="65000"/>
            <a:lumOff val="35000"/>
          </a:srgb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rgbClr val="FFFFFF"/>
    </cs:fontRef>
    <cs:spPr>
      <a:pattFill prst="pct75">
        <a:fgClr>
          <a:srgbClr val="404040">
            <a:lumMod val="75000"/>
            <a:lumOff val="25000"/>
          </a:srgbClr>
        </a:fgClr>
        <a:bgClr>
          <a:srgbClr val="595959">
            <a:lumMod val="65000"/>
            <a:lumOff val="35000"/>
          </a:srgb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rgbClr val="000000"/>
    </cs:fontRef>
    <cs:spPr>
      <a:solidFill>
        <a:srgbClr val="FFFFFF"/>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rgbClr val="000000"/>
    </cs:fontRef>
    <cs:spPr>
      <a:solidFill>
        <a:srgbClr val="FFFFFF"/>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rgbClr val="000000"/>
    </cs:fontRef>
    <cs:spPr>
      <a:ln w="31750" cap="rnd">
        <a:solidFill>
          <a:srgbClr val="FFFFFF">
            <a:alpha val="85000"/>
          </a:srgbClr>
        </a:solidFill>
        <a:round/>
      </a:ln>
    </cs:spPr>
  </cs:dataPointLine>
  <cs:dataPointMarker>
    <cs:lnRef idx="0"/>
    <cs:fillRef idx="0">
      <cs:styleClr val="auto"/>
    </cs:fillRef>
    <cs:effectRef idx="0"/>
    <cs:fontRef idx="minor">
      <a:srgbClr val="000000"/>
    </cs:fontRef>
    <cs:spPr>
      <a:solidFill>
        <a:srgbClr val="FFFFFF">
          <a:alpha val="85000"/>
        </a:srgbClr>
      </a:solidFill>
    </cs:spPr>
  </cs:dataPointMarker>
  <cs:dataPointMarkerLayout symbol="circle" size="6"/>
  <cs:dataPointWireframe>
    <cs:lnRef idx="0">
      <cs:styleClr val="auto"/>
    </cs:lnRef>
    <cs:fillRef idx="0"/>
    <cs:effectRef idx="0"/>
    <cs:fontRef idx="minor">
      <a:srgbClr val="000000"/>
    </cs:fontRef>
    <cs:spPr>
      <a:ln w="9525" cap="rnd">
        <a:solidFill>
          <a:srgbClr val="FFFFFF"/>
        </a:solidFill>
        <a:round/>
      </a:ln>
    </cs:spPr>
  </cs:dataPointWireframe>
  <cs:dataTable>
    <cs:lnRef idx="0"/>
    <cs:fillRef idx="0"/>
    <cs:effectRef idx="0"/>
    <cs:fontRef idx="minor">
      <a:srgbClr val="404040">
        <a:lumMod val="75000"/>
        <a:lumOff val="25000"/>
      </a:srgbClr>
    </cs:fontRef>
    <cs:spPr>
      <a:ln w="9525">
        <a:solidFill>
          <a:srgbClr val="A6A6A6">
            <a:lumMod val="35000"/>
            <a:lumOff val="65000"/>
          </a:srgbClr>
        </a:solidFill>
      </a:ln>
    </cs:spPr>
    <cs:defRPr sz="900" kern="1200"/>
  </cs:dataTable>
  <cs:downBar>
    <cs:lnRef idx="0"/>
    <cs:fillRef idx="0"/>
    <cs:effectRef idx="0"/>
    <cs:fontRef idx="minor">
      <a:srgbClr val="000000"/>
    </cs:fontRef>
    <cs:spPr>
      <a:solidFill>
        <a:srgbClr val="808080">
          <a:lumMod val="50000"/>
          <a:lumOff val="50000"/>
        </a:srgbClr>
      </a:solidFill>
      <a:ln w="9525">
        <a:solidFill>
          <a:srgbClr val="595959">
            <a:lumMod val="65000"/>
            <a:lumOff val="35000"/>
          </a:srgbClr>
        </a:solidFill>
      </a:ln>
    </cs:spPr>
  </cs:downBar>
  <cs:dropLine>
    <cs:lnRef idx="0"/>
    <cs:fillRef idx="0"/>
    <cs:effectRef idx="0"/>
    <cs:fontRef idx="minor">
      <a:srgbClr val="000000"/>
    </cs:fontRef>
    <cs:spPr>
      <a:ln w="9525">
        <a:solidFill>
          <a:srgbClr val="A6A6A6">
            <a:lumMod val="35000"/>
            <a:lumOff val="65000"/>
          </a:srgbClr>
        </a:solidFill>
        <a:prstDash val="dash"/>
      </a:ln>
    </cs:spPr>
  </cs:dropLine>
  <cs:errorBar>
    <cs:lnRef idx="0"/>
    <cs:fillRef idx="0"/>
    <cs:effectRef idx="0"/>
    <cs:fontRef idx="minor">
      <a:srgbClr val="000000"/>
    </cs:fontRef>
    <cs:spPr>
      <a:ln w="9525">
        <a:solidFill>
          <a:srgbClr val="595959">
            <a:lumMod val="65000"/>
            <a:lumOff val="35000"/>
          </a:srgbClr>
        </a:solidFill>
        <a:round/>
      </a:ln>
    </cs:spPr>
  </cs:errorBar>
  <cs:floor>
    <cs:lnRef idx="0"/>
    <cs:fillRef idx="0"/>
    <cs:effectRef idx="0"/>
    <cs:fontRef idx="minor">
      <a:srgbClr val="000000"/>
    </cs:fontRef>
  </cs:floor>
  <cs:gridlineMajor>
    <cs:lnRef idx="0"/>
    <cs:fillRef idx="0"/>
    <cs:effectRef idx="0"/>
    <cs:fontRef idx="minor">
      <a:srgbClr val="000000"/>
    </cs:fontRef>
    <cs:spPr>
      <a:ln w="9525" cap="flat" cmpd="sng" algn="ctr">
        <a:gradFill>
          <a:gsLst>
            <a:gs pos="100000">
              <a:srgbClr val="0D0D0D">
                <a:lumMod val="95000"/>
                <a:lumOff val="5000"/>
                <a:alpha val="42000"/>
              </a:srgbClr>
            </a:gs>
            <a:gs pos="0">
              <a:srgbClr val="BFBFBF">
                <a:lumMod val="75000"/>
                <a:alpha val="36000"/>
              </a:srgbClr>
            </a:gs>
          </a:gsLst>
          <a:lin ang="5400000" scaled="0"/>
        </a:gradFill>
        <a:round/>
      </a:ln>
    </cs:spPr>
  </cs:gridlineMajor>
  <cs:gridlineMinor>
    <cs:lnRef idx="0"/>
    <cs:fillRef idx="0"/>
    <cs:effectRef idx="0"/>
    <cs:fontRef idx="minor">
      <a:srgbClr val="000000"/>
    </cs:fontRef>
    <cs:spPr>
      <a:ln>
        <a:gradFill>
          <a:gsLst>
            <a:gs pos="100000">
              <a:srgbClr val="0D0D0D">
                <a:lumMod val="95000"/>
                <a:lumOff val="5000"/>
                <a:alpha val="42000"/>
              </a:srgbClr>
            </a:gs>
            <a:gs pos="0">
              <a:srgbClr val="BFBFBF">
                <a:lumMod val="75000"/>
                <a:alpha val="36000"/>
              </a:srgbClr>
            </a:gs>
          </a:gsLst>
          <a:lin ang="5400000" scaled="0"/>
        </a:gradFill>
      </a:ln>
    </cs:spPr>
  </cs:gridlineMinor>
  <cs:hiLoLine>
    <cs:lnRef idx="0"/>
    <cs:fillRef idx="0"/>
    <cs:effectRef idx="0"/>
    <cs:fontRef idx="minor">
      <a:srgbClr val="000000"/>
    </cs:fontRef>
    <cs:spPr>
      <a:ln w="9525">
        <a:solidFill>
          <a:srgbClr val="A6A6A6">
            <a:lumMod val="35000"/>
            <a:lumOff val="65000"/>
          </a:srgbClr>
        </a:solidFill>
        <a:prstDash val="dash"/>
      </a:ln>
    </cs:spPr>
  </cs:hiLoLine>
  <cs:leaderLine>
    <cs:lnRef idx="0"/>
    <cs:fillRef idx="0"/>
    <cs:effectRef idx="0"/>
    <cs:fontRef idx="minor">
      <a:srgbClr val="000000"/>
    </cs:fontRef>
    <cs:spPr>
      <a:ln w="9525">
        <a:solidFill>
          <a:srgbClr val="808080">
            <a:lumMod val="50000"/>
            <a:lumOff val="50000"/>
          </a:srgbClr>
        </a:solidFill>
      </a:ln>
    </cs:spPr>
  </cs:leaderLine>
  <cs:legend>
    <cs:lnRef idx="0"/>
    <cs:fillRef idx="0"/>
    <cs:effectRef idx="0"/>
    <cs:fontRef idx="minor">
      <a:srgbClr val="404040">
        <a:lumMod val="75000"/>
        <a:lumOff val="25000"/>
      </a:srgbClr>
    </cs:fontRef>
    <cs:spPr>
      <a:solidFill>
        <a:srgbClr val="F2F2F2">
          <a:lumMod val="95000"/>
          <a:alpha val="39000"/>
        </a:srgbClr>
      </a:solidFill>
    </cs:spPr>
    <cs:defRPr sz="900" kern="1200"/>
  </cs:legend>
  <cs:plotArea>
    <cs:lnRef idx="0"/>
    <cs:fillRef idx="0"/>
    <cs:effectRef idx="0"/>
    <cs:fontRef idx="minor">
      <a:srgbClr val="000000"/>
    </cs:fontRef>
  </cs:plotArea>
  <cs:plotArea3D>
    <cs:lnRef idx="0"/>
    <cs:fillRef idx="0"/>
    <cs:effectRef idx="0"/>
    <cs:fontRef idx="minor">
      <a:srgbClr val="000000"/>
    </cs:fontRef>
  </cs:plotArea3D>
  <cs:seriesAxis>
    <cs:lnRef idx="0"/>
    <cs:fillRef idx="0"/>
    <cs:effectRef idx="0"/>
    <cs:fontRef idx="minor">
      <a:srgbClr val="404040">
        <a:lumMod val="75000"/>
        <a:lumOff val="25000"/>
      </a:srgbClr>
    </cs:fontRef>
    <cs:spPr>
      <a:ln w="31750" cap="flat" cmpd="sng" algn="ctr">
        <a:solidFill>
          <a:srgbClr val="404040">
            <a:lumMod val="75000"/>
            <a:lumOff val="25000"/>
          </a:srgbClr>
        </a:solidFill>
        <a:round/>
      </a:ln>
    </cs:spPr>
    <cs:defRPr sz="900" kern="1200"/>
  </cs:seriesAxis>
  <cs:seriesLine>
    <cs:lnRef idx="0"/>
    <cs:fillRef idx="0"/>
    <cs:effectRef idx="0"/>
    <cs:fontRef idx="minor">
      <a:srgbClr val="000000"/>
    </cs:fontRef>
    <cs:spPr>
      <a:ln w="9525">
        <a:solidFill>
          <a:srgbClr val="808080">
            <a:lumMod val="50000"/>
            <a:lumOff val="50000"/>
          </a:srgbClr>
        </a:solidFill>
        <a:round/>
      </a:ln>
    </cs:spPr>
  </cs:seriesLine>
  <cs:title>
    <cs:lnRef idx="0"/>
    <cs:fillRef idx="0"/>
    <cs:effectRef idx="0"/>
    <cs:fontRef idx="minor">
      <a:srgbClr val="404040">
        <a:lumMod val="75000"/>
        <a:lumOff val="25000"/>
      </a:srgbClr>
    </cs:fontRef>
    <cs:defRPr sz="1800" b="1" kern="1200" baseline="0"/>
  </cs:title>
  <cs:trendline>
    <cs:lnRef idx="0">
      <cs:styleClr val="auto"/>
    </cs:lnRef>
    <cs:fillRef idx="0"/>
    <cs:effectRef idx="0"/>
    <cs:fontRef idx="minor">
      <a:srgbClr val="000000"/>
    </cs:fontRef>
    <cs:spPr>
      <a:ln w="19050" cap="rnd">
        <a:solidFill>
          <a:srgbClr val="FFFFFF"/>
        </a:solidFill>
      </a:ln>
    </cs:spPr>
  </cs:trendline>
  <cs:trendlineLabel>
    <cs:lnRef idx="0"/>
    <cs:fillRef idx="0"/>
    <cs:effectRef idx="0"/>
    <cs:fontRef idx="minor">
      <a:srgbClr val="404040">
        <a:lumMod val="75000"/>
        <a:lumOff val="25000"/>
      </a:srgbClr>
    </cs:fontRef>
    <cs:defRPr sz="900" kern="1200"/>
  </cs:trendlineLabel>
  <cs:upBar>
    <cs:lnRef idx="0"/>
    <cs:fillRef idx="0"/>
    <cs:effectRef idx="0"/>
    <cs:fontRef idx="minor">
      <a:srgbClr val="000000"/>
    </cs:fontRef>
    <cs:spPr>
      <a:solidFill>
        <a:srgbClr val="FFFFFF"/>
      </a:solidFill>
      <a:ln w="9525">
        <a:solidFill>
          <a:srgbClr val="595959">
            <a:lumMod val="65000"/>
            <a:lumOff val="35000"/>
          </a:srgbClr>
        </a:solidFill>
      </a:ln>
    </cs:spPr>
  </cs:upBar>
  <cs:valueAxis>
    <cs:lnRef idx="0"/>
    <cs:fillRef idx="0"/>
    <cs:effectRef idx="0"/>
    <cs:fontRef idx="minor">
      <a:srgbClr val="404040">
        <a:lumMod val="75000"/>
        <a:lumOff val="25000"/>
      </a:srgbClr>
    </cs:fontRef>
    <cs:spPr>
      <a:ln>
        <a:noFill/>
      </a:ln>
    </cs:spPr>
    <cs:defRPr sz="900" kern="1200"/>
  </cs:valueAxis>
  <cs:wall>
    <cs:lnRef idx="0"/>
    <cs:fillRef idx="0"/>
    <cs:effectRef idx="0"/>
    <cs:fontRef idx="minor">
      <a:srgbClr val="000000"/>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rgbClr val="000000"/>
    </cs:fontRef>
    <cs:defRPr sz="1000" b="1" kern="1200"/>
  </cs:axisTitle>
  <cs:categoryAxis>
    <cs:lnRef idx="1">
      <a:srgbClr val="898989">
        <a:tint val="75000"/>
      </a:srgbClr>
    </cs:lnRef>
    <cs:fillRef idx="0"/>
    <cs:effectRef idx="0"/>
    <cs:fontRef idx="minor">
      <a:srgbClr val="000000"/>
    </cs:fontRef>
    <cs:spPr>
      <a:ln>
        <a:round/>
      </a:ln>
    </cs:spPr>
    <cs:defRPr sz="1000" kern="1200"/>
  </cs:categoryAxis>
  <cs:chartArea mods="allowNoFillOverride allowNoLineOverride">
    <cs:lnRef idx="1">
      <a:srgbClr val="898989">
        <a:tint val="75000"/>
      </a:srgbClr>
    </cs:lnRef>
    <cs:fillRef idx="1">
      <a:srgbClr val="FFFFFF"/>
    </cs:fillRef>
    <cs:effectRef idx="0"/>
    <cs:fontRef idx="minor">
      <a:srgbClr val="000000"/>
    </cs:fontRef>
    <cs:spPr>
      <a:ln>
        <a:round/>
      </a:ln>
    </cs:spPr>
    <cs:defRPr sz="1000" kern="1200"/>
  </cs:chartArea>
  <cs:dataLabel>
    <cs:lnRef idx="0"/>
    <cs:fillRef idx="0"/>
    <cs:effectRef idx="0"/>
    <cs:fontRef idx="minor">
      <a:srgbClr val="000000"/>
    </cs:fontRef>
    <cs:defRPr sz="1000" kern="1200"/>
  </cs:dataLabel>
  <cs:dataLabelCallout>
    <cs:lnRef idx="0"/>
    <cs:fillRef idx="0"/>
    <cs:effectRef idx="0"/>
    <cs:fontRef idx="minor">
      <a:srgbClr val="000000"/>
    </cs:fontRef>
    <cs:spPr>
      <a:solidFill>
        <a:srgbClr val="FFFFFF"/>
      </a:solidFill>
      <a:ln>
        <a:solidFill>
          <a:srgbClr val="595959">
            <a:lumMod val="65000"/>
            <a:lumOff val="35000"/>
          </a:srgbClr>
        </a:solidFill>
      </a:ln>
    </cs:spPr>
    <cs:defRPr sz="1000" kern="1200"/>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1">
      <cs:styleClr val="auto"/>
    </cs:lnRef>
    <cs:lineWidthScale>3</cs:lineWidthScale>
    <cs:fillRef idx="0"/>
    <cs:effectRef idx="0"/>
    <cs:fontRef idx="minor">
      <a:srgbClr val="000000"/>
    </cs:fontRef>
    <cs:spPr>
      <a:ln cap="rnd">
        <a:round/>
      </a:ln>
    </cs:spPr>
  </cs:dataPointLine>
  <cs:dataPointMarker>
    <cs:lnRef idx="1">
      <cs:styleClr val="auto"/>
    </cs:lnRef>
    <cs:fillRef idx="1">
      <cs:styleClr val="auto"/>
    </cs:fillRef>
    <cs:effectRef idx="0"/>
    <cs:fontRef idx="minor">
      <a:srgbClr val="000000"/>
    </cs:fontRef>
    <cs:spPr>
      <a:ln>
        <a:round/>
      </a:ln>
    </cs:spPr>
  </cs:dataPointMarker>
  <cs:dataPointMarkerLayout/>
  <cs:dataPointWireframe>
    <cs:lnRef idx="1">
      <cs:styleClr val="auto"/>
    </cs:lnRef>
    <cs:fillRef idx="0"/>
    <cs:effectRef idx="0"/>
    <cs:fontRef idx="minor">
      <a:srgbClr val="000000"/>
    </cs:fontRef>
    <cs:spPr>
      <a:ln>
        <a:round/>
      </a:ln>
    </cs:spPr>
  </cs:dataPointWireframe>
  <cs:dataTable>
    <cs:lnRef idx="1">
      <a:srgbClr val="898989">
        <a:tint val="75000"/>
      </a:srgbClr>
    </cs:lnRef>
    <cs:fillRef idx="0"/>
    <cs:effectRef idx="0"/>
    <cs:fontRef idx="minor">
      <a:srgbClr val="000000"/>
    </cs:fontRef>
    <cs:spPr>
      <a:ln>
        <a:round/>
      </a:ln>
    </cs:spPr>
    <cs:defRPr sz="1000" kern="1200"/>
  </cs:dataTable>
  <cs:downBar>
    <cs:lnRef idx="1">
      <a:srgbClr val="000000"/>
    </cs:lnRef>
    <cs:fillRef idx="1">
      <a:srgbClr val="3F3F3F">
        <a:tint val="95000"/>
      </a:srgbClr>
    </cs:fillRef>
    <cs:effectRef idx="0"/>
    <cs:fontRef idx="minor">
      <a:srgbClr val="000000"/>
    </cs:fontRef>
    <cs:spPr>
      <a:ln>
        <a:round/>
      </a:ln>
    </cs:spPr>
  </cs:downBar>
  <cs:dropLine>
    <cs:lnRef idx="1">
      <a:srgbClr val="000000"/>
    </cs:lnRef>
    <cs:fillRef idx="0"/>
    <cs:effectRef idx="0"/>
    <cs:fontRef idx="minor">
      <a:srgbClr val="000000"/>
    </cs:fontRef>
    <cs:spPr>
      <a:ln>
        <a:round/>
      </a:ln>
    </cs:spPr>
  </cs:dropLine>
  <cs:errorBar>
    <cs:lnRef idx="1">
      <a:srgbClr val="000000"/>
    </cs:lnRef>
    <cs:fillRef idx="1">
      <a:srgbClr val="000000"/>
    </cs:fillRef>
    <cs:effectRef idx="0"/>
    <cs:fontRef idx="minor">
      <a:srgbClr val="000000"/>
    </cs:fontRef>
    <cs:spPr>
      <a:ln>
        <a:round/>
      </a:ln>
    </cs:spPr>
  </cs:errorBar>
  <cs:floor>
    <cs:lnRef idx="1">
      <a:srgbClr val="898989">
        <a:tint val="75000"/>
      </a:srgbClr>
    </cs:lnRef>
    <cs:fillRef idx="0"/>
    <cs:effectRef idx="0"/>
    <cs:fontRef idx="minor">
      <a:srgbClr val="000000"/>
    </cs:fontRef>
    <cs:spPr>
      <a:ln>
        <a:round/>
      </a:ln>
    </cs:spPr>
  </cs:floor>
  <cs:gridlineMajor>
    <cs:lnRef idx="1">
      <a:srgbClr val="898989">
        <a:tint val="75000"/>
      </a:srgbClr>
    </cs:lnRef>
    <cs:fillRef idx="0"/>
    <cs:effectRef idx="0"/>
    <cs:fontRef idx="minor">
      <a:srgbClr val="000000"/>
    </cs:fontRef>
    <cs:spPr>
      <a:ln>
        <a:round/>
      </a:ln>
    </cs:spPr>
  </cs:gridlineMajor>
  <cs:gridlineMinor>
    <cs:lnRef idx="1">
      <a:srgbClr val="BCBCBC">
        <a:tint val="50000"/>
      </a:srgbClr>
    </cs:lnRef>
    <cs:fillRef idx="0"/>
    <cs:effectRef idx="0"/>
    <cs:fontRef idx="minor">
      <a:srgbClr val="000000"/>
    </cs:fontRef>
    <cs:spPr>
      <a:ln>
        <a:round/>
      </a:ln>
    </cs:spPr>
  </cs:gridlineMinor>
  <cs:hiLoLine>
    <cs:lnRef idx="1">
      <a:srgbClr val="000000"/>
    </cs:lnRef>
    <cs:fillRef idx="0"/>
    <cs:effectRef idx="0"/>
    <cs:fontRef idx="minor">
      <a:srgbClr val="000000"/>
    </cs:fontRef>
    <cs:spPr>
      <a:ln>
        <a:round/>
      </a:ln>
    </cs:spPr>
  </cs:hiLoLine>
  <cs:leaderLine>
    <cs:lnRef idx="1">
      <a:srgbClr val="000000"/>
    </cs:lnRef>
    <cs:fillRef idx="0"/>
    <cs:effectRef idx="0"/>
    <cs:fontRef idx="minor">
      <a:srgbClr val="000000"/>
    </cs:fontRef>
    <cs:spPr>
      <a:ln>
        <a:round/>
      </a:ln>
    </cs:spPr>
  </cs:leaderLine>
  <cs:legend>
    <cs:lnRef idx="0"/>
    <cs:fillRef idx="0"/>
    <cs:effectRef idx="0"/>
    <cs:fontRef idx="minor">
      <a:srgbClr val="000000"/>
    </cs:fontRef>
    <cs:defRPr sz="1000" kern="1200"/>
  </cs:legend>
  <cs:plotArea mods="allowNoFillOverride allowNoLineOverride">
    <cs:lnRef idx="0"/>
    <cs:fillRef idx="1">
      <a:srgbClr val="FFFFFF"/>
    </cs:fillRef>
    <cs:effectRef idx="0"/>
    <cs:fontRef idx="minor">
      <a:srgbClr val="000000"/>
    </cs:fontRef>
  </cs:plotArea>
  <cs:plotArea3D>
    <cs:lnRef idx="0"/>
    <cs:fillRef idx="0"/>
    <cs:effectRef idx="0"/>
    <cs:fontRef idx="minor">
      <a:srgbClr val="000000"/>
    </cs:fontRef>
  </cs:plotArea3D>
  <cs:seriesAxis>
    <cs:lnRef idx="1">
      <a:srgbClr val="898989">
        <a:tint val="75000"/>
      </a:srgbClr>
    </cs:lnRef>
    <cs:fillRef idx="0"/>
    <cs:effectRef idx="0"/>
    <cs:fontRef idx="minor">
      <a:srgbClr val="000000"/>
    </cs:fontRef>
    <cs:spPr>
      <a:ln>
        <a:round/>
      </a:ln>
    </cs:spPr>
    <cs:defRPr sz="1000" kern="1200"/>
  </cs:seriesAxis>
  <cs:seriesLine>
    <cs:lnRef idx="1">
      <a:srgbClr val="000000"/>
    </cs:lnRef>
    <cs:fillRef idx="0"/>
    <cs:effectRef idx="0"/>
    <cs:fontRef idx="minor">
      <a:srgbClr val="000000"/>
    </cs:fontRef>
    <cs:spPr>
      <a:ln>
        <a:round/>
      </a:ln>
    </cs:spPr>
  </cs:seriesLine>
  <cs:title>
    <cs:lnRef idx="0"/>
    <cs:fillRef idx="0"/>
    <cs:effectRef idx="0"/>
    <cs:fontRef idx="minor">
      <a:srgbClr val="000000"/>
    </cs:fontRef>
    <cs:defRPr sz="1800" b="1" kern="1200"/>
  </cs:title>
  <cs:trendline>
    <cs:lnRef idx="1">
      <a:srgbClr val="000000"/>
    </cs:lnRef>
    <cs:fillRef idx="0"/>
    <cs:effectRef idx="0"/>
    <cs:fontRef idx="minor">
      <a:srgbClr val="000000"/>
    </cs:fontRef>
    <cs:spPr>
      <a:ln cap="rnd">
        <a:round/>
      </a:ln>
    </cs:spPr>
  </cs:trendline>
  <cs:trendlineLabel>
    <cs:lnRef idx="0"/>
    <cs:fillRef idx="0"/>
    <cs:effectRef idx="0"/>
    <cs:fontRef idx="minor">
      <a:srgbClr val="000000"/>
    </cs:fontRef>
    <cs:defRPr sz="1000" kern="1200"/>
  </cs:trendlineLabel>
  <cs:upBar>
    <cs:lnRef idx="1">
      <a:srgbClr val="000000"/>
    </cs:lnRef>
    <cs:fillRef idx="1">
      <a:srgbClr val="F9F9F9">
        <a:tint val="5000"/>
      </a:srgbClr>
    </cs:fillRef>
    <cs:effectRef idx="0"/>
    <cs:fontRef idx="minor">
      <a:srgbClr val="000000"/>
    </cs:fontRef>
    <cs:spPr>
      <a:ln>
        <a:round/>
      </a:ln>
    </cs:spPr>
  </cs:upBar>
  <cs:valueAxis>
    <cs:lnRef idx="1">
      <a:srgbClr val="898989">
        <a:tint val="75000"/>
      </a:srgbClr>
    </cs:lnRef>
    <cs:fillRef idx="0"/>
    <cs:effectRef idx="0"/>
    <cs:fontRef idx="minor">
      <a:srgbClr val="000000"/>
    </cs:fontRef>
    <cs:spPr>
      <a:ln>
        <a:round/>
      </a:ln>
    </cs:spPr>
    <cs:defRPr sz="1000" kern="1200"/>
  </cs:valueAxis>
  <cs:wall>
    <cs:lnRef idx="0"/>
    <cs:fillRef idx="0"/>
    <cs:effectRef idx="0"/>
    <cs:fontRef idx="minor">
      <a:srgbClr val="000000"/>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rgbClr val="595959">
        <a:lumMod val="65000"/>
        <a:lumOff val="35000"/>
      </a:srgbClr>
    </cs:fontRef>
    <cs:defRPr sz="1000" kern="1200"/>
  </cs:axisTitle>
  <cs:categoryAxis>
    <cs:lnRef idx="0"/>
    <cs:fillRef idx="0"/>
    <cs:effectRef idx="0"/>
    <cs:fontRef idx="minor">
      <a:srgbClr val="595959">
        <a:lumMod val="65000"/>
        <a:lumOff val="35000"/>
      </a:srgbClr>
    </cs:fontRef>
    <cs:spPr>
      <a:ln w="9525" cap="flat" cmpd="sng" algn="ctr">
        <a:solidFill>
          <a:srgbClr val="D9D9D9">
            <a:lumMod val="15000"/>
            <a:lumOff val="85000"/>
          </a:srgbClr>
        </a:solidFill>
        <a:round/>
      </a:ln>
    </cs:spPr>
    <cs:defRPr sz="900" kern="1200"/>
  </cs:categoryAxis>
  <cs:chartArea mods="allowNoFillOverride allowNoLineOverride">
    <cs:lnRef idx="0"/>
    <cs:fillRef idx="0"/>
    <cs:effectRef idx="0"/>
    <cs:fontRef idx="minor">
      <a:srgbClr val="000000"/>
    </cs:fontRef>
    <cs:spPr>
      <a:solidFill>
        <a:srgbClr val="FFFFFF"/>
      </a:solidFill>
      <a:ln w="9525" cap="flat" cmpd="sng" algn="ctr">
        <a:solidFill>
          <a:srgbClr val="D9D9D9">
            <a:lumMod val="15000"/>
            <a:lumOff val="85000"/>
          </a:srgbClr>
        </a:solidFill>
        <a:round/>
      </a:ln>
    </cs:spPr>
    <cs:defRPr sz="1000" kern="1200"/>
  </cs:chartArea>
  <cs:dataLabel>
    <cs:lnRef idx="0"/>
    <cs:fillRef idx="0"/>
    <cs:effectRef idx="0"/>
    <cs:fontRef idx="minor">
      <a:srgbClr val="404040">
        <a:lumMod val="75000"/>
        <a:lumOff val="25000"/>
      </a:srgbClr>
    </cs:fontRef>
    <cs:defRPr sz="900" kern="1200"/>
  </cs:dataLabel>
  <cs:dataLabelCallout>
    <cs:lnRef idx="0"/>
    <cs:fillRef idx="0"/>
    <cs:effectRef idx="0"/>
    <cs:fontRef idx="minor">
      <a:srgbClr val="595959">
        <a:lumMod val="65000"/>
        <a:lumOff val="35000"/>
      </a:srgbClr>
    </cs:fontRef>
    <cs:spPr>
      <a:solidFill>
        <a:srgbClr val="FFFFFF"/>
      </a:solidFill>
      <a:ln>
        <a:solidFill>
          <a:srgbClr val="BFBFBF">
            <a:lumMod val="25000"/>
            <a:lumOff val="75000"/>
          </a:srgb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rgbClr val="000000"/>
    </cs:fontRef>
  </cs:dataPoint>
  <cs:dataPoint3D>
    <cs:lnRef idx="0"/>
    <cs:fillRef idx="1">
      <cs:styleClr val="auto"/>
    </cs:fillRef>
    <cs:effectRef idx="0"/>
    <cs:fontRef idx="minor">
      <a:srgbClr val="000000"/>
    </cs:fontRef>
  </cs:dataPoint3D>
  <cs:dataPointLine>
    <cs:lnRef idx="0">
      <cs:styleClr val="auto"/>
    </cs:lnRef>
    <cs:fillRef idx="1"/>
    <cs:effectRef idx="0"/>
    <cs:fontRef idx="minor">
      <a:srgbClr val="000000"/>
    </cs:fontRef>
    <cs:spPr>
      <a:ln w="28575" cap="rnd">
        <a:solidFill>
          <a:srgbClr val="FFFFFF"/>
        </a:solidFill>
        <a:round/>
      </a:ln>
    </cs:spPr>
  </cs:dataPointLine>
  <cs:dataPointMarker>
    <cs:lnRef idx="0">
      <cs:styleClr val="auto"/>
    </cs:lnRef>
    <cs:fillRef idx="1">
      <cs:styleClr val="auto"/>
    </cs:fillRef>
    <cs:effectRef idx="0"/>
    <cs:fontRef idx="minor">
      <a:srgbClr val="000000"/>
    </cs:fontRef>
    <cs:spPr>
      <a:ln w="9525">
        <a:solidFill>
          <a:srgbClr val="FFFFFF"/>
        </a:solidFill>
      </a:ln>
    </cs:spPr>
  </cs:dataPointMarker>
  <cs:dataPointMarkerLayout symbol="circle" size="5"/>
  <cs:dataPointWireframe>
    <cs:lnRef idx="0">
      <cs:styleClr val="auto"/>
    </cs:lnRef>
    <cs:fillRef idx="1"/>
    <cs:effectRef idx="0"/>
    <cs:fontRef idx="minor">
      <a:srgbClr val="000000"/>
    </cs:fontRef>
    <cs:spPr>
      <a:ln w="9525" cap="rnd">
        <a:solidFill>
          <a:srgbClr val="FFFFFF"/>
        </a:solidFill>
        <a:round/>
      </a:ln>
    </cs:spPr>
  </cs:dataPointWireframe>
  <cs:dataTable>
    <cs:lnRef idx="0"/>
    <cs:fillRef idx="0"/>
    <cs:effectRef idx="0"/>
    <cs:fontRef idx="minor">
      <a:srgbClr val="595959">
        <a:lumMod val="65000"/>
        <a:lumOff val="35000"/>
      </a:srgbClr>
    </cs:fontRef>
    <cs:spPr>
      <a:noFill/>
      <a:ln w="9525" cap="flat" cmpd="sng" algn="ctr">
        <a:solidFill>
          <a:srgbClr val="D9D9D9">
            <a:lumMod val="15000"/>
            <a:lumOff val="85000"/>
          </a:srgbClr>
        </a:solidFill>
        <a:round/>
      </a:ln>
    </cs:spPr>
    <cs:defRPr sz="900" kern="1200"/>
  </cs:dataTable>
  <cs:downBar>
    <cs:lnRef idx="0"/>
    <cs:fillRef idx="0"/>
    <cs:effectRef idx="0"/>
    <cs:fontRef idx="minor">
      <a:srgbClr val="000000"/>
    </cs:fontRef>
    <cs:spPr>
      <a:solidFill>
        <a:srgbClr val="595959">
          <a:lumMod val="65000"/>
          <a:lumOff val="35000"/>
        </a:srgbClr>
      </a:solidFill>
      <a:ln w="9525">
        <a:solidFill>
          <a:srgbClr val="595959">
            <a:lumMod val="65000"/>
            <a:lumOff val="35000"/>
          </a:srgbClr>
        </a:solidFill>
      </a:ln>
    </cs:spPr>
  </cs:downBar>
  <cs:dropLine>
    <cs:lnRef idx="0"/>
    <cs:fillRef idx="0"/>
    <cs:effectRef idx="0"/>
    <cs:fontRef idx="minor">
      <a:srgbClr val="000000"/>
    </cs:fontRef>
    <cs:spPr>
      <a:ln w="9525" cap="flat" cmpd="sng" algn="ctr">
        <a:solidFill>
          <a:srgbClr val="A6A6A6">
            <a:lumMod val="35000"/>
            <a:lumOff val="65000"/>
          </a:srgbClr>
        </a:solidFill>
        <a:round/>
      </a:ln>
    </cs:spPr>
  </cs:dropLine>
  <cs:errorBar>
    <cs:lnRef idx="0"/>
    <cs:fillRef idx="0"/>
    <cs:effectRef idx="0"/>
    <cs:fontRef idx="minor">
      <a:srgbClr val="000000"/>
    </cs:fontRef>
    <cs:spPr>
      <a:ln w="9525" cap="flat" cmpd="sng" algn="ctr">
        <a:solidFill>
          <a:srgbClr val="595959">
            <a:lumMod val="65000"/>
            <a:lumOff val="35000"/>
          </a:srgbClr>
        </a:solidFill>
        <a:round/>
      </a:ln>
    </cs:spPr>
  </cs:errorBar>
  <cs:floor>
    <cs:lnRef idx="0"/>
    <cs:fillRef idx="0"/>
    <cs:effectRef idx="0"/>
    <cs:fontRef idx="minor">
      <a:srgbClr val="000000"/>
    </cs:fontRef>
    <cs:spPr>
      <a:noFill/>
      <a:ln>
        <a:noFill/>
      </a:ln>
    </cs:spPr>
  </cs:floor>
  <cs:gridlineMajor>
    <cs:lnRef idx="0"/>
    <cs:fillRef idx="0"/>
    <cs:effectRef idx="0"/>
    <cs:fontRef idx="minor">
      <a:srgbClr val="000000"/>
    </cs:fontRef>
    <cs:spPr>
      <a:ln w="9525" cap="flat" cmpd="sng" algn="ctr">
        <a:solidFill>
          <a:srgbClr val="D9D9D9">
            <a:lumMod val="15000"/>
            <a:lumOff val="85000"/>
          </a:srgbClr>
        </a:solidFill>
        <a:round/>
      </a:ln>
    </cs:spPr>
  </cs:gridlineMajor>
  <cs:gridlineMinor>
    <cs:lnRef idx="0"/>
    <cs:fillRef idx="0"/>
    <cs:effectRef idx="0"/>
    <cs:fontRef idx="minor">
      <a:srgbClr val="000000"/>
    </cs:fontRef>
    <cs:spPr>
      <a:ln w="9525" cap="flat" cmpd="sng" algn="ctr">
        <a:solidFill>
          <a:srgbClr val="F2F2F2">
            <a:lumMod val="5000"/>
            <a:lumOff val="95000"/>
          </a:srgbClr>
        </a:solidFill>
        <a:round/>
      </a:ln>
    </cs:spPr>
  </cs:gridlineMinor>
  <cs:hiLoLine>
    <cs:lnRef idx="0"/>
    <cs:fillRef idx="0"/>
    <cs:effectRef idx="0"/>
    <cs:fontRef idx="minor">
      <a:srgbClr val="000000"/>
    </cs:fontRef>
    <cs:spPr>
      <a:ln w="9525" cap="flat" cmpd="sng" algn="ctr">
        <a:solidFill>
          <a:srgbClr val="404040">
            <a:lumMod val="75000"/>
            <a:lumOff val="25000"/>
          </a:srgbClr>
        </a:solidFill>
        <a:round/>
      </a:ln>
    </cs:spPr>
  </cs:hiLoLine>
  <cs:leaderLine>
    <cs:lnRef idx="0"/>
    <cs:fillRef idx="0"/>
    <cs:effectRef idx="0"/>
    <cs:fontRef idx="minor">
      <a:srgbClr val="000000"/>
    </cs:fontRef>
    <cs:spPr>
      <a:ln w="9525" cap="flat" cmpd="sng" algn="ctr">
        <a:solidFill>
          <a:srgbClr val="A6A6A6">
            <a:lumMod val="35000"/>
            <a:lumOff val="65000"/>
          </a:srgbClr>
        </a:solidFill>
        <a:round/>
      </a:ln>
    </cs:spPr>
  </cs:leaderLine>
  <cs:legend>
    <cs:lnRef idx="0"/>
    <cs:fillRef idx="0"/>
    <cs:effectRef idx="0"/>
    <cs:fontRef idx="minor">
      <a:srgbClr val="595959">
        <a:lumMod val="65000"/>
        <a:lumOff val="35000"/>
      </a:srgbClr>
    </cs:fontRef>
    <cs:defRPr sz="900" kern="1200"/>
  </cs:legend>
  <cs:plotArea mods="allowNoFillOverride allowNoLineOverride">
    <cs:lnRef idx="0"/>
    <cs:fillRef idx="0"/>
    <cs:effectRef idx="0"/>
    <cs:fontRef idx="minor">
      <a:srgbClr val="000000"/>
    </cs:fontRef>
  </cs:plotArea>
  <cs:plotArea3D mods="allowNoFillOverride allowNoLineOverride">
    <cs:lnRef idx="0"/>
    <cs:fillRef idx="0"/>
    <cs:effectRef idx="0"/>
    <cs:fontRef idx="minor">
      <a:srgbClr val="000000"/>
    </cs:fontRef>
  </cs:plotArea3D>
  <cs:seriesAxis>
    <cs:lnRef idx="0"/>
    <cs:fillRef idx="0"/>
    <cs:effectRef idx="0"/>
    <cs:fontRef idx="minor">
      <a:srgbClr val="595959">
        <a:lumMod val="65000"/>
        <a:lumOff val="35000"/>
      </a:srgbClr>
    </cs:fontRef>
    <cs:defRPr sz="900" kern="1200"/>
  </cs:seriesAxis>
  <cs:seriesLine>
    <cs:lnRef idx="0"/>
    <cs:fillRef idx="0"/>
    <cs:effectRef idx="0"/>
    <cs:fontRef idx="minor">
      <a:srgbClr val="000000"/>
    </cs:fontRef>
    <cs:spPr>
      <a:ln w="9525" cap="flat" cmpd="sng" algn="ctr">
        <a:solidFill>
          <a:srgbClr val="A6A6A6">
            <a:lumMod val="35000"/>
            <a:lumOff val="65000"/>
          </a:srgbClr>
        </a:solidFill>
        <a:round/>
      </a:ln>
    </cs:spPr>
  </cs:seriesLine>
  <cs:title>
    <cs:lnRef idx="0"/>
    <cs:fillRef idx="0"/>
    <cs:effectRef idx="0"/>
    <cs:fontRef idx="minor">
      <a:srgbClr val="595959">
        <a:lumMod val="65000"/>
        <a:lumOff val="35000"/>
      </a:srgbClr>
    </cs:fontRef>
    <cs:defRPr sz="1400" b="0" kern="1200" spc="0" baseline="0"/>
  </cs:title>
  <cs:trendline>
    <cs:lnRef idx="0">
      <cs:styleClr val="auto"/>
    </cs:lnRef>
    <cs:fillRef idx="0"/>
    <cs:effectRef idx="0"/>
    <cs:fontRef idx="minor">
      <a:srgbClr val="000000"/>
    </cs:fontRef>
    <cs:spPr>
      <a:ln w="19050" cap="rnd">
        <a:solidFill>
          <a:srgbClr val="FFFFFF"/>
        </a:solidFill>
        <a:prstDash val="sysDot"/>
      </a:ln>
    </cs:spPr>
  </cs:trendline>
  <cs:trendlineLabel>
    <cs:lnRef idx="0"/>
    <cs:fillRef idx="0"/>
    <cs:effectRef idx="0"/>
    <cs:fontRef idx="minor">
      <a:srgbClr val="595959">
        <a:lumMod val="65000"/>
        <a:lumOff val="35000"/>
      </a:srgbClr>
    </cs:fontRef>
    <cs:defRPr sz="900" kern="1200"/>
  </cs:trendlineLabel>
  <cs:upBar>
    <cs:lnRef idx="0"/>
    <cs:fillRef idx="0"/>
    <cs:effectRef idx="0"/>
    <cs:fontRef idx="minor">
      <a:srgbClr val="000000"/>
    </cs:fontRef>
    <cs:spPr>
      <a:solidFill>
        <a:srgbClr val="FFFFFF"/>
      </a:solidFill>
      <a:ln w="9525">
        <a:solidFill>
          <a:srgbClr val="D9D9D9">
            <a:lumMod val="15000"/>
            <a:lumOff val="85000"/>
          </a:srgbClr>
        </a:solidFill>
      </a:ln>
    </cs:spPr>
  </cs:upBar>
  <cs:valueAxis>
    <cs:lnRef idx="0"/>
    <cs:fillRef idx="0"/>
    <cs:effectRef idx="0"/>
    <cs:fontRef idx="minor">
      <a:srgbClr val="595959">
        <a:lumMod val="65000"/>
        <a:lumOff val="35000"/>
      </a:srgbClr>
    </cs:fontRef>
    <cs:defRPr sz="900" kern="1200"/>
  </cs:valueAxis>
  <cs:wall>
    <cs:lnRef idx="0"/>
    <cs:fillRef idx="0"/>
    <cs:effectRef idx="0"/>
    <cs:fontRef idx="minor">
      <a:srgbClr val="000000"/>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5619</Words>
  <Characters>6678</Characters>
  <Lines>54</Lines>
  <Paragraphs>15</Paragraphs>
  <TotalTime>1</TotalTime>
  <ScaleCrop>false</ScaleCrop>
  <LinksUpToDate>false</LinksUpToDate>
  <CharactersWithSpaces>6712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碧云天</cp:lastModifiedBy>
  <cp:lastPrinted>2023-08-03T02:35:00Z</cp:lastPrinted>
  <dcterms:modified xsi:type="dcterms:W3CDTF">2024-10-30T06:54:57Z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B7C6712A6AC64938858BD52BBD03004A_12</vt:lpwstr>
  </property>
</Properties>
</file>