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60" w:lineRule="exact"/>
        <w:textAlignment w:val="auto"/>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8</w:t>
      </w:r>
    </w:p>
    <w:p>
      <w:pPr>
        <w:keepNext w:val="0"/>
        <w:keepLines w:val="0"/>
        <w:pageBreakBefore w:val="0"/>
        <w:widowControl w:val="0"/>
        <w:tabs>
          <w:tab w:val="left" w:pos="1440"/>
        </w:tabs>
        <w:kinsoku/>
        <w:wordWrap/>
        <w:overflowPunct/>
        <w:topLinePunct w:val="0"/>
        <w:autoSpaceDE/>
        <w:autoSpaceDN/>
        <w:bidi w:val="0"/>
        <w:spacing w:line="560" w:lineRule="exact"/>
        <w:textAlignment w:val="auto"/>
        <w:rPr>
          <w:rFonts w:ascii="宋体" w:hAnsi="宋体" w:eastAsia="宋体"/>
          <w:sz w:val="30"/>
          <w:szCs w:val="30"/>
        </w:rPr>
      </w:pPr>
    </w:p>
    <w:p>
      <w:pPr>
        <w:pStyle w:val="7"/>
        <w:spacing w:line="600" w:lineRule="exact"/>
        <w:jc w:val="center"/>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rPr>
        <w:t>项目支出绩效自评报告</w:t>
      </w:r>
      <w:r>
        <w:rPr>
          <w:rFonts w:hint="eastAsia" w:ascii="方正小标宋简体" w:hAnsi="宋体" w:eastAsia="方正小标宋简体"/>
          <w:sz w:val="44"/>
          <w:szCs w:val="44"/>
          <w:lang w:val="en-US" w:eastAsia="zh-CN"/>
        </w:rPr>
        <w:t xml:space="preserve"> </w:t>
      </w:r>
    </w:p>
    <w:p>
      <w:pPr>
        <w:pStyle w:val="7"/>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德古调解</w:t>
      </w:r>
      <w:r>
        <w:rPr>
          <w:rFonts w:hint="eastAsia" w:ascii="仿宋_GB2312" w:hAnsi="宋体" w:eastAsia="仿宋_GB2312"/>
          <w:color w:val="auto"/>
          <w:kern w:val="2"/>
          <w:sz w:val="32"/>
          <w:szCs w:val="32"/>
        </w:rPr>
        <w:t>）</w:t>
      </w:r>
    </w:p>
    <w:p>
      <w:pPr>
        <w:pStyle w:val="7"/>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eastAsia="仿宋_GB2312"/>
          <w:sz w:val="32"/>
          <w:szCs w:val="32"/>
        </w:rPr>
        <w:t>峨边彝族自治县德古协会是由人民调解员、民间调解员以及关心、支持人民调解工作的社会各界人士自愿组成并在自治县民政局依法注册按照本章程开展活动的全县非营利性的社会团体。</w:t>
      </w:r>
      <w:r>
        <w:rPr>
          <w:rFonts w:hint="eastAsia" w:ascii="仿宋_GB2312"/>
          <w:sz w:val="32"/>
          <w:szCs w:val="32"/>
          <w:lang w:eastAsia="zh-CN"/>
        </w:rPr>
        <w:t>依法</w:t>
      </w:r>
      <w:r>
        <w:rPr>
          <w:rFonts w:hint="eastAsia" w:ascii="仿宋_GB2312" w:eastAsia="仿宋_GB2312"/>
          <w:sz w:val="32"/>
          <w:szCs w:val="32"/>
        </w:rPr>
        <w:t>开展移风易俗、“双高”治理、人民调解等工作，有效化解矛盾，构建和谐社会。</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lang w:val="en-US" w:eastAsia="zh-CN"/>
        </w:rPr>
        <w:t>2022年申请德古调解经费，经财政批复后，该项目经费预算数共计30.593万元。本次项目评价</w:t>
      </w:r>
      <w:r>
        <w:rPr>
          <w:rFonts w:hint="eastAsia" w:ascii="仿宋_GB2312" w:hAnsi="宋体"/>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（二）项目绩效目标。</w:t>
      </w:r>
      <w:r>
        <w:rPr>
          <w:rFonts w:hint="eastAsia" w:ascii="仿宋_GB2312" w:hAnsi="宋体" w:cs="Times New Roman"/>
          <w:lang w:val="zh-CN"/>
        </w:rPr>
        <w:t>为德</w:t>
      </w:r>
      <w:r>
        <w:rPr>
          <w:rFonts w:hint="eastAsia" w:ascii="仿宋_GB2312" w:hAnsi="宋体"/>
          <w:lang w:val="zh-CN"/>
        </w:rPr>
        <w:t>古培训、调解、办公等方面提供经费保障，坚持和发展新时代峨边彝区“德古特色”，积极调动我县德古调解协会和广大德古调解员的工作积极性，稳定德古调解队伍，提升调解质量和调解成功率，有效提升全县法治化、规范化水平，为建设法治峨边贡献力量。</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该</w:t>
      </w:r>
      <w:r>
        <w:rPr>
          <w:rFonts w:hint="eastAsia" w:ascii="仿宋_GB2312" w:hAnsi="宋体"/>
          <w:lang w:val="zh-CN"/>
        </w:rPr>
        <w:t>项目申报内容与具体实施内容相符、申报目标合理可行。</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ascii="仿宋_GB2312" w:hAnsi="宋体"/>
          <w:u w:val="none"/>
          <w:lang w:val="en-US" w:eastAsia="zh-CN"/>
        </w:rPr>
        <w:t>德古调解在</w:t>
      </w:r>
      <w:r>
        <w:rPr>
          <w:rFonts w:hint="eastAsia" w:ascii="仿宋_GB2312" w:hAnsi="宋体"/>
          <w:lang w:val="zh-CN"/>
        </w:rPr>
        <w:t>资金计划的基础上，财政安排</w:t>
      </w:r>
      <w:r>
        <w:rPr>
          <w:rFonts w:hint="eastAsia" w:ascii="仿宋_GB2312" w:hAnsi="宋体"/>
          <w:lang w:val="en-US" w:eastAsia="zh-CN"/>
        </w:rPr>
        <w:t>30.53万元</w:t>
      </w:r>
      <w:r>
        <w:rPr>
          <w:rFonts w:hint="eastAsia" w:ascii="仿宋_GB2312" w:hAnsi="宋体"/>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2022年12月31日，德古调解在</w:t>
      </w:r>
      <w:r>
        <w:rPr>
          <w:rFonts w:hint="eastAsia" w:ascii="仿宋_GB2312" w:hAnsi="宋体"/>
          <w:lang w:val="zh-CN"/>
        </w:rPr>
        <w:t>资金到位</w:t>
      </w:r>
      <w:r>
        <w:rPr>
          <w:rFonts w:hint="eastAsia" w:ascii="仿宋_GB2312" w:hAnsi="宋体"/>
          <w:lang w:val="en-US" w:eastAsia="zh-CN"/>
        </w:rPr>
        <w:t>25.547万元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spacing w:line="560" w:lineRule="exact"/>
        <w:ind w:firstLine="640" w:firstLineChars="200"/>
        <w:rPr>
          <w:rFonts w:hint="eastAsia" w:ascii="仿宋_GB2312" w:hAnsi="宋体"/>
          <w:lang w:val="en-US" w:eastAsia="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2022年12月31日，德古调解在</w:t>
      </w:r>
      <w:r>
        <w:rPr>
          <w:rFonts w:hint="eastAsia" w:ascii="仿宋_GB2312" w:hAnsi="宋体"/>
          <w:lang w:val="zh-CN"/>
        </w:rPr>
        <w:t>资金使用</w:t>
      </w:r>
      <w:r>
        <w:rPr>
          <w:rFonts w:hint="eastAsia" w:ascii="仿宋_GB2312" w:hAnsi="宋体"/>
          <w:lang w:val="en-US" w:eastAsia="zh-CN"/>
        </w:rPr>
        <w:t>25.547万元，使用比例83.68%。</w:t>
      </w:r>
      <w:r>
        <w:rPr>
          <w:rFonts w:hint="eastAsia" w:ascii="仿宋_GB2312" w:hAnsi="仿宋_GB2312" w:eastAsia="仿宋_GB2312" w:cs="仿宋_GB2312"/>
          <w:color w:val="000000"/>
          <w:kern w:val="0"/>
          <w:sz w:val="32"/>
          <w:szCs w:val="32"/>
          <w:lang w:eastAsia="zh-CN"/>
        </w:rPr>
        <w:t>按照相关经费支出标准规定，</w:t>
      </w:r>
      <w:r>
        <w:rPr>
          <w:rFonts w:hint="eastAsia" w:ascii="仿宋_GB2312" w:hAnsi="仿宋_GB2312" w:cs="仿宋_GB2312"/>
          <w:color w:val="000000"/>
          <w:kern w:val="0"/>
          <w:sz w:val="32"/>
          <w:szCs w:val="32"/>
          <w:lang w:val="en-US" w:eastAsia="zh-CN"/>
        </w:rPr>
        <w:t>2022</w:t>
      </w:r>
      <w:r>
        <w:rPr>
          <w:rFonts w:hint="eastAsia" w:ascii="仿宋_GB2312" w:hAnsi="仿宋_GB2312" w:eastAsia="仿宋_GB2312" w:cs="仿宋_GB2312"/>
          <w:color w:val="000000"/>
          <w:kern w:val="0"/>
          <w:sz w:val="32"/>
          <w:szCs w:val="32"/>
          <w:lang w:val="en-US" w:eastAsia="zh-CN"/>
        </w:rPr>
        <w:t>年共计支出</w:t>
      </w:r>
      <w:r>
        <w:rPr>
          <w:rFonts w:hint="eastAsia" w:ascii="仿宋_GB2312" w:hAnsi="仿宋_GB2312" w:cs="仿宋_GB2312"/>
          <w:color w:val="000000"/>
          <w:kern w:val="0"/>
          <w:sz w:val="32"/>
          <w:szCs w:val="32"/>
          <w:lang w:val="en-US" w:eastAsia="zh-CN"/>
        </w:rPr>
        <w:t>255470</w:t>
      </w:r>
      <w:r>
        <w:rPr>
          <w:rFonts w:hint="eastAsia" w:ascii="仿宋_GB2312" w:hAnsi="仿宋_GB2312" w:eastAsia="仿宋_GB2312" w:cs="仿宋_GB2312"/>
          <w:color w:val="000000"/>
          <w:kern w:val="0"/>
          <w:sz w:val="32"/>
          <w:szCs w:val="32"/>
          <w:lang w:val="en-US" w:eastAsia="zh-CN"/>
        </w:rPr>
        <w:t>元，分别为：德古意外保险费用</w:t>
      </w:r>
      <w:r>
        <w:rPr>
          <w:rFonts w:hint="eastAsia" w:ascii="仿宋_GB2312" w:hAnsi="仿宋_GB2312" w:cs="仿宋_GB2312"/>
          <w:color w:val="000000"/>
          <w:kern w:val="0"/>
          <w:sz w:val="32"/>
          <w:szCs w:val="32"/>
          <w:lang w:val="en-US" w:eastAsia="zh-CN"/>
        </w:rPr>
        <w:t>20160</w:t>
      </w:r>
      <w:r>
        <w:rPr>
          <w:rFonts w:hint="eastAsia" w:ascii="仿宋_GB2312" w:hAnsi="仿宋_GB2312" w:eastAsia="仿宋_GB2312" w:cs="仿宋_GB2312"/>
          <w:color w:val="000000"/>
          <w:kern w:val="0"/>
          <w:sz w:val="32"/>
          <w:szCs w:val="32"/>
          <w:lang w:val="en-US" w:eastAsia="zh-CN"/>
        </w:rPr>
        <w:t>元、德古案件补助款</w:t>
      </w:r>
      <w:r>
        <w:rPr>
          <w:rFonts w:hint="eastAsia" w:ascii="仿宋_GB2312" w:hAnsi="仿宋_GB2312" w:cs="仿宋_GB2312"/>
          <w:color w:val="000000"/>
          <w:kern w:val="0"/>
          <w:sz w:val="32"/>
          <w:szCs w:val="32"/>
          <w:lang w:val="en-US" w:eastAsia="zh-CN"/>
        </w:rPr>
        <w:t>227110</w:t>
      </w:r>
      <w:r>
        <w:rPr>
          <w:rFonts w:hint="eastAsia" w:ascii="仿宋_GB2312" w:hAnsi="仿宋_GB2312" w:eastAsia="仿宋_GB2312" w:cs="仿宋_GB2312"/>
          <w:color w:val="000000"/>
          <w:kern w:val="0"/>
          <w:sz w:val="32"/>
          <w:szCs w:val="32"/>
          <w:lang w:val="en-US" w:eastAsia="zh-CN"/>
        </w:rPr>
        <w:t>元，其他德古办公费</w:t>
      </w:r>
      <w:r>
        <w:rPr>
          <w:rFonts w:hint="eastAsia" w:ascii="仿宋_GB2312" w:hAnsi="仿宋_GB2312" w:cs="仿宋_GB2312"/>
          <w:color w:val="000000"/>
          <w:kern w:val="0"/>
          <w:sz w:val="32"/>
          <w:szCs w:val="32"/>
          <w:lang w:val="en-US" w:eastAsia="zh-CN"/>
        </w:rPr>
        <w:t>、宣传用品费</w:t>
      </w:r>
      <w:r>
        <w:rPr>
          <w:rFonts w:hint="eastAsia" w:ascii="仿宋_GB2312" w:hAnsi="仿宋_GB2312" w:eastAsia="仿宋_GB2312" w:cs="仿宋_GB2312"/>
          <w:color w:val="000000"/>
          <w:kern w:val="0"/>
          <w:sz w:val="32"/>
          <w:szCs w:val="32"/>
          <w:lang w:val="en-US" w:eastAsia="zh-CN"/>
        </w:rPr>
        <w:t>等支出</w:t>
      </w:r>
      <w:r>
        <w:rPr>
          <w:rFonts w:hint="eastAsia" w:ascii="仿宋_GB2312" w:hAnsi="仿宋_GB2312" w:cs="仿宋_GB2312"/>
          <w:color w:val="000000"/>
          <w:kern w:val="0"/>
          <w:sz w:val="32"/>
          <w:szCs w:val="32"/>
          <w:lang w:val="en-US" w:eastAsia="zh-CN"/>
        </w:rPr>
        <w:t>8200</w:t>
      </w:r>
      <w:r>
        <w:rPr>
          <w:rFonts w:hint="eastAsia" w:ascii="仿宋_GB2312" w:hAnsi="仿宋_GB2312" w:eastAsia="仿宋_GB2312" w:cs="仿宋_GB2312"/>
          <w:color w:val="000000"/>
          <w:kern w:val="0"/>
          <w:sz w:val="32"/>
          <w:szCs w:val="32"/>
          <w:lang w:val="en-US" w:eastAsia="zh-CN"/>
        </w:rPr>
        <w:t>元。支出依据合规合法，支出资金与预算相符</w:t>
      </w:r>
      <w:r>
        <w:rPr>
          <w:rFonts w:hint="eastAsia" w:ascii="仿宋_GB2312" w:hAnsi="仿宋_GB2312" w:cs="仿宋_GB2312"/>
          <w:color w:val="000000"/>
          <w:kern w:val="0"/>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仿宋_GB2312" w:eastAsia="仿宋_GB2312" w:cs="仿宋_GB2312"/>
          <w:bCs/>
          <w:kern w:val="36"/>
          <w:sz w:val="32"/>
          <w:szCs w:val="32"/>
          <w:lang w:eastAsia="zh-CN"/>
        </w:rPr>
        <w:t>按照《</w:t>
      </w:r>
      <w:r>
        <w:rPr>
          <w:rFonts w:hint="eastAsia" w:ascii="仿宋_GB2312" w:hAnsi="仿宋_GB2312" w:eastAsia="仿宋_GB2312" w:cs="仿宋_GB2312"/>
          <w:bCs/>
          <w:kern w:val="36"/>
          <w:sz w:val="32"/>
          <w:szCs w:val="32"/>
        </w:rPr>
        <w:t>峨边彝族自治县德古协会德古调解经费管理制度</w:t>
      </w:r>
      <w:r>
        <w:rPr>
          <w:rFonts w:hint="eastAsia" w:ascii="仿宋_GB2312" w:hAnsi="仿宋_GB2312" w:eastAsia="仿宋_GB2312" w:cs="仿宋_GB2312"/>
          <w:bCs/>
          <w:kern w:val="36"/>
          <w:sz w:val="32"/>
          <w:szCs w:val="32"/>
          <w:lang w:eastAsia="zh-CN"/>
        </w:rPr>
        <w:t>》</w:t>
      </w:r>
      <w:r>
        <w:rPr>
          <w:rFonts w:hint="eastAsia" w:ascii="仿宋_GB2312" w:hAnsi="Verdana" w:eastAsia="仿宋_GB2312" w:cs="宋体"/>
          <w:color w:val="000000"/>
          <w:kern w:val="0"/>
          <w:sz w:val="32"/>
          <w:szCs w:val="32"/>
        </w:rPr>
        <w:t>第三条 德古依法调解经费由县司法局管理使用，实行县级部门报账制度，做到专款专用。</w:t>
      </w:r>
      <w:r>
        <w:rPr>
          <w:rFonts w:hint="eastAsia" w:ascii="仿宋_GB2312" w:hAnsi="仿宋_GB2312" w:eastAsia="仿宋_GB2312" w:cs="仿宋_GB2312"/>
          <w:color w:val="000000"/>
          <w:kern w:val="0"/>
          <w:sz w:val="32"/>
          <w:szCs w:val="32"/>
          <w:lang w:val="en-US" w:eastAsia="zh-CN"/>
        </w:rPr>
        <w:t>司法局将德古协会经费列入司法局专项业务经费进行年度预、决算，严格按照财经纪律和相关报账制度，及时处理相关财务、会计核算工作，做到财务管理规范。</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pPr>
        <w:spacing w:line="600" w:lineRule="exact"/>
        <w:ind w:firstLine="640"/>
        <w:rPr>
          <w:rFonts w:ascii="仿宋_GB2312" w:hAnsi="宋体"/>
          <w:lang w:val="zh-CN"/>
        </w:rPr>
      </w:pPr>
      <w:r>
        <w:rPr>
          <w:rFonts w:hint="eastAsia" w:ascii="仿宋_GB2312" w:hAnsi="宋体" w:cs="Times New Roman"/>
          <w:lang w:val="zh-CN"/>
        </w:rPr>
        <w:t>德古调解项目由我单位内设股室人民参与和促进法治股负责统筹管理，加强德古队伍建设，</w:t>
      </w:r>
      <w:r>
        <w:rPr>
          <w:rFonts w:hint="eastAsia" w:ascii="仿宋_GB2312" w:hAnsi="宋体" w:cs="Times New Roman"/>
          <w:lang w:val="zh-CN" w:eastAsia="zh-CN"/>
        </w:rPr>
        <w:t>组织</w:t>
      </w:r>
      <w:r>
        <w:rPr>
          <w:rFonts w:hint="eastAsia" w:ascii="仿宋_GB2312" w:hAnsi="宋体" w:cs="Times New Roman"/>
          <w:lang w:val="zh-CN"/>
        </w:rPr>
        <w:t>参与“双高”治理，推进移风易俗工作</w:t>
      </w:r>
      <w:r>
        <w:rPr>
          <w:rFonts w:hint="eastAsia" w:ascii="仿宋_GB2312" w:hAnsi="宋体" w:cs="Times New Roman"/>
          <w:lang w:val="zh-CN" w:eastAsia="zh-CN"/>
        </w:rPr>
        <w:t>、</w:t>
      </w:r>
      <w:r>
        <w:rPr>
          <w:rFonts w:hint="eastAsia" w:ascii="仿宋_GB2312" w:hAnsi="宋体" w:cs="Times New Roman"/>
          <w:lang w:val="zh-CN"/>
        </w:rPr>
        <w:t>主动参与矛盾纠纷排查化解，维护社会和谐稳定</w:t>
      </w:r>
      <w:r>
        <w:rPr>
          <w:rFonts w:hint="eastAsia" w:ascii="仿宋_GB2312" w:hAnsi="宋体" w:cs="Times New Roman"/>
          <w:lang w:val="zh-CN"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pPr>
        <w:spacing w:line="600" w:lineRule="exact"/>
        <w:ind w:firstLine="640" w:firstLineChars="200"/>
        <w:rPr>
          <w:rFonts w:hint="eastAsia" w:ascii="黑体" w:hAnsi="黑体" w:eastAsia="黑体" w:cs="Times New Roman"/>
          <w:kern w:val="0"/>
          <w:sz w:val="32"/>
          <w:szCs w:val="32"/>
          <w:lang w:val="en-US" w:eastAsia="zh-CN"/>
        </w:rPr>
      </w:pPr>
      <w:r>
        <w:rPr>
          <w:rFonts w:hint="eastAsia" w:ascii="黑体" w:hAnsi="黑体" w:eastAsia="黑体" w:cs="Times New Roman"/>
          <w:kern w:val="0"/>
          <w:sz w:val="32"/>
          <w:szCs w:val="32"/>
          <w:lang w:val="en-US" w:eastAsia="zh-CN"/>
        </w:rPr>
        <w:t>聚集固本强基，调解工作做强做实</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人民调解工作情况坚持和发展新时代“枫桥经验”，畅通和规范群众诉求表达、利益协调、权益保障通道，建立健全矛盾纠纷“三色预警”机制，健全诉非衔接、检调对接、公调对接、访调对接机制。</w:t>
      </w:r>
      <w:r>
        <w:rPr>
          <w:rFonts w:hint="eastAsia" w:ascii="仿宋_GB2312" w:hAnsi="仿宋_GB2312" w:eastAsia="仿宋_GB2312" w:cs="仿宋_GB2312"/>
          <w:b/>
          <w:bCs/>
          <w:sz w:val="32"/>
          <w:szCs w:val="32"/>
          <w:lang w:val="en-US" w:eastAsia="zh-CN"/>
        </w:rPr>
        <w:t>一是夯实调解力量。</w:t>
      </w:r>
      <w:r>
        <w:rPr>
          <w:rFonts w:hint="eastAsia" w:ascii="仿宋_GB2312" w:hAnsi="仿宋_GB2312" w:eastAsia="仿宋_GB2312" w:cs="仿宋_GB2312"/>
          <w:b w:val="0"/>
          <w:bCs w:val="0"/>
          <w:sz w:val="32"/>
          <w:szCs w:val="32"/>
          <w:lang w:val="en-US" w:eastAsia="zh-CN"/>
        </w:rPr>
        <w:t>13个乡镇共有人民调解委员会112个、</w:t>
      </w:r>
      <w:r>
        <w:rPr>
          <w:rFonts w:hint="eastAsia" w:ascii="仿宋_GB2312" w:hAnsi="仿宋_GB2312" w:eastAsia="仿宋_GB2312" w:cs="仿宋_GB2312"/>
          <w:sz w:val="32"/>
          <w:szCs w:val="32"/>
          <w:lang w:val="en-US" w:eastAsia="zh-CN"/>
        </w:rPr>
        <w:t>行业人民调解委会5个、德古协会驻法院调解室1个、驻派出所人民调解委员会1个。全县共有815名人民调解员（53名德古调解员、8名专职调解员），达到每个村（社区）、乡镇（街道）人民调解组织覆盖率100%的指标。</w:t>
      </w:r>
      <w:r>
        <w:rPr>
          <w:rFonts w:hint="eastAsia" w:ascii="仿宋_GB2312" w:hAnsi="仿宋_GB2312" w:eastAsia="仿宋_GB2312" w:cs="仿宋_GB2312"/>
          <w:b/>
          <w:bCs/>
          <w:sz w:val="32"/>
          <w:szCs w:val="32"/>
          <w:lang w:val="en-US" w:eastAsia="zh-CN"/>
        </w:rPr>
        <w:t>二是提升德古调解工作法。</w:t>
      </w:r>
      <w:r>
        <w:rPr>
          <w:rFonts w:hint="eastAsia" w:ascii="仿宋_GB2312" w:hAnsi="仿宋_GB2312" w:eastAsia="仿宋_GB2312" w:cs="仿宋_GB2312"/>
          <w:b w:val="0"/>
          <w:bCs w:val="0"/>
          <w:color w:val="000000"/>
          <w:spacing w:val="0"/>
          <w:w w:val="100"/>
          <w:position w:val="0"/>
          <w:sz w:val="32"/>
          <w:szCs w:val="32"/>
          <w:shd w:val="clear" w:color="auto" w:fill="auto"/>
          <w:lang w:val="en-US" w:eastAsia="zh-CN" w:bidi="en-US"/>
        </w:rPr>
        <w:t>2022年，“德古”调解各类矛盾纠纷158件，化解成功155件，调解成功率达98%以上，</w:t>
      </w:r>
      <w:r>
        <w:rPr>
          <w:rFonts w:hint="eastAsia" w:ascii="仿宋_GB2312" w:hAnsi="仿宋_GB2312" w:eastAsia="仿宋_GB2312" w:cs="仿宋_GB2312"/>
          <w:b w:val="0"/>
          <w:bCs w:val="0"/>
          <w:color w:val="000000"/>
          <w:spacing w:val="0"/>
          <w:w w:val="100"/>
          <w:position w:val="0"/>
          <w:sz w:val="32"/>
          <w:szCs w:val="32"/>
          <w:shd w:val="clear" w:color="auto" w:fill="auto"/>
          <w:lang w:val="en-US" w:eastAsia="en-US" w:bidi="en-US"/>
        </w:rPr>
        <w:t>成为创新</w:t>
      </w:r>
      <w:r>
        <w:rPr>
          <w:rFonts w:hint="eastAsia" w:ascii="仿宋_GB2312" w:hAnsi="仿宋_GB2312" w:eastAsia="仿宋_GB2312" w:cs="仿宋_GB2312"/>
          <w:b w:val="0"/>
          <w:bCs w:val="0"/>
          <w:color w:val="000000"/>
          <w:spacing w:val="0"/>
          <w:w w:val="100"/>
          <w:position w:val="0"/>
          <w:sz w:val="32"/>
          <w:szCs w:val="32"/>
          <w:shd w:val="clear" w:color="auto" w:fill="auto"/>
          <w:lang w:val="en-US" w:eastAsia="zh-CN" w:bidi="en-US"/>
        </w:rPr>
        <w:t>基层</w:t>
      </w:r>
      <w:r>
        <w:rPr>
          <w:rFonts w:hint="eastAsia" w:ascii="仿宋_GB2312" w:hAnsi="仿宋_GB2312" w:eastAsia="仿宋_GB2312" w:cs="仿宋_GB2312"/>
          <w:b w:val="0"/>
          <w:bCs w:val="0"/>
          <w:color w:val="000000"/>
          <w:spacing w:val="0"/>
          <w:w w:val="100"/>
          <w:position w:val="0"/>
          <w:sz w:val="32"/>
          <w:szCs w:val="32"/>
          <w:shd w:val="clear" w:color="auto" w:fill="auto"/>
          <w:lang w:val="en-US" w:eastAsia="en-US" w:bidi="en-US"/>
        </w:rPr>
        <w:t>社会治理不可缺</w:t>
      </w:r>
      <w:r>
        <w:rPr>
          <w:rFonts w:hint="eastAsia" w:ascii="仿宋_GB2312" w:hAnsi="仿宋_GB2312" w:eastAsia="仿宋_GB2312" w:cs="仿宋_GB2312"/>
          <w:b w:val="0"/>
          <w:bCs w:val="0"/>
          <w:color w:val="000000"/>
          <w:spacing w:val="0"/>
          <w:w w:val="100"/>
          <w:position w:val="0"/>
          <w:sz w:val="32"/>
          <w:szCs w:val="32"/>
          <w:shd w:val="clear" w:color="auto" w:fill="auto"/>
          <w:lang w:val="en-US" w:eastAsia="zh-CN" w:bidi="en-US"/>
        </w:rPr>
        <w:t>少</w:t>
      </w:r>
      <w:r>
        <w:rPr>
          <w:rFonts w:hint="eastAsia" w:ascii="仿宋_GB2312" w:hAnsi="仿宋_GB2312" w:eastAsia="仿宋_GB2312" w:cs="仿宋_GB2312"/>
          <w:b w:val="0"/>
          <w:bCs w:val="0"/>
          <w:color w:val="000000"/>
          <w:spacing w:val="0"/>
          <w:w w:val="100"/>
          <w:position w:val="0"/>
          <w:sz w:val="32"/>
          <w:szCs w:val="32"/>
          <w:shd w:val="clear" w:color="auto" w:fill="auto"/>
          <w:lang w:val="en-US" w:eastAsia="en-US" w:bidi="en-US"/>
        </w:rPr>
        <w:t>的一支重要力量。</w:t>
      </w:r>
      <w:r>
        <w:rPr>
          <w:rFonts w:hint="eastAsia" w:ascii="仿宋_GB2312" w:hAnsi="宋体" w:eastAsia="仿宋_GB2312" w:cs="宋体"/>
          <w:color w:val="auto"/>
          <w:kern w:val="0"/>
          <w:sz w:val="32"/>
          <w:szCs w:val="32"/>
          <w:lang w:val="en-US" w:eastAsia="zh-CN"/>
        </w:rPr>
        <w:t>2022年，</w:t>
      </w:r>
      <w:r>
        <w:rPr>
          <w:rFonts w:hint="eastAsia" w:ascii="仿宋_GB2312" w:hAnsi="仿宋_GB2312" w:eastAsia="仿宋_GB2312" w:cs="仿宋_GB2312"/>
          <w:color w:val="000000"/>
          <w:kern w:val="0"/>
          <w:sz w:val="32"/>
          <w:szCs w:val="32"/>
          <w:lang w:val="en-US" w:eastAsia="zh-CN" w:bidi="ar-SA"/>
        </w:rPr>
        <w:t>审核发放“德古”调解案件“以奖代补”108件，</w:t>
      </w:r>
      <w:r>
        <w:rPr>
          <w:rFonts w:hint="eastAsia" w:ascii="仿宋_GB2312" w:hAnsi="仿宋_GB2312" w:eastAsia="仿宋_GB2312" w:cs="仿宋_GB2312"/>
          <w:sz w:val="32"/>
          <w:szCs w:val="32"/>
          <w:lang w:val="en-US" w:eastAsia="zh-CN"/>
        </w:rPr>
        <w:t>奖补金额93950元。</w:t>
      </w:r>
      <w:r>
        <w:rPr>
          <w:rFonts w:hint="eastAsia" w:ascii="仿宋_GB2312" w:hAnsi="仿宋_GB2312" w:eastAsia="仿宋_GB2312" w:cs="仿宋_GB2312"/>
          <w:b w:val="0"/>
          <w:bCs w:val="0"/>
          <w:color w:val="000000"/>
          <w:kern w:val="0"/>
          <w:sz w:val="32"/>
          <w:szCs w:val="32"/>
          <w:u w:color="000000"/>
          <w:lang w:val="en-US" w:eastAsia="zh-CN" w:bidi="ar-SA"/>
        </w:rPr>
        <w:t>近年来“德古”积极开展移风易俗、高</w:t>
      </w:r>
      <w:r>
        <w:rPr>
          <w:rFonts w:hint="eastAsia" w:ascii="仿宋_GB2312" w:hAnsi="仿宋_GB2312" w:eastAsia="仿宋_GB2312" w:cs="仿宋_GB2312"/>
          <w:sz w:val="32"/>
          <w:szCs w:val="32"/>
          <w:lang w:val="en-US" w:eastAsia="zh-CN"/>
        </w:rPr>
        <w:t>价彩礼治理</w:t>
      </w:r>
      <w:r>
        <w:rPr>
          <w:rFonts w:hint="eastAsia" w:ascii="仿宋_GB2312" w:hAnsi="仿宋_GB2312" w:eastAsia="仿宋_GB2312" w:cs="仿宋_GB2312"/>
          <w:b w:val="0"/>
          <w:bCs w:val="0"/>
          <w:color w:val="000000"/>
          <w:kern w:val="0"/>
          <w:sz w:val="32"/>
          <w:szCs w:val="32"/>
          <w:u w:color="000000"/>
          <w:lang w:val="en-US" w:eastAsia="zh-CN" w:bidi="ar-SA"/>
        </w:rPr>
        <w:t>等宣传活动。2022年，</w:t>
      </w:r>
      <w:r>
        <w:rPr>
          <w:rFonts w:hint="eastAsia" w:ascii="仿宋_GB2312" w:hAnsi="仿宋_GB2312" w:eastAsia="仿宋_GB2312" w:cs="仿宋_GB2312"/>
          <w:color w:val="000000"/>
          <w:kern w:val="0"/>
          <w:sz w:val="32"/>
          <w:szCs w:val="32"/>
        </w:rPr>
        <w:t>“德古彝汉双语”讲堂宣讲80余场次</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sz w:val="32"/>
          <w:szCs w:val="32"/>
          <w:lang w:val="en-US" w:eastAsia="zh-CN"/>
        </w:rPr>
        <w:t>“德古”高价彩礼整治宣讲25场次，</w:t>
      </w:r>
      <w:r>
        <w:rPr>
          <w:rFonts w:hint="eastAsia" w:ascii="仿宋_GB2312" w:hAnsi="仿宋_GB2312" w:eastAsia="仿宋_GB2312" w:cs="仿宋_GB2312"/>
          <w:color w:val="000000"/>
          <w:kern w:val="0"/>
          <w:sz w:val="32"/>
          <w:szCs w:val="32"/>
        </w:rPr>
        <w:t>参与人数</w:t>
      </w:r>
      <w:r>
        <w:rPr>
          <w:rFonts w:hint="eastAsia" w:ascii="仿宋_GB2312" w:hAnsi="仿宋_GB2312" w:eastAsia="仿宋_GB2312" w:cs="仿宋_GB2312"/>
          <w:color w:val="000000"/>
          <w:kern w:val="0"/>
          <w:sz w:val="32"/>
          <w:szCs w:val="32"/>
          <w:lang w:val="en-US" w:eastAsia="zh-CN"/>
        </w:rPr>
        <w:t>20</w:t>
      </w:r>
      <w:r>
        <w:rPr>
          <w:rFonts w:hint="eastAsia" w:ascii="仿宋_GB2312" w:hAnsi="仿宋_GB2312" w:eastAsia="仿宋_GB2312" w:cs="仿宋_GB2312"/>
          <w:color w:val="000000"/>
          <w:kern w:val="0"/>
          <w:sz w:val="32"/>
          <w:szCs w:val="32"/>
        </w:rPr>
        <w:t>000余人次，“宣讲+”形式广受群众欢迎</w:t>
      </w:r>
      <w:r>
        <w:rPr>
          <w:rFonts w:hint="eastAsia" w:ascii="Microsoft YaHei UI" w:hAnsi="Microsoft YaHei UI" w:eastAsia="Microsoft YaHei UI" w:cs="Microsoft YaHei UI"/>
          <w:i w:val="0"/>
          <w:caps w:val="0"/>
          <w:color w:val="000000"/>
          <w:spacing w:val="30"/>
          <w:sz w:val="25"/>
          <w:szCs w:val="25"/>
          <w:shd w:val="clear" w:fill="FFFFFF"/>
          <w:lang w:eastAsia="zh-CN"/>
        </w:rPr>
        <w:t>。</w:t>
      </w:r>
      <w:r>
        <w:rPr>
          <w:rFonts w:hint="eastAsia" w:ascii="仿宋_GB2312" w:hAnsi="仿宋_GB2312" w:eastAsia="仿宋_GB2312" w:cs="仿宋_GB2312"/>
          <w:b w:val="0"/>
          <w:bCs w:val="0"/>
          <w:color w:val="000000"/>
          <w:spacing w:val="0"/>
          <w:w w:val="100"/>
          <w:position w:val="0"/>
          <w:sz w:val="32"/>
          <w:szCs w:val="32"/>
          <w:shd w:val="clear" w:color="auto" w:fill="auto"/>
          <w:lang w:val="en-US" w:eastAsia="zh-CN" w:bidi="en-US"/>
        </w:rPr>
        <w:t>2022年10月，《人民日报》头版刊发《传承发展提升农耕文明，走乡村文化兴盛之路》一文，关注报道了峨边“‘德古’讲师”走进群众身边，帮助普及知识，促进移风易俗“做法”。</w:t>
      </w:r>
      <w:r>
        <w:rPr>
          <w:rFonts w:hint="eastAsia" w:ascii="仿宋_GB2312" w:hAnsi="仿宋_GB2312" w:eastAsia="仿宋_GB2312" w:cs="仿宋_GB2312"/>
          <w:b/>
          <w:bCs/>
          <w:sz w:val="32"/>
          <w:szCs w:val="32"/>
          <w:lang w:val="en-US" w:eastAsia="zh-CN"/>
        </w:rPr>
        <w:t>三是提升调解质效</w:t>
      </w:r>
      <w:r>
        <w:rPr>
          <w:rFonts w:hint="eastAsia" w:ascii="仿宋_GB2312" w:hAnsi="仿宋_GB2312" w:eastAsia="仿宋_GB2312" w:cs="仿宋_GB2312"/>
          <w:sz w:val="32"/>
          <w:szCs w:val="32"/>
          <w:lang w:val="en-US" w:eastAsia="zh-CN"/>
        </w:rPr>
        <w:t>。2022年，完成“三查三优三化”专项行动工作，开展矛盾纠纷排查444次，排查发现矛盾纠纷131件，化解各类矛盾纠纷327件，调解成功323件，调解成功率达98.77%。人民调解案件“以奖代补”94件，完成人民调解典型案件4件，人民调解案件录入达98%。</w:t>
      </w:r>
    </w:p>
    <w:p>
      <w:pPr>
        <w:ind w:firstLine="643" w:firstLineChars="200"/>
        <w:rPr>
          <w:rFonts w:hint="eastAsia"/>
          <w:lang w:val="en-US" w:eastAsia="zh-CN"/>
        </w:rPr>
      </w:pPr>
      <w:r>
        <w:rPr>
          <w:rFonts w:hint="eastAsia" w:ascii="楷体_GB2312" w:hAnsi="宋体" w:eastAsia="楷体_GB2312"/>
          <w:b/>
          <w:lang w:val="zh-CN"/>
        </w:rPr>
        <w:t>（二）项目效益情况。</w:t>
      </w:r>
      <w:r>
        <w:rPr>
          <w:rFonts w:hint="eastAsia"/>
          <w:lang w:eastAsia="zh-CN"/>
        </w:rPr>
        <w:t>一是通过成立德古协会，加强行业指导和管理，</w:t>
      </w:r>
      <w:r>
        <w:rPr>
          <w:rFonts w:hint="eastAsia"/>
        </w:rPr>
        <w:t>完善我县民间“德古”调解组织</w:t>
      </w:r>
      <w:r>
        <w:rPr>
          <w:rFonts w:hint="eastAsia"/>
          <w:lang w:eastAsia="zh-CN"/>
        </w:rPr>
        <w:t>，</w:t>
      </w:r>
      <w:r>
        <w:rPr>
          <w:rFonts w:hint="eastAsia"/>
        </w:rPr>
        <w:t>规范“德古”调解工作，提高“德古”调解质量，</w:t>
      </w:r>
      <w:r>
        <w:rPr>
          <w:rFonts w:hint="eastAsia"/>
          <w:lang w:eastAsia="zh-CN"/>
        </w:rPr>
        <w:t>将矛盾化解在基层，防止矛盾纠纷从民事转化为刑事案件；二是通过“德古”调解员在基层开展法治宣传教育和</w:t>
      </w:r>
      <w:r>
        <w:rPr>
          <w:rFonts w:hint="eastAsia"/>
        </w:rPr>
        <w:t>彝区婚嫁“双高”治理</w:t>
      </w:r>
      <w:r>
        <w:rPr>
          <w:rFonts w:hint="eastAsia"/>
          <w:lang w:eastAsia="zh-CN"/>
        </w:rPr>
        <w:t>宣传工作，有效</w:t>
      </w:r>
      <w:r>
        <w:rPr>
          <w:rFonts w:hint="eastAsia"/>
        </w:rPr>
        <w:t>维护了彝区和谐稳定，增进了民族团结进步，营造出良好法治氛围</w:t>
      </w:r>
      <w:r>
        <w:rPr>
          <w:rFonts w:hint="eastAsia"/>
          <w:lang w:eastAsia="zh-CN"/>
        </w:rPr>
        <w:t>；三是通过加强对德古调解员的考核，实施“以奖代补”和成绩突出的调解员进行一次性奖励，进一步提高了“德古”调解员的积极性和主动性，为群众减轻了经济负担。</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pPr>
        <w:ind w:firstLine="643" w:firstLineChars="200"/>
        <w:rPr>
          <w:rFonts w:hint="eastAsia"/>
          <w:lang w:eastAsia="zh-CN"/>
        </w:rPr>
      </w:pPr>
      <w:r>
        <w:rPr>
          <w:rFonts w:hint="eastAsia" w:ascii="楷体_GB2312" w:hAnsi="宋体" w:eastAsia="楷体_GB2312"/>
          <w:b/>
          <w:lang w:val="zh-CN"/>
        </w:rPr>
        <w:t>（一）存在的问题。</w:t>
      </w:r>
      <w:r>
        <w:rPr>
          <w:rFonts w:hint="eastAsia"/>
          <w:lang w:val="en-US" w:eastAsia="zh-CN"/>
        </w:rPr>
        <w:t>1、</w:t>
      </w:r>
      <w:r>
        <w:rPr>
          <w:rFonts w:hint="eastAsia"/>
        </w:rPr>
        <w:t>虽然我县已经有效治理了婚姻“双高”和丧葬铺张浪费现象，但在全国彝族亲戚藤连藤，婚姻互通，“双高”和丧葬铺张浪费现象还需进一步加大规范治理力度</w:t>
      </w:r>
      <w:r>
        <w:rPr>
          <w:rFonts w:hint="eastAsia"/>
          <w:lang w:eastAsia="zh-CN"/>
        </w:rPr>
        <w:t>。</w:t>
      </w:r>
    </w:p>
    <w:p>
      <w:pPr>
        <w:ind w:firstLine="640" w:firstLineChars="200"/>
        <w:rPr>
          <w:rFonts w:hint="eastAsia"/>
          <w:lang w:eastAsia="zh-CN"/>
        </w:rPr>
      </w:pPr>
      <w:r>
        <w:rPr>
          <w:rFonts w:hint="eastAsia"/>
          <w:lang w:val="en-US" w:eastAsia="zh-CN"/>
        </w:rPr>
        <w:t>2、</w:t>
      </w:r>
      <w:r>
        <w:rPr>
          <w:rFonts w:hint="eastAsia"/>
        </w:rPr>
        <w:t>受文化、地域等客观条件的限制，个别德古调解质量不高</w:t>
      </w:r>
      <w:r>
        <w:rPr>
          <w:rFonts w:hint="eastAsia"/>
          <w:lang w:eastAsia="zh-CN"/>
        </w:rPr>
        <w:t>，德古自身素质还有待提升。</w:t>
      </w:r>
    </w:p>
    <w:p>
      <w:pPr>
        <w:rPr>
          <w:rFonts w:ascii="楷体_GB2312" w:hAnsi="宋体" w:eastAsia="楷体_GB2312"/>
          <w:b/>
          <w:lang w:val="zh-CN"/>
        </w:rPr>
      </w:pPr>
      <w:r>
        <w:rPr>
          <w:rFonts w:hint="eastAsia"/>
          <w:lang w:val="en-US" w:eastAsia="zh-CN"/>
        </w:rPr>
        <w:t xml:space="preserve">    3、德古在日常工作中的法治宣传和指导作用还需进一步加强。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楷体_GB2312" w:hAnsi="宋体" w:eastAsia="楷体_GB2312"/>
          <w:b/>
          <w:lang w:val="zh-CN"/>
        </w:rPr>
        <w:t>（二）相关建议。</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加强“德古”队伍建设。吸引和鼓励热心公益事业、品行良好、有专业知识、懂法律的高素质人才充实到“德古”队伍中来，如鼓励离退休法律职业人士、行业专业人士、退休基层干部和其他志愿者加入“德古”调解等。</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不断加强“德古”素质和能力建设。重点加强加强政治思想培训、法律法规知识培训。</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做实保障工作。召开“德古”大会，加强对“德古”的管理，保证“德古”调解的合法性和权威性，确保德古调解案件补贴，最大限度地激发“德古”办案热情。</w:t>
      </w:r>
    </w:p>
    <w:p>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icrosoft YaHei UI">
    <w:altName w:val="宋体"/>
    <w:panose1 w:val="020B0503020204020204"/>
    <w:charset w:val="86"/>
    <w:family w:val="auto"/>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0OTZjMzcxMmRmZjdiZmM1MGM1N2IzZDlkMzk1MmMifQ=="/>
  </w:docVars>
  <w:rsids>
    <w:rsidRoot w:val="291C455A"/>
    <w:rsid w:val="0284231A"/>
    <w:rsid w:val="0EDB478C"/>
    <w:rsid w:val="17D363F7"/>
    <w:rsid w:val="184437DA"/>
    <w:rsid w:val="1DC744B6"/>
    <w:rsid w:val="1DDE692B"/>
    <w:rsid w:val="1FA0122E"/>
    <w:rsid w:val="219C0975"/>
    <w:rsid w:val="291C455A"/>
    <w:rsid w:val="34C91132"/>
    <w:rsid w:val="36926D0C"/>
    <w:rsid w:val="3B2222B9"/>
    <w:rsid w:val="3F5208D2"/>
    <w:rsid w:val="4DAF2BCF"/>
    <w:rsid w:val="4DDB6F66"/>
    <w:rsid w:val="5C81503C"/>
    <w:rsid w:val="62FB4E56"/>
    <w:rsid w:val="70343755"/>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2087</Words>
  <Characters>2206</Characters>
  <Lines>0</Lines>
  <Paragraphs>0</Paragraphs>
  <TotalTime>11</TotalTime>
  <ScaleCrop>false</ScaleCrop>
  <LinksUpToDate>false</LinksUpToDate>
  <CharactersWithSpaces>2250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2023-06-09T07:35:19Z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DFE86E39F527459BB544353002A3FA1B_13</vt:lpwstr>
  </property>
</Properties>
</file>