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峨边彝族自治县司法局</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2021年</w:t>
      </w:r>
      <w:r>
        <w:rPr>
          <w:rFonts w:hint="eastAsia" w:ascii="方正小标宋简体" w:hAnsi="宋体" w:eastAsia="方正小标宋简体"/>
          <w:sz w:val="44"/>
          <w:szCs w:val="44"/>
          <w:shd w:val="clear" w:color="auto" w:fill="FFFFFF"/>
        </w:rPr>
        <w:t>整体支出绩效自评报告</w:t>
      </w:r>
    </w:p>
    <w:p>
      <w:pPr>
        <w:widowControl/>
        <w:spacing w:line="580" w:lineRule="exact"/>
        <w:ind w:firstLine="640" w:firstLineChars="200"/>
        <w:contextualSpacing/>
        <w:jc w:val="center"/>
        <w:rPr>
          <w:rFonts w:ascii="仿宋_GB2312" w:hAnsi="宋体" w:eastAsia="仿宋_GB2312"/>
          <w:szCs w:val="32"/>
          <w:shd w:val="clear" w:color="auto" w:fill="FFFFFF"/>
        </w:rPr>
      </w:pP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eastAsia="zh-CN"/>
        </w:rPr>
        <w:t>单位</w:t>
      </w:r>
      <w:r>
        <w:rPr>
          <w:rFonts w:hint="eastAsia" w:ascii="黑体" w:hAnsi="黑体" w:eastAsia="黑体" w:cs="宋体"/>
          <w:color w:val="000000"/>
          <w:kern w:val="0"/>
          <w:szCs w:val="32"/>
          <w:shd w:val="clear" w:color="auto" w:fill="FFFFFF"/>
          <w:lang w:val="zh-CN"/>
        </w:rPr>
        <w:t>概况</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zh-CN" w:eastAsia="zh-CN"/>
        </w:rPr>
        <w:t>（一）机构组成</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eastAsia="zh-CN"/>
        </w:rPr>
        <w:t>峨边彝族自治县</w:t>
      </w:r>
      <w:r>
        <w:rPr>
          <w:rFonts w:hint="eastAsia" w:ascii="仿宋_GB2312" w:hAnsi="宋体" w:eastAsia="仿宋_GB2312"/>
          <w:sz w:val="32"/>
          <w:szCs w:val="32"/>
        </w:rPr>
        <w:t>司法局是财政全额拨款行政单位，</w:t>
      </w:r>
      <w:r>
        <w:rPr>
          <w:rFonts w:hint="eastAsia" w:ascii="仿宋_GB2312" w:hAnsi="宋体" w:eastAsia="仿宋_GB2312"/>
          <w:sz w:val="32"/>
          <w:szCs w:val="32"/>
          <w:lang w:eastAsia="zh-CN"/>
        </w:rPr>
        <w:t>内设办公室、依法治县秘书股、基层股、法制股、社区矫正执法大队、法律援助中心，公证处。此外，一共有</w:t>
      </w:r>
      <w:r>
        <w:rPr>
          <w:rFonts w:hint="eastAsia" w:ascii="仿宋_GB2312" w:hAnsi="宋体" w:eastAsia="仿宋_GB2312"/>
          <w:sz w:val="32"/>
          <w:szCs w:val="32"/>
          <w:lang w:val="en-US" w:eastAsia="zh-CN"/>
        </w:rPr>
        <w:t>13</w:t>
      </w:r>
      <w:r>
        <w:rPr>
          <w:rFonts w:hint="eastAsia" w:ascii="仿宋_GB2312" w:hAnsi="宋体" w:eastAsia="仿宋_GB2312"/>
          <w:sz w:val="32"/>
          <w:szCs w:val="32"/>
          <w:lang w:eastAsia="zh-CN"/>
        </w:rPr>
        <w:t>个基层司法所。</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（二）机构职能</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（1）承担全面依法治县重大问题决策研究，协调有关方面提出全面法治县中长期规划建议，负责有关重大决策部署督察工作。</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（2）负责指导全县规范性文件管理有关工作。</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（4）承担统筹推进法治政府建设的责任。</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（5）负责德古调解的安排和部署，参与矛盾纠纷排查化解，维护社会和谐稳定。</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（6）承担县人民政府作为被申请人的行政复议事项和县人民政府作为被告的行政复议应诉案件。</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（7）指导、管理、组织实施全县社区矫正工作；指导、牵头组织实施刑满释放人员安置帮教工作。</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（8）指导、监督、管理律师、法律援助、公证和基层法律服务工作。</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（12）规划、协调、指导法治人才队伍建设相关工作。</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（13）完成县委、县人民政府交办的其他事项。</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（三）人员概况</w:t>
      </w:r>
    </w:p>
    <w:p>
      <w:pPr>
        <w:widowControl/>
        <w:tabs>
          <w:tab w:val="left" w:pos="3840"/>
        </w:tabs>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宋体" w:eastAsia="仿宋_GB2312"/>
          <w:sz w:val="32"/>
          <w:szCs w:val="32"/>
          <w:lang w:val="en-US" w:eastAsia="zh-CN"/>
        </w:rPr>
        <w:t>2021年全局核定编制34人，其中：行政编制30人，事业编制3人，工勤编制1人。实有在职30人，离退休人员0人，司法所辅助人员13人，现有执法执勤车辆2台。</w:t>
      </w:r>
      <w:r>
        <w:rPr>
          <w:rFonts w:ascii="楷体_GB2312" w:hAnsi="宋体" w:eastAsia="楷体_GB2312" w:cs="宋体"/>
          <w:color w:val="000000"/>
          <w:kern w:val="0"/>
          <w:szCs w:val="32"/>
          <w:shd w:val="clear" w:color="auto" w:fill="FFFFFF"/>
          <w:lang w:val="zh-CN"/>
        </w:rPr>
        <w:tab/>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（一）部门财政资金收入情况。</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default" w:ascii="仿宋_GB2312" w:hAnsi="宋体" w:eastAsia="仿宋_GB2312"/>
          <w:sz w:val="32"/>
          <w:szCs w:val="32"/>
          <w:lang w:val="en-US"/>
        </w:rPr>
      </w:pPr>
      <w:r>
        <w:rPr>
          <w:rFonts w:hint="eastAsia" w:ascii="仿宋_GB2312" w:hAnsi="宋体" w:eastAsia="仿宋_GB2312"/>
          <w:sz w:val="32"/>
          <w:szCs w:val="32"/>
          <w:lang w:val="en-US" w:eastAsia="zh-CN"/>
        </w:rPr>
        <w:t>2021年财政拨款预算收入997.84万元，其中上级资金109 万元，县级资金888.84万元。</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sz w:val="32"/>
          <w:szCs w:val="32"/>
          <w:highlight w:val="none"/>
          <w:lang w:val="en-US" w:eastAsia="zh-CN"/>
        </w:rPr>
      </w:pPr>
      <w:r>
        <w:rPr>
          <w:rFonts w:hint="eastAsia" w:ascii="仿宋_GB2312" w:hAnsi="宋体" w:eastAsia="仿宋_GB2312"/>
          <w:color w:val="auto"/>
          <w:sz w:val="32"/>
          <w:szCs w:val="32"/>
          <w:highlight w:val="none"/>
          <w:lang w:val="zh-CN"/>
        </w:rPr>
        <w:t>基本支出</w:t>
      </w:r>
      <w:r>
        <w:rPr>
          <w:rFonts w:hint="eastAsia" w:ascii="仿宋_GB2312" w:hAnsi="宋体" w:eastAsia="仿宋_GB2312"/>
          <w:color w:val="auto"/>
          <w:sz w:val="32"/>
          <w:szCs w:val="32"/>
          <w:highlight w:val="none"/>
          <w:lang w:val="en-US" w:eastAsia="zh-CN"/>
        </w:rPr>
        <w:t xml:space="preserve"> 858.83万元，项目支出139.01万元，其中项目5个，具体支出为：德古调解经费20.87万元，中央政法转移支付资金109万元，驻村工作队2.1万元，移风易俗2万元，一村一法律顾问经费5.04万元。</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（一）部门预算管理。</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w:t>
      </w:r>
      <w:r>
        <w:rPr>
          <w:rFonts w:hint="default" w:ascii="仿宋_GB2312" w:hAnsi="宋体" w:eastAsia="仿宋_GB2312"/>
          <w:sz w:val="32"/>
          <w:szCs w:val="32"/>
          <w:lang w:val="en-US" w:eastAsia="zh-CN"/>
        </w:rPr>
        <w:t>预算管理方面</w:t>
      </w:r>
      <w:r>
        <w:rPr>
          <w:rFonts w:hint="eastAsia" w:ascii="仿宋_GB2312" w:hAnsi="宋体" w:eastAsia="仿宋_GB2312"/>
          <w:sz w:val="32"/>
          <w:szCs w:val="32"/>
          <w:lang w:val="en-US" w:eastAsia="zh-CN"/>
        </w:rPr>
        <w:t>：</w:t>
      </w:r>
      <w:r>
        <w:rPr>
          <w:rFonts w:hint="default" w:ascii="仿宋_GB2312" w:hAnsi="宋体" w:eastAsia="仿宋_GB2312"/>
          <w:sz w:val="32"/>
          <w:szCs w:val="32"/>
          <w:lang w:val="en-US" w:eastAsia="zh-CN"/>
        </w:rPr>
        <w:t>支出总额控制在预算总额以内，制度执行总体较为有效，但仍需进一步强化，资金使用管理需进一步加强。</w:t>
      </w:r>
    </w:p>
    <w:p>
      <w:pPr>
        <w:widowControl/>
        <w:adjustRightInd w:val="0"/>
        <w:snapToGrid w:val="0"/>
        <w:spacing w:line="580" w:lineRule="exact"/>
        <w:ind w:firstLine="640" w:firstLineChars="200"/>
        <w:contextualSpacing/>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内控制度管理情况：成立了内控工作领导小组，完成了内部控制基础性评价工作，确定了内部控制建立与实施的重点工作和改进方向。在经费管理方面，坚持“先预算，后支出”，实行预算全覆盖，各项收入和支出全部纳入预算管理，统筹安排使用，优化使用结构，保证重点项目实施。严格执行《政府采购法》，按照政府采购的标准和要求执行政府采购工作。 </w:t>
      </w:r>
      <w:r>
        <w:rPr>
          <w:rFonts w:hint="default" w:ascii="仿宋_GB2312" w:hAnsi="宋体" w:eastAsia="仿宋_GB2312"/>
          <w:sz w:val="32"/>
          <w:szCs w:val="32"/>
          <w:lang w:val="en-US" w:eastAsia="zh-CN"/>
        </w:rPr>
        <w:t>进一步优化支出结构，控制三公经费支出，压缩一般性支出，坚决抵制铺张浪费行为，降低政府运行成本，从财政自身做起，合理调度财政资金，保证政府机构正常的工作运转，实现财政资金利益最大化。</w:t>
      </w:r>
    </w:p>
    <w:p>
      <w:pPr>
        <w:widowControl/>
        <w:adjustRightInd w:val="0"/>
        <w:snapToGrid w:val="0"/>
        <w:spacing w:line="580" w:lineRule="exact"/>
        <w:ind w:firstLine="640" w:firstLineChars="200"/>
        <w:contextualSpacing/>
        <w:jc w:val="both"/>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（二）项目预算管理。</w:t>
      </w:r>
    </w:p>
    <w:p>
      <w:pPr>
        <w:pStyle w:val="2"/>
        <w:numPr>
          <w:ilvl w:val="0"/>
          <w:numId w:val="0"/>
        </w:numPr>
        <w:ind w:firstLine="640" w:firstLineChars="200"/>
        <w:jc w:val="both"/>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1.德古调解始终</w:t>
      </w:r>
      <w:r>
        <w:rPr>
          <w:rFonts w:hint="eastAsia" w:ascii="仿宋_GB2312" w:eastAsia="仿宋_GB2312"/>
          <w:sz w:val="32"/>
          <w:szCs w:val="32"/>
        </w:rPr>
        <w:t>坚持中国共产党的领导，遵守宪法、法律法规和国家政策及村规民约，紧紧围绕县委第八次党代会提出的“14475”发展路径，开展移风易俗、“双高”治理、人民调解等工作，有效化解矛盾，构建和谐社会。</w:t>
      </w:r>
      <w:r>
        <w:rPr>
          <w:rFonts w:hint="eastAsia" w:ascii="仿宋_GB2312" w:eastAsia="仿宋_GB2312"/>
          <w:sz w:val="32"/>
          <w:szCs w:val="32"/>
          <w:lang w:val="en-US" w:eastAsia="zh-CN"/>
        </w:rPr>
        <w:t>2021</w:t>
      </w:r>
      <w:r>
        <w:rPr>
          <w:rFonts w:hint="eastAsia" w:ascii="仿宋_GB2312" w:hAnsi="宋体" w:eastAsia="仿宋_GB2312"/>
          <w:color w:val="auto"/>
          <w:sz w:val="32"/>
          <w:szCs w:val="32"/>
          <w:highlight w:val="none"/>
          <w:lang w:val="en-US" w:eastAsia="zh-CN"/>
        </w:rPr>
        <w:t>德古调解经费支出20.87万元，提高“德古”调解质量，将矛盾化解在基层，防止矛盾纠纷从民事转化为刑事案件，有效维护了彝区和谐稳定，增进了民族团结进步，营造出良好法治氛围，进一步提高了“德古”调解员的积极性和主动性，为群众减轻了经济负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2.中央和省级政法转移支付资金主要支出项目为：基层司法所办案，人民调解、普法宣传、安置帮教、社区矫正等与司法行政机关办理案件和开展业务直接相关的办案支出、基层司法所规范化建设所需业务装备采购费用，信息通信设备经费、宣传设备经费等。2021年我局基本完成预定目标，且做到专款专用，加强资金管控，节约了成本，提高了资金使用效率。</w:t>
      </w:r>
    </w:p>
    <w:p>
      <w:pPr>
        <w:pStyle w:val="2"/>
        <w:numPr>
          <w:ilvl w:val="0"/>
          <w:numId w:val="0"/>
        </w:numPr>
        <w:ind w:firstLine="640" w:firstLineChars="200"/>
        <w:jc w:val="both"/>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3.驻村工作队工作经费主要是为了保障我局2名驻村工作队队员在驻村过程中的生活补助和购置生活用品等费用，2021年我局严格按照资金使用目标，严格按照资金拨付流程，对联系村脱贫工作给予一定的帮助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4.移风易俗经费是为了进一步落实我县司法行政系统移风易俗工作，引导群众树立更新思想观念，革除陈规陋习，带动社会风气向上向善。2021年我局制作“守法星”标识标牌，严格经费管理，强化监督管理，形成了良好的法治氛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5.一村一法律顾问经费是根据</w:t>
      </w:r>
      <w:r>
        <w:rPr>
          <w:rFonts w:hint="eastAsia" w:ascii="仿宋_GB2312" w:hAnsi="仿宋_GB2312" w:eastAsia="仿宋_GB2312" w:cs="仿宋_GB2312"/>
          <w:sz w:val="32"/>
          <w:szCs w:val="32"/>
          <w:lang w:val="en-US" w:eastAsia="zh-CN"/>
        </w:rPr>
        <w:t>2020年市局转发了省厅《关于规范和加强村（社区）法律顾问工作的意见》（川司法办发〔2020〕47号）文件精神，着力提高基层依法治理能力，全面推动乡村振兴，按照县委、县政府关于统一采购法律服务的要求，县司法局牵头以“询价采购”方式为全县各村（社区）采购法律服务团，约定由律师事务所指派专职律师为全县村（社区）提供法律服务。2021年我局为</w:t>
      </w:r>
      <w:r>
        <w:rPr>
          <w:rFonts w:hint="eastAsia" w:ascii="仿宋_GB2312" w:hAnsi="仿宋_GB2312" w:eastAsia="仿宋_GB2312" w:cs="仿宋_GB2312"/>
          <w:color w:val="auto"/>
          <w:kern w:val="2"/>
          <w:sz w:val="32"/>
          <w:szCs w:val="32"/>
          <w:lang w:val="en-US" w:eastAsia="zh-CN" w:bidi="ar-SA"/>
        </w:rPr>
        <w:t>全县99个村和社区聘请了法律顾问，开展法律咨询、普法宣传、人民调解和法律援助，化解矛盾纠纷等，</w:t>
      </w:r>
      <w:r>
        <w:rPr>
          <w:rFonts w:hint="eastAsia" w:ascii="仿宋_GB2312" w:hAnsi="仿宋_GB2312" w:eastAsia="仿宋_GB2312" w:cs="仿宋_GB2312"/>
          <w:sz w:val="32"/>
          <w:szCs w:val="32"/>
          <w:lang w:val="en-US" w:eastAsia="zh-CN"/>
        </w:rPr>
        <w:t>提高了基层依法治理水平，提高了群众满意度。</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highlight w:val="yellow"/>
          <w:lang w:val="en-US"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宋体" w:eastAsia="楷体_GB2312" w:cs="宋体"/>
          <w:color w:val="000000"/>
          <w:kern w:val="0"/>
          <w:szCs w:val="32"/>
          <w:shd w:val="clear" w:color="auto" w:fill="FFFFFF"/>
          <w:lang w:val="zh-CN"/>
        </w:rPr>
        <w:t>结果应用情况。</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1、信息公开情况：根据县财政局统一安排，我们在规定时间按照统一格式、内容、口径在单位门户网站公开了2021年部门预算、信息，做到基础数据真实、准确、完整。</w:t>
      </w:r>
    </w:p>
    <w:p>
      <w:pPr>
        <w:pStyle w:val="2"/>
        <w:ind w:firstLine="640" w:firstLineChars="200"/>
        <w:jc w:val="both"/>
        <w:rPr>
          <w:lang w:val="zh-CN"/>
        </w:rPr>
      </w:pPr>
      <w:bookmarkStart w:id="0" w:name="_GoBack"/>
      <w:bookmarkEnd w:id="0"/>
      <w:r>
        <w:rPr>
          <w:rFonts w:hint="eastAsia" w:ascii="仿宋_GB2312" w:hAnsi="宋体" w:eastAsia="仿宋_GB2312"/>
          <w:sz w:val="32"/>
          <w:szCs w:val="32"/>
          <w:lang w:val="en-US" w:eastAsia="zh-CN"/>
        </w:rPr>
        <w:t>2、结果运用情况：2021</w:t>
      </w:r>
      <w:r>
        <w:rPr>
          <w:rFonts w:hint="eastAsia" w:ascii="仿宋_GB2312" w:hAnsi="宋体" w:eastAsia="仿宋_GB2312"/>
          <w:sz w:val="32"/>
          <w:szCs w:val="32"/>
        </w:rPr>
        <w:t>年，根据我</w:t>
      </w:r>
      <w:r>
        <w:rPr>
          <w:rFonts w:hint="eastAsia" w:ascii="仿宋_GB2312" w:hAnsi="宋体" w:eastAsia="仿宋_GB2312"/>
          <w:sz w:val="32"/>
          <w:szCs w:val="32"/>
          <w:lang w:eastAsia="zh-CN"/>
        </w:rPr>
        <w:t>局</w:t>
      </w:r>
      <w:r>
        <w:rPr>
          <w:rFonts w:hint="eastAsia" w:ascii="仿宋_GB2312" w:hAnsi="宋体" w:eastAsia="仿宋_GB2312"/>
          <w:sz w:val="32"/>
          <w:szCs w:val="32"/>
        </w:rPr>
        <w:t>年初工作规划和重点工作，围绕</w:t>
      </w:r>
      <w:r>
        <w:rPr>
          <w:rFonts w:hint="eastAsia" w:ascii="仿宋_GB2312" w:hAnsi="宋体" w:eastAsia="仿宋_GB2312"/>
          <w:sz w:val="32"/>
          <w:szCs w:val="32"/>
          <w:lang w:eastAsia="zh-CN"/>
        </w:rPr>
        <w:t>县</w:t>
      </w:r>
      <w:r>
        <w:rPr>
          <w:rFonts w:hint="eastAsia" w:ascii="仿宋_GB2312" w:hAnsi="宋体" w:eastAsia="仿宋_GB2312"/>
          <w:sz w:val="32"/>
          <w:szCs w:val="32"/>
        </w:rPr>
        <w:t>委、</w:t>
      </w:r>
      <w:r>
        <w:rPr>
          <w:rFonts w:hint="eastAsia" w:ascii="仿宋_GB2312" w:hAnsi="宋体" w:eastAsia="仿宋_GB2312"/>
          <w:sz w:val="32"/>
          <w:szCs w:val="32"/>
          <w:lang w:eastAsia="zh-CN"/>
        </w:rPr>
        <w:t>县</w:t>
      </w:r>
      <w:r>
        <w:rPr>
          <w:rFonts w:hint="eastAsia" w:ascii="仿宋_GB2312" w:hAnsi="宋体" w:eastAsia="仿宋_GB2312"/>
          <w:sz w:val="32"/>
          <w:szCs w:val="32"/>
        </w:rPr>
        <w:t>政府的工作部署，积极履行职责，强化管理，较好地完成了年度工作目标，同时加强预算收支的管理，建立健全内部管理制度，严格内部管理流程，部门整体支出管理得到了提升。</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根据《峨边彝族自治县财政局 关于开展20</w:t>
      </w:r>
      <w:r>
        <w:rPr>
          <w:rFonts w:hint="eastAsia" w:ascii="仿宋_GB2312" w:hAnsi="宋体" w:eastAsia="仿宋_GB2312"/>
          <w:sz w:val="32"/>
          <w:szCs w:val="32"/>
          <w:lang w:val="en-US" w:eastAsia="zh-CN"/>
        </w:rPr>
        <w:t>22</w:t>
      </w:r>
      <w:r>
        <w:rPr>
          <w:rFonts w:hint="eastAsia" w:ascii="仿宋_GB2312" w:hAnsi="宋体" w:eastAsia="仿宋_GB2312"/>
          <w:sz w:val="32"/>
          <w:szCs w:val="32"/>
          <w:lang w:val="zh-CN"/>
        </w:rPr>
        <w:t>年财政绩效评价工作的通知》文件精神，</w:t>
      </w:r>
      <w:r>
        <w:rPr>
          <w:rFonts w:hint="eastAsia" w:ascii="仿宋_GB2312" w:hAnsi="宋体" w:eastAsia="仿宋_GB2312"/>
          <w:sz w:val="32"/>
          <w:szCs w:val="32"/>
          <w:lang w:val="en-US" w:eastAsia="zh-CN"/>
        </w:rPr>
        <w:t>我局认真组织开展了部门整体支出绩效评价工作，绩效评价</w:t>
      </w:r>
      <w:r>
        <w:rPr>
          <w:rFonts w:hint="eastAsia" w:ascii="仿宋_GB2312" w:hAnsi="宋体" w:eastAsia="仿宋_GB2312"/>
          <w:sz w:val="32"/>
          <w:szCs w:val="32"/>
          <w:lang w:val="zh-CN"/>
        </w:rPr>
        <w:t>得分</w:t>
      </w: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lang w:val="en-US" w:eastAsia="zh-CN"/>
        </w:rPr>
        <w:t>97</w:t>
      </w:r>
      <w:r>
        <w:rPr>
          <w:rFonts w:hint="eastAsia" w:ascii="仿宋_GB2312" w:hAnsi="宋体" w:eastAsia="仿宋_GB2312"/>
          <w:sz w:val="32"/>
          <w:szCs w:val="32"/>
          <w:highlight w:val="none"/>
          <w:lang w:val="zh-CN"/>
        </w:rPr>
        <w:t>分。</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（二）存在问题</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1、部分项目资金支付进度滞后。</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（三）改进建议</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3、进一步加强项目资金管理。严格实行项目管理程序化，实现项目申报、实施、拨付、评价全流程监督与控制，规范专项资金管理，提高专项资金的使用效益。</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峨边彝族自治县司法局</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default" w:ascii="仿宋_GB2312" w:hAnsi="宋体" w:eastAsia="仿宋_GB2312"/>
          <w:sz w:val="32"/>
          <w:szCs w:val="32"/>
          <w:lang w:val="zh-CN" w:eastAsia="zh-CN"/>
        </w:rPr>
      </w:pPr>
      <w:r>
        <w:rPr>
          <w:rFonts w:hint="eastAsia" w:ascii="仿宋_GB2312" w:hAnsi="宋体" w:eastAsia="仿宋_GB2312"/>
          <w:sz w:val="32"/>
          <w:szCs w:val="32"/>
          <w:lang w:val="en-US" w:eastAsia="zh-CN"/>
        </w:rPr>
        <w:t xml:space="preserve">                                   2022年7月20日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ZjMzcxMmRmZjdiZmM1MGM1N2IzZDlkMzk1Mm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15AA4"/>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2D0956"/>
    <w:rsid w:val="03946B2A"/>
    <w:rsid w:val="189C5A5E"/>
    <w:rsid w:val="19927F78"/>
    <w:rsid w:val="21AE59D8"/>
    <w:rsid w:val="286F56EA"/>
    <w:rsid w:val="2B0E1ECB"/>
    <w:rsid w:val="2D527252"/>
    <w:rsid w:val="329102D6"/>
    <w:rsid w:val="3A9520B3"/>
    <w:rsid w:val="3DBD4858"/>
    <w:rsid w:val="3DE562B7"/>
    <w:rsid w:val="3E6507EA"/>
    <w:rsid w:val="439E2535"/>
    <w:rsid w:val="4598159F"/>
    <w:rsid w:val="47550EBA"/>
    <w:rsid w:val="4B3A7D12"/>
    <w:rsid w:val="50BB3388"/>
    <w:rsid w:val="54142E64"/>
    <w:rsid w:val="5FFD5232"/>
    <w:rsid w:val="6636451A"/>
    <w:rsid w:val="6BE94116"/>
    <w:rsid w:val="6FDA2517"/>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line="700" w:lineRule="exact"/>
      <w:jc w:val="center"/>
    </w:pPr>
    <w:rPr>
      <w:rFonts w:eastAsia="方正小标宋简体"/>
      <w:color w:val="000000"/>
      <w:kern w:val="0"/>
      <w:sz w:val="44"/>
      <w:szCs w:val="44"/>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1733</Words>
  <Characters>1800</Characters>
  <Lines>2</Lines>
  <Paragraphs>1</Paragraphs>
  <TotalTime>9</TotalTime>
  <ScaleCrop>false</ScaleCrop>
  <LinksUpToDate>false</LinksUpToDate>
  <CharactersWithSpaces>1878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2022-08-01T09:50:15Z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1D7BDAA9089C4D3A962E15E84F69E805</vt:lpwstr>
  </property>
</Properties>
</file>