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1228E">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BAA6E8A">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峨边彝族自治县市场监督管理局</w:t>
      </w:r>
    </w:p>
    <w:p w14:paraId="103DF9F9">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62F74817">
      <w:pPr>
        <w:jc w:val="center"/>
        <w:rPr>
          <w:rFonts w:hint="eastAsia" w:ascii="方正小标宋简体" w:hAnsi="方正小标宋简体" w:eastAsia="方正小标宋简体" w:cs="方正小标宋简体"/>
          <w:b w:val="0"/>
          <w:bCs/>
          <w:sz w:val="52"/>
          <w:szCs w:val="52"/>
          <w:lang w:val="en-US" w:eastAsia="zh-CN"/>
        </w:rPr>
      </w:pPr>
    </w:p>
    <w:p w14:paraId="68269E63">
      <w:pPr>
        <w:jc w:val="both"/>
        <w:rPr>
          <w:rFonts w:hint="default"/>
          <w:b/>
          <w:bCs/>
          <w:sz w:val="52"/>
          <w:szCs w:val="52"/>
          <w:lang w:val="en-US" w:eastAsia="zh-CN"/>
        </w:rPr>
      </w:pPr>
    </w:p>
    <w:p w14:paraId="56B4AD58">
      <w:pPr>
        <w:jc w:val="both"/>
        <w:rPr>
          <w:rFonts w:hint="default"/>
          <w:b/>
          <w:bCs/>
          <w:sz w:val="52"/>
          <w:szCs w:val="52"/>
          <w:lang w:val="en-US" w:eastAsia="zh-CN"/>
        </w:rPr>
      </w:pPr>
    </w:p>
    <w:p w14:paraId="495371E8">
      <w:pPr>
        <w:jc w:val="both"/>
        <w:rPr>
          <w:rFonts w:hint="default"/>
          <w:b/>
          <w:bCs/>
          <w:sz w:val="52"/>
          <w:szCs w:val="52"/>
          <w:lang w:val="en-US" w:eastAsia="zh-CN"/>
        </w:rPr>
      </w:pPr>
    </w:p>
    <w:p w14:paraId="078FF35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thick"/>
          <w:lang w:val="en-US" w:eastAsia="zh-CN"/>
        </w:rPr>
        <w:t>峨边彝族自治县市场监督管理局</w:t>
      </w:r>
    </w:p>
    <w:p w14:paraId="10391747">
      <w:pPr>
        <w:ind w:left="0" w:leftChars="0" w:firstLine="0" w:firstLineChars="0"/>
        <w:jc w:val="both"/>
        <w:rPr>
          <w:rFonts w:hint="default"/>
          <w:b/>
          <w:bCs/>
          <w:sz w:val="32"/>
          <w:szCs w:val="32"/>
          <w:lang w:val="en-US" w:eastAsia="zh-CN"/>
        </w:rPr>
      </w:pPr>
    </w:p>
    <w:p w14:paraId="5382B3E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 20 日</w:t>
      </w:r>
    </w:p>
    <w:p w14:paraId="21DC9B8F">
      <w:pPr>
        <w:jc w:val="both"/>
        <w:rPr>
          <w:rFonts w:hint="eastAsia"/>
          <w:b/>
          <w:bCs/>
          <w:sz w:val="32"/>
          <w:szCs w:val="32"/>
          <w:lang w:val="en-US" w:eastAsia="zh-CN"/>
        </w:rPr>
      </w:pPr>
    </w:p>
    <w:p w14:paraId="50F93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33F2B00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E6A30A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峨边彝族自治县市场监督管理局部门概况</w:t>
      </w:r>
    </w:p>
    <w:p w14:paraId="58B7B18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1869AB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5159DB0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峨边彝族自治县市场监督管理局2026年部门预算表</w:t>
      </w:r>
    </w:p>
    <w:p w14:paraId="4151326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2B91A8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06A3B8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4CAC03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1DA301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7A62F9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8DCE51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CE0AB9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F110F9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F66FAC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DC8342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F04EB7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2DED9F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0C8CFE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D869EA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61FED2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峨边彝族自治县市场监督管理局2026年部门预算情况说明</w:t>
      </w:r>
    </w:p>
    <w:p w14:paraId="5342EDA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A1269E7">
      <w:pPr>
        <w:pStyle w:val="2"/>
        <w:rPr>
          <w:rFonts w:hint="eastAsia" w:ascii="黑体" w:hAnsi="黑体" w:eastAsia="黑体" w:cs="黑体"/>
          <w:b w:val="0"/>
          <w:bCs w:val="0"/>
          <w:sz w:val="32"/>
          <w:szCs w:val="32"/>
          <w:lang w:val="en-US" w:eastAsia="zh-CN"/>
        </w:rPr>
      </w:pPr>
    </w:p>
    <w:p w14:paraId="591FE9FF">
      <w:pPr>
        <w:pStyle w:val="2"/>
        <w:rPr>
          <w:rFonts w:hint="eastAsia" w:ascii="黑体" w:hAnsi="黑体" w:eastAsia="黑体" w:cs="黑体"/>
          <w:b w:val="0"/>
          <w:bCs w:val="0"/>
          <w:sz w:val="32"/>
          <w:szCs w:val="32"/>
          <w:lang w:val="en-US" w:eastAsia="zh-CN"/>
        </w:rPr>
      </w:pPr>
    </w:p>
    <w:p w14:paraId="705352A5">
      <w:pPr>
        <w:pStyle w:val="2"/>
        <w:rPr>
          <w:rFonts w:hint="eastAsia" w:ascii="黑体" w:hAnsi="黑体" w:eastAsia="黑体" w:cs="黑体"/>
          <w:b w:val="0"/>
          <w:bCs w:val="0"/>
          <w:sz w:val="32"/>
          <w:szCs w:val="32"/>
          <w:lang w:val="en-US" w:eastAsia="zh-CN"/>
        </w:rPr>
      </w:pPr>
    </w:p>
    <w:p w14:paraId="525C48D2">
      <w:pPr>
        <w:pStyle w:val="3"/>
        <w:numPr>
          <w:ilvl w:val="0"/>
          <w:numId w:val="0"/>
        </w:numPr>
        <w:bidi w:val="0"/>
        <w:ind w:left="2600" w:hanging="2600" w:hangingChars="500"/>
        <w:jc w:val="both"/>
        <w:rPr>
          <w:rFonts w:hint="eastAsia" w:ascii="方正小标宋简体" w:hAnsi="方正小标宋简体" w:eastAsia="方正小标宋简体" w:cs="方正小标宋简体"/>
          <w:b w:val="0"/>
          <w:bCs/>
          <w:lang w:val="en-US" w:eastAsia="zh-CN"/>
        </w:rPr>
      </w:pPr>
    </w:p>
    <w:p w14:paraId="5969122A">
      <w:pPr>
        <w:pStyle w:val="3"/>
        <w:numPr>
          <w:ilvl w:val="0"/>
          <w:numId w:val="0"/>
        </w:numPr>
        <w:bidi w:val="0"/>
        <w:ind w:left="2600" w:hanging="2600" w:hangingChars="5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峨边彝族自治县市场监督管理局概况</w:t>
      </w:r>
    </w:p>
    <w:p w14:paraId="32EB3795">
      <w:pPr>
        <w:widowControl w:val="0"/>
        <w:numPr>
          <w:ilvl w:val="0"/>
          <w:numId w:val="0"/>
        </w:numPr>
        <w:jc w:val="both"/>
        <w:rPr>
          <w:rFonts w:hint="default"/>
          <w:b/>
          <w:bCs/>
          <w:sz w:val="52"/>
          <w:szCs w:val="52"/>
          <w:lang w:val="en-US" w:eastAsia="zh-CN"/>
        </w:rPr>
      </w:pPr>
    </w:p>
    <w:p w14:paraId="5E545E87">
      <w:pPr>
        <w:widowControl w:val="0"/>
        <w:numPr>
          <w:ilvl w:val="0"/>
          <w:numId w:val="0"/>
        </w:numPr>
        <w:jc w:val="both"/>
        <w:rPr>
          <w:rFonts w:hint="default"/>
          <w:b/>
          <w:bCs/>
          <w:sz w:val="52"/>
          <w:szCs w:val="52"/>
          <w:lang w:val="en-US" w:eastAsia="zh-CN"/>
        </w:rPr>
      </w:pPr>
    </w:p>
    <w:p w14:paraId="65FE85BE">
      <w:pPr>
        <w:widowControl w:val="0"/>
        <w:numPr>
          <w:ilvl w:val="0"/>
          <w:numId w:val="0"/>
        </w:numPr>
        <w:jc w:val="both"/>
        <w:rPr>
          <w:rFonts w:hint="default"/>
          <w:b/>
          <w:bCs/>
          <w:sz w:val="52"/>
          <w:szCs w:val="52"/>
          <w:lang w:val="en-US" w:eastAsia="zh-CN"/>
        </w:rPr>
      </w:pPr>
    </w:p>
    <w:p w14:paraId="03878C90">
      <w:pPr>
        <w:bidi w:val="0"/>
        <w:rPr>
          <w:rFonts w:hint="eastAsia" w:ascii="黑体" w:hAnsi="黑体" w:eastAsia="黑体" w:cs="黑体"/>
          <w:lang w:val="en-US" w:eastAsia="zh-CN"/>
        </w:rPr>
      </w:pPr>
    </w:p>
    <w:p w14:paraId="512B54A0">
      <w:pPr>
        <w:pStyle w:val="2"/>
        <w:rPr>
          <w:rFonts w:hint="eastAsia" w:ascii="黑体" w:hAnsi="黑体" w:eastAsia="黑体" w:cs="黑体"/>
          <w:lang w:val="en-US" w:eastAsia="zh-CN"/>
        </w:rPr>
      </w:pPr>
    </w:p>
    <w:p w14:paraId="192D3706">
      <w:pPr>
        <w:pStyle w:val="2"/>
        <w:rPr>
          <w:rFonts w:hint="eastAsia" w:ascii="黑体" w:hAnsi="黑体" w:eastAsia="黑体" w:cs="黑体"/>
          <w:lang w:val="en-US" w:eastAsia="zh-CN"/>
        </w:rPr>
      </w:pPr>
    </w:p>
    <w:p w14:paraId="3CAF6445">
      <w:pPr>
        <w:pStyle w:val="2"/>
        <w:rPr>
          <w:rFonts w:hint="eastAsia" w:ascii="黑体" w:hAnsi="黑体" w:eastAsia="黑体" w:cs="黑体"/>
          <w:lang w:val="en-US" w:eastAsia="zh-CN"/>
        </w:rPr>
      </w:pPr>
    </w:p>
    <w:p w14:paraId="2FBBE625">
      <w:pPr>
        <w:pStyle w:val="2"/>
        <w:rPr>
          <w:rFonts w:hint="eastAsia" w:ascii="黑体" w:hAnsi="黑体" w:eastAsia="黑体" w:cs="黑体"/>
          <w:lang w:val="en-US" w:eastAsia="zh-CN"/>
        </w:rPr>
      </w:pPr>
    </w:p>
    <w:p w14:paraId="677567E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5B97EF2">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7A4DC290">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w:t>
      </w:r>
      <w:r>
        <w:rPr>
          <w:rFonts w:hint="default" w:ascii="仿宋" w:hAnsi="仿宋" w:eastAsia="仿宋" w:cs="Times New Roman"/>
          <w:color w:val="auto"/>
          <w:kern w:val="2"/>
          <w:sz w:val="32"/>
          <w:szCs w:val="32"/>
          <w:lang w:val="en-US" w:eastAsia="zh-CN" w:bidi="ar-SA"/>
        </w:rPr>
        <w:t>负责全县市场综合监督管理工作。组织实施质量强县、食品安全、标准化和知识产权战略，拟订并组织实施全县食品安全等规划，规范和维护市场秩序，营造诚实守信、公平竞争的市场环境。</w:t>
      </w:r>
    </w:p>
    <w:p w14:paraId="0107AC24">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w:t>
      </w:r>
      <w:r>
        <w:rPr>
          <w:rFonts w:hint="default" w:ascii="仿宋" w:hAnsi="仿宋" w:eastAsia="仿宋" w:cs="Times New Roman"/>
          <w:color w:val="auto"/>
          <w:kern w:val="2"/>
          <w:sz w:val="32"/>
          <w:szCs w:val="32"/>
          <w:lang w:val="en-US" w:eastAsia="zh-CN" w:bidi="ar-SA"/>
        </w:rPr>
        <w:t>负责全县市场主体统一登记注册工作。负责各类企业、 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14:paraId="34492E17">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w:t>
      </w:r>
      <w:r>
        <w:rPr>
          <w:rFonts w:hint="default" w:ascii="仿宋" w:hAnsi="仿宋" w:eastAsia="仿宋" w:cs="Times New Roman"/>
          <w:color w:val="auto"/>
          <w:kern w:val="2"/>
          <w:sz w:val="32"/>
          <w:szCs w:val="32"/>
          <w:lang w:val="en-US" w:eastAsia="zh-CN" w:bidi="ar-SA"/>
        </w:rPr>
        <w:t>负责组织和指导全县市场监督管理综合执法工作。规范市场监督管理行政执法行为。开展反垄断工作。负责市场监督管理行政复议的办理和行政诉讼的应诉工作；负责市场监督管理行政执法与刑事司法衔接工作；负责市场监督管理行政许可及相关行政服务信息共享工作；负责处理行政审批、综合行政执法等部门提出的事中事后监管建议意见。</w:t>
      </w:r>
    </w:p>
    <w:p w14:paraId="4D2BFF63">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4.</w:t>
      </w:r>
      <w:r>
        <w:rPr>
          <w:rFonts w:hint="default" w:ascii="仿宋" w:hAnsi="仿宋" w:eastAsia="仿宋" w:cs="Times New Roman"/>
          <w:color w:val="auto"/>
          <w:kern w:val="2"/>
          <w:sz w:val="32"/>
          <w:szCs w:val="32"/>
          <w:lang w:val="en-US" w:eastAsia="zh-CN" w:bidi="ar-SA"/>
        </w:rPr>
        <w:t>负责监督管理全县市场秩序。依法监督管理市场交易、 网络商品交易及有关服务的行为。负责全县价格监督检查工作， 组织指导查处价格收费违法违规、不正当竞争、违法直销、传销、侵犯商标专利知识产权和制售假冒伪劣行为。指导广告业发展， 监督管理广告活动。依法查处无照生产经营和相关无证生产经营行为。指导县保护消费者权益委员会开展消费维权工作。</w:t>
      </w:r>
    </w:p>
    <w:p w14:paraId="3CC03B9F">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5.</w:t>
      </w:r>
      <w:r>
        <w:rPr>
          <w:rFonts w:hint="default" w:ascii="仿宋" w:hAnsi="仿宋" w:eastAsia="仿宋" w:cs="Times New Roman"/>
          <w:color w:val="auto"/>
          <w:kern w:val="2"/>
          <w:sz w:val="32"/>
          <w:szCs w:val="32"/>
          <w:lang w:val="en-US" w:eastAsia="zh-CN" w:bidi="ar-SA"/>
        </w:rPr>
        <w:t>负责全县宏观质量管理。拟订并组织实施质量发展的制度措施。统筹全县质量基础设施建设与应用。会同有关部门组织实施重大工程设备质量监理制度</w:t>
      </w:r>
      <w:r>
        <w:rPr>
          <w:rFonts w:hint="eastAsia" w:ascii="仿宋" w:hAnsi="仿宋" w:eastAsia="仿宋" w:cs="Times New Roman"/>
          <w:color w:val="auto"/>
          <w:kern w:val="2"/>
          <w:sz w:val="32"/>
          <w:szCs w:val="32"/>
          <w:lang w:val="en-US" w:eastAsia="zh-CN" w:bidi="ar-SA"/>
        </w:rPr>
        <w:t>，</w:t>
      </w:r>
      <w:r>
        <w:rPr>
          <w:rFonts w:hint="default" w:ascii="仿宋" w:hAnsi="仿宋" w:eastAsia="仿宋" w:cs="Times New Roman"/>
          <w:color w:val="auto"/>
          <w:kern w:val="2"/>
          <w:sz w:val="32"/>
          <w:szCs w:val="32"/>
          <w:lang w:val="en-US" w:eastAsia="zh-CN" w:bidi="ar-SA"/>
        </w:rPr>
        <w:t>组织重大产品质量事故调查，贯彻实施缺陷产品召回制度</w:t>
      </w:r>
      <w:r>
        <w:rPr>
          <w:rFonts w:hint="eastAsia" w:ascii="仿宋" w:hAnsi="仿宋" w:eastAsia="仿宋" w:cs="Times New Roman"/>
          <w:color w:val="auto"/>
          <w:kern w:val="2"/>
          <w:sz w:val="32"/>
          <w:szCs w:val="32"/>
          <w:lang w:val="en-US" w:eastAsia="zh-CN" w:bidi="ar-SA"/>
        </w:rPr>
        <w:t>，</w:t>
      </w:r>
      <w:r>
        <w:rPr>
          <w:rFonts w:hint="default" w:ascii="仿宋" w:hAnsi="仿宋" w:eastAsia="仿宋" w:cs="Times New Roman"/>
          <w:color w:val="auto"/>
          <w:kern w:val="2"/>
          <w:sz w:val="32"/>
          <w:szCs w:val="32"/>
          <w:lang w:val="en-US" w:eastAsia="zh-CN" w:bidi="ar-SA"/>
        </w:rPr>
        <w:t>监督管理产品防伪工作。</w:t>
      </w:r>
    </w:p>
    <w:p w14:paraId="1FD8AF20">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6.</w:t>
      </w:r>
      <w:r>
        <w:rPr>
          <w:rFonts w:hint="default" w:ascii="仿宋" w:hAnsi="仿宋" w:eastAsia="仿宋" w:cs="Times New Roman"/>
          <w:color w:val="auto"/>
          <w:kern w:val="2"/>
          <w:sz w:val="32"/>
          <w:szCs w:val="32"/>
          <w:lang w:val="en-US" w:eastAsia="zh-CN" w:bidi="ar-SA"/>
        </w:rPr>
        <w:t>负责全县产品质量安全监督管理。负责产品质量监督抽查和风险监控工作，组织实施质量分级制度、质量安全追溯制度。负责工业产品生产许可管理。负责纤维质量监督工作。</w:t>
      </w:r>
    </w:p>
    <w:p w14:paraId="7649CB52">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7.</w:t>
      </w:r>
      <w:r>
        <w:rPr>
          <w:rFonts w:hint="default" w:ascii="仿宋" w:hAnsi="仿宋" w:eastAsia="仿宋" w:cs="Times New Roman"/>
          <w:color w:val="auto"/>
          <w:kern w:val="2"/>
          <w:sz w:val="32"/>
          <w:szCs w:val="32"/>
          <w:lang w:val="en-US" w:eastAsia="zh-CN" w:bidi="ar-SA"/>
        </w:rPr>
        <w:t>负责全县特种设备安全监督管理。综合管理特种设备安全监察、监督工作，监督检查高耗能特种设备节能标准和锅炉产品环境保护标准的执行情况。</w:t>
      </w:r>
    </w:p>
    <w:p w14:paraId="07E455A5">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8.</w:t>
      </w:r>
      <w:r>
        <w:rPr>
          <w:rFonts w:hint="default" w:ascii="仿宋" w:hAnsi="仿宋" w:eastAsia="仿宋" w:cs="Times New Roman"/>
          <w:color w:val="auto"/>
          <w:kern w:val="2"/>
          <w:sz w:val="32"/>
          <w:szCs w:val="32"/>
          <w:lang w:val="en-US" w:eastAsia="zh-CN" w:bidi="ar-SA"/>
        </w:rPr>
        <w:t>负责全县食品安全监督管理综合协调。统筹指导全县食品安全工作。负责食品安全应急体系建设，组织指导重大食品安全事件应急处置和调查处理工作。建立健全食品安全重要信息直报制度。承担县食品安全委员会办公室日常工作。</w:t>
      </w:r>
    </w:p>
    <w:p w14:paraId="5EF50479">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w:t>
      </w:r>
      <w:r>
        <w:rPr>
          <w:rFonts w:hint="default" w:ascii="仿宋" w:hAnsi="仿宋" w:eastAsia="仿宋" w:cs="Times New Roman"/>
          <w:color w:val="auto"/>
          <w:kern w:val="2"/>
          <w:sz w:val="32"/>
          <w:szCs w:val="32"/>
          <w:lang w:val="en-US" w:eastAsia="zh-CN" w:bidi="ar-SA"/>
        </w:rPr>
        <w:t>负责全县食品安全监督管理。建立覆盖食品生产、流通、消费全过程的监督检查制度和隐患排查治理机制并组织实施， 防范区域性、系统性食品安全风险。推动建立食品生产经营者落实主体责任机制，健全食品安全追溯体系。指导督促食品生产经营企业的安全生产工作，组织开展食品安全监督抽检、风险监测、 核查处置和风险预警工作。组织实施特殊食品注册核查、备案和监督管理。</w:t>
      </w:r>
    </w:p>
    <w:p w14:paraId="7051858B">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w:t>
      </w:r>
      <w:r>
        <w:rPr>
          <w:rFonts w:hint="default" w:ascii="仿宋" w:hAnsi="仿宋" w:eastAsia="仿宋" w:cs="Times New Roman"/>
          <w:color w:val="auto"/>
          <w:kern w:val="2"/>
          <w:sz w:val="32"/>
          <w:szCs w:val="32"/>
          <w:lang w:val="en-US" w:eastAsia="zh-CN" w:bidi="ar-SA"/>
        </w:rPr>
        <w:t>负责统一管理全县计量工作。推行法定计量单位，执行国家计量制度，管理计量器具及量值传递和比对工作。规范、监督商品量和计量行为。</w:t>
      </w:r>
    </w:p>
    <w:p w14:paraId="1342AB08">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11.</w:t>
      </w:r>
      <w:r>
        <w:rPr>
          <w:rFonts w:hint="default" w:ascii="仿宋" w:hAnsi="仿宋" w:eastAsia="仿宋" w:cs="Times New Roman"/>
          <w:color w:val="auto"/>
          <w:kern w:val="2"/>
          <w:sz w:val="32"/>
          <w:szCs w:val="32"/>
          <w:lang w:val="en-US" w:eastAsia="zh-CN" w:bidi="ar-SA"/>
        </w:rPr>
        <w:t>负责统一管理全县标准化工作，指导企业标准制定工作。</w:t>
      </w:r>
    </w:p>
    <w:p w14:paraId="203F6D9D">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12.</w:t>
      </w:r>
      <w:r>
        <w:rPr>
          <w:rFonts w:hint="default" w:ascii="仿宋" w:hAnsi="仿宋" w:eastAsia="仿宋" w:cs="Times New Roman"/>
          <w:color w:val="auto"/>
          <w:kern w:val="2"/>
          <w:sz w:val="32"/>
          <w:szCs w:val="32"/>
          <w:lang w:val="en-US" w:eastAsia="zh-CN" w:bidi="ar-SA"/>
        </w:rPr>
        <w:t>负责统一管理全县检验检测工作。规范检验检测市场，完善检验检测体系，指导协调检验检测行业发展。</w:t>
      </w:r>
    </w:p>
    <w:p w14:paraId="47336662">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13.</w:t>
      </w:r>
      <w:r>
        <w:rPr>
          <w:rFonts w:hint="default" w:ascii="仿宋" w:hAnsi="仿宋" w:eastAsia="仿宋" w:cs="Times New Roman"/>
          <w:color w:val="auto"/>
          <w:kern w:val="2"/>
          <w:sz w:val="32"/>
          <w:szCs w:val="32"/>
          <w:lang w:val="en-US" w:eastAsia="zh-CN" w:bidi="ar-SA"/>
        </w:rPr>
        <w:t>负责统一管理全县认证认可工作。监督管理认证认可和合格评定工作。</w:t>
      </w:r>
    </w:p>
    <w:p w14:paraId="11898B5E">
      <w:pPr>
        <w:pStyle w:val="6"/>
        <w:keepNext w:val="0"/>
        <w:keepLines w:val="0"/>
        <w:pageBreakBefore w:val="0"/>
        <w:widowControl w:val="0"/>
        <w:kinsoku/>
        <w:wordWrap/>
        <w:overflowPunct/>
        <w:topLinePunct w:val="0"/>
        <w:autoSpaceDE/>
        <w:autoSpaceDN/>
        <w:bidi w:val="0"/>
        <w:adjustRightInd/>
        <w:snapToGrid/>
        <w:spacing w:beforeLines="0" w:line="600" w:lineRule="exact"/>
        <w:ind w:left="0" w:leftChars="0" w:right="0" w:firstLine="640" w:firstLineChars="200"/>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14.</w:t>
      </w:r>
      <w:r>
        <w:rPr>
          <w:rFonts w:hint="default" w:ascii="仿宋" w:hAnsi="仿宋" w:eastAsia="仿宋" w:cs="Times New Roman"/>
          <w:color w:val="auto"/>
          <w:kern w:val="2"/>
          <w:sz w:val="32"/>
          <w:szCs w:val="32"/>
          <w:lang w:val="en-US" w:eastAsia="zh-CN" w:bidi="ar-SA"/>
        </w:rPr>
        <w:t>负责市场监督管理科技和信息化建设、新闻宣传。</w:t>
      </w:r>
    </w:p>
    <w:p w14:paraId="5F99AD5F">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15.</w:t>
      </w:r>
      <w:r>
        <w:rPr>
          <w:rFonts w:hint="default" w:ascii="仿宋" w:hAnsi="仿宋" w:eastAsia="仿宋" w:cs="Times New Roman"/>
          <w:color w:val="auto"/>
          <w:kern w:val="2"/>
          <w:sz w:val="32"/>
          <w:szCs w:val="32"/>
          <w:lang w:val="en-US" w:eastAsia="zh-CN" w:bidi="ar-SA"/>
        </w:rPr>
        <w:t>负责全县知识产权发展规划的制定，负责知识产权的保护，负责组织指导商标、专利执法工作。</w:t>
      </w:r>
    </w:p>
    <w:p w14:paraId="4DC823B9">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16.</w:t>
      </w:r>
      <w:r>
        <w:rPr>
          <w:rFonts w:hint="default" w:ascii="仿宋" w:hAnsi="仿宋" w:eastAsia="仿宋" w:cs="Times New Roman"/>
          <w:color w:val="auto"/>
          <w:kern w:val="2"/>
          <w:sz w:val="32"/>
          <w:szCs w:val="32"/>
          <w:lang w:val="en-US" w:eastAsia="zh-CN" w:bidi="ar-SA"/>
        </w:rPr>
        <w:t>在职责范围内负责促进全县民营经济发展。负责全县民营经济发展工作的任务制定、调查研究、统筹协调、督促落实及民营企业合法权益维护。</w:t>
      </w:r>
    </w:p>
    <w:p w14:paraId="41C525A1">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17.</w:t>
      </w:r>
      <w:r>
        <w:rPr>
          <w:rFonts w:hint="default" w:ascii="仿宋" w:hAnsi="仿宋" w:eastAsia="仿宋" w:cs="Times New Roman"/>
          <w:color w:val="auto"/>
          <w:kern w:val="2"/>
          <w:sz w:val="32"/>
          <w:szCs w:val="32"/>
          <w:lang w:val="en-US" w:eastAsia="zh-CN" w:bidi="ar-SA"/>
        </w:rPr>
        <w:t>负责全县药品</w:t>
      </w:r>
      <w:r>
        <w:rPr>
          <w:rFonts w:hint="eastAsia" w:ascii="仿宋" w:hAnsi="仿宋" w:eastAsia="仿宋" w:cs="Times New Roman"/>
          <w:color w:val="auto"/>
          <w:kern w:val="2"/>
          <w:sz w:val="32"/>
          <w:szCs w:val="32"/>
          <w:lang w:val="en-US" w:eastAsia="zh-CN" w:bidi="ar-SA"/>
        </w:rPr>
        <w:t>（</w:t>
      </w:r>
      <w:r>
        <w:rPr>
          <w:rFonts w:hint="default" w:ascii="仿宋" w:hAnsi="仿宋" w:eastAsia="仿宋" w:cs="Times New Roman"/>
          <w:color w:val="auto"/>
          <w:kern w:val="2"/>
          <w:sz w:val="32"/>
          <w:szCs w:val="32"/>
          <w:lang w:val="en-US" w:eastAsia="zh-CN" w:bidi="ar-SA"/>
        </w:rPr>
        <w:t>含中药、民族药</w:t>
      </w:r>
      <w:r>
        <w:rPr>
          <w:rFonts w:hint="eastAsia" w:ascii="仿宋" w:hAnsi="仿宋" w:eastAsia="仿宋" w:cs="Times New Roman"/>
          <w:color w:val="auto"/>
          <w:kern w:val="2"/>
          <w:sz w:val="32"/>
          <w:szCs w:val="32"/>
          <w:lang w:val="en-US" w:eastAsia="zh-CN" w:bidi="ar-SA"/>
        </w:rPr>
        <w:t>）</w:t>
      </w:r>
      <w:r>
        <w:rPr>
          <w:rFonts w:hint="default" w:ascii="仿宋" w:hAnsi="仿宋" w:eastAsia="仿宋" w:cs="Times New Roman"/>
          <w:color w:val="auto"/>
          <w:kern w:val="2"/>
          <w:sz w:val="32"/>
          <w:szCs w:val="32"/>
          <w:lang w:val="en-US" w:eastAsia="zh-CN" w:bidi="ar-SA"/>
        </w:rPr>
        <w:t>、医疗器械和化妆品安全监督管理，拟订全县监督管理政策规划。负责全县药品、医疗器械和化妆品标准管理。负责全县药品、医疗器械和化妆品质量管理。监督实施药品、医疗器械生产、经营、使用质量管理规范。</w:t>
      </w:r>
    </w:p>
    <w:p w14:paraId="5D246FD6">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18.</w:t>
      </w:r>
      <w:r>
        <w:rPr>
          <w:rFonts w:hint="default" w:ascii="仿宋" w:hAnsi="仿宋" w:eastAsia="仿宋" w:cs="Times New Roman"/>
          <w:color w:val="auto"/>
          <w:kern w:val="2"/>
          <w:sz w:val="32"/>
          <w:szCs w:val="32"/>
          <w:lang w:val="en-US" w:eastAsia="zh-CN" w:bidi="ar-SA"/>
        </w:rPr>
        <w:t>负责全县药品、医疗器械和化妆品注册管理。组织开展药品不良反应、医疗器械不良事件和化妆品不良反应的监测、 评价和处置工作。依法承担全县药品、医疗器械和化妆品安全应急管理。组织实施执业药师准入制度，指导监督执业药师注册。</w:t>
      </w:r>
    </w:p>
    <w:p w14:paraId="7447F7CB">
      <w:pPr>
        <w:pStyle w:val="6"/>
        <w:keepNext w:val="0"/>
        <w:keepLines w:val="0"/>
        <w:pageBreakBefore w:val="0"/>
        <w:widowControl w:val="0"/>
        <w:kinsoku/>
        <w:wordWrap/>
        <w:overflowPunct/>
        <w:topLinePunct w:val="0"/>
        <w:autoSpaceDE/>
        <w:autoSpaceDN/>
        <w:bidi w:val="0"/>
        <w:adjustRightInd/>
        <w:snapToGrid/>
        <w:spacing w:beforeLines="0" w:line="600" w:lineRule="exact"/>
        <w:ind w:right="0" w:firstLine="640" w:firstLineChars="200"/>
        <w:jc w:val="both"/>
        <w:textAlignment w:val="auto"/>
        <w:outlineLvl w:val="9"/>
        <w:rPr>
          <w:rFonts w:hint="default"/>
          <w:lang w:val="en-US" w:eastAsia="zh-CN"/>
        </w:rPr>
      </w:pPr>
      <w:r>
        <w:rPr>
          <w:rFonts w:hint="eastAsia" w:ascii="仿宋" w:hAnsi="仿宋" w:eastAsia="仿宋" w:cs="Times New Roman"/>
          <w:color w:val="auto"/>
          <w:kern w:val="2"/>
          <w:sz w:val="32"/>
          <w:szCs w:val="32"/>
          <w:lang w:val="en-US" w:eastAsia="zh-CN" w:bidi="ar-SA"/>
        </w:rPr>
        <w:t>19.</w:t>
      </w:r>
      <w:r>
        <w:rPr>
          <w:rFonts w:hint="default" w:ascii="仿宋" w:hAnsi="仿宋" w:eastAsia="仿宋" w:cs="Times New Roman"/>
          <w:color w:val="auto"/>
          <w:kern w:val="2"/>
          <w:sz w:val="32"/>
          <w:szCs w:val="32"/>
          <w:lang w:val="en-US" w:eastAsia="zh-CN" w:bidi="ar-SA"/>
        </w:rPr>
        <w:t>负责职责范围内的安全生产和职业健康、生态环境保护、服务便民化等工作</w:t>
      </w:r>
      <w:r>
        <w:rPr>
          <w:rFonts w:hint="eastAsia" w:ascii="仿宋" w:hAnsi="仿宋" w:eastAsia="仿宋" w:cs="Times New Roman"/>
          <w:color w:val="auto"/>
          <w:kern w:val="2"/>
          <w:sz w:val="32"/>
          <w:szCs w:val="32"/>
          <w:lang w:val="en-US" w:eastAsia="zh-CN" w:bidi="ar-SA"/>
        </w:rPr>
        <w:t>。</w:t>
      </w:r>
    </w:p>
    <w:p w14:paraId="6FF957AC">
      <w:pPr>
        <w:pStyle w:val="11"/>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F844D9A">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优化营商环境，激发市场活力。一是实施市场主体培育计划，力争2026年新增市场主体650户以上；建立“个转企”重点培育库，引导20户以上个体工商户转型升级。二是持续优化营商环境，全面实施“双随机、一公开”监管，健全跨部门联合抽查工作机制，实行“综合查一次”，最大限度减少对企业正常经营活动的干扰。践行“首违不罚”“轻微免罚”机制，深化包容审慎监管，服务型执法模式逐步完善。三是推进信用监管。完善企业信息公示、经营异常名录、严重违法失信企业名单等制度，强化失信联合惩戒和信用修复机制，促使市场主体守法诚信经营。四是严格执行公平竞争审查标准，让各类经营主体平等使用生产要素，公平参与市场竞争。</w:t>
      </w:r>
    </w:p>
    <w:p w14:paraId="1CF77EC8">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推进科技创新引领，赋能产业高质量发展。一是强化知识产权创造、保护和运用，力争高价值发明专利拥有量增长率达17%以上。积极实施专利、商标、品牌发展战略，增强企业核心竞争力和发展优势。突出加强“峨边竹笋”“峨边花牛”“黑竹沟藤椒”“峨边马铃薯”等地理标志商标、农产品地理标志商标的保护和运用，重点对“杨河梦笋”“奔乡勤”等企业注册商标进行关注、培育。加强知识产权司法保护和行政执法的有效衔接。充分利用好知识产权维权站，提升专利、商标侵权纠纷行政裁决工作能力。二是推进企业质量提升行动。积极开展质量品牌培育，结合质量基础设施一站式服务、小微企业质量管理体系认证提升行动，从产品质量、检验检测、计量服务、管理体系认证等方面深入企业开展帮扶，促进相关产品的质量标准、技术水平和品牌影响力普遍提高，解决小微企业质量难点问题。三是强化标准引领作用。鼓励企业参与相关产品行业标准、国家标准、国际标准制（修）订，引导优势产品争创“天府名品”。</w:t>
      </w:r>
    </w:p>
    <w:p w14:paraId="133CCE0F">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严守安全监管底线，保障民生福祉。一是强化“三品一特”全链条监管，落实经营主体责任，全年无重大安全事故发生。全面推进“互联网+AI监管”，力争12月底前实现100%覆盖。二是规范市场价格秩序，保障节假日等重要时段价格平稳。三是进一步加大对虚假宣传、假冒伪劣等违法行为的查处力度，推行“体检式监管、服务型执法”，实现监管与服务有机统一。 </w:t>
      </w:r>
    </w:p>
    <w:p w14:paraId="1EE68255">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优化消费环境，释放内需消费潜力。一是落实消费环境提升行动，健全消费纠纷快速处置机制，消费投诉办结率达98%以上。二是加强消费者权益保护，畅通12315投诉举报渠道，构建企业自律、社会监督、监管联动的消费维权体系。三是完善平台经济监管制度，规范网络交易行为，同步强化实体市场监管，营造线上线下公平竞争、安全放心的消费环境。</w:t>
      </w:r>
    </w:p>
    <w:p w14:paraId="65C956A6">
      <w:pPr>
        <w:pStyle w:val="11"/>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加强队伍建设，提升监管履职能力。一是强化作风建设，保持“严、细、实、快”的工作作风，树立“开局即冲刺”的意识，以实干实绩推动工作落地见效。二是提升业务素养，常态化开展“干部业务大讲堂”，打造高素质、专业化市场监管队伍。三是健全监管机制，推进法治监管、智慧监管建设，完善跨部门协同监管机制，提升监管精准性和效能，彰显市场监管新作为。</w:t>
      </w:r>
    </w:p>
    <w:p w14:paraId="4BA6C64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B2D7B11">
      <w:pPr>
        <w:keepNext w:val="0"/>
        <w:keepLines w:val="0"/>
        <w:pageBreakBefore w:val="0"/>
        <w:widowControl w:val="0"/>
        <w:kinsoku/>
        <w:wordWrap/>
        <w:overflowPunct/>
        <w:topLinePunct w:val="0"/>
        <w:autoSpaceDE/>
        <w:autoSpaceDN/>
        <w:bidi w:val="0"/>
        <w:spacing w:line="600" w:lineRule="exact"/>
        <w:ind w:right="0"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仿宋" w:hAnsi="仿宋" w:eastAsia="仿宋"/>
          <w:sz w:val="32"/>
          <w:szCs w:val="32"/>
        </w:rPr>
        <w:t>预算单位</w:t>
      </w:r>
      <w:r>
        <w:rPr>
          <w:rFonts w:hint="eastAsia" w:ascii="仿宋" w:hAnsi="仿宋"/>
          <w:color w:val="auto"/>
          <w:sz w:val="32"/>
          <w:szCs w:val="32"/>
          <w:lang w:val="en-US" w:eastAsia="zh-CN"/>
        </w:rPr>
        <w:t>3</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r>
        <w:rPr>
          <w:rFonts w:hint="eastAsia" w:ascii="仿宋_GB2312" w:hAnsi="仿宋_GB2312" w:eastAsia="仿宋_GB2312" w:cs="仿宋_GB2312"/>
          <w:color w:val="auto"/>
          <w:kern w:val="2"/>
          <w:sz w:val="32"/>
          <w:szCs w:val="32"/>
          <w:lang w:val="en-US" w:eastAsia="zh-CN" w:bidi="ar-SA"/>
        </w:rPr>
        <w:t>参照公务员法管理事业单位1个，</w:t>
      </w:r>
      <w:r>
        <w:rPr>
          <w:rFonts w:hint="eastAsia" w:ascii="仿宋" w:hAnsi="仿宋" w:eastAsia="仿宋"/>
          <w:color w:val="auto"/>
          <w:sz w:val="32"/>
          <w:szCs w:val="32"/>
        </w:rPr>
        <w:t>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77A39D9A">
      <w:pPr>
        <w:keepNext w:val="0"/>
        <w:keepLines w:val="0"/>
        <w:pageBreakBefore w:val="0"/>
        <w:widowControl w:val="0"/>
        <w:kinsoku/>
        <w:wordWrap/>
        <w:overflowPunct/>
        <w:topLinePunct w:val="0"/>
        <w:autoSpaceDE/>
        <w:autoSpaceDN/>
        <w:bidi w:val="0"/>
        <w:spacing w:line="600" w:lineRule="exact"/>
        <w:ind w:right="0"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仿宋" w:hAnsi="仿宋" w:eastAsia="仿宋"/>
          <w:color w:val="auto"/>
          <w:sz w:val="32"/>
          <w:szCs w:val="32"/>
        </w:rPr>
        <w:t>总编制</w:t>
      </w:r>
      <w:r>
        <w:rPr>
          <w:rFonts w:hint="eastAsia" w:ascii="仿宋" w:hAnsi="仿宋"/>
          <w:color w:val="auto"/>
          <w:sz w:val="32"/>
          <w:szCs w:val="32"/>
          <w:lang w:val="en-US" w:eastAsia="zh-CN"/>
        </w:rPr>
        <w:t>49</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16</w:t>
      </w:r>
      <w:r>
        <w:rPr>
          <w:rFonts w:hint="eastAsia" w:ascii="仿宋" w:hAnsi="仿宋" w:eastAsia="仿宋"/>
          <w:color w:val="auto"/>
          <w:sz w:val="32"/>
          <w:szCs w:val="32"/>
        </w:rPr>
        <w:t>名，工勤编制</w:t>
      </w:r>
      <w:r>
        <w:rPr>
          <w:rFonts w:hint="eastAsia" w:ascii="仿宋" w:hAnsi="仿宋"/>
          <w:color w:val="auto"/>
          <w:sz w:val="32"/>
          <w:szCs w:val="32"/>
          <w:lang w:val="en-US" w:eastAsia="zh-CN"/>
        </w:rPr>
        <w:t>5</w:t>
      </w:r>
      <w:r>
        <w:rPr>
          <w:rFonts w:hint="eastAsia" w:ascii="仿宋" w:hAnsi="仿宋" w:eastAsia="仿宋"/>
          <w:color w:val="auto"/>
          <w:sz w:val="32"/>
          <w:szCs w:val="32"/>
        </w:rPr>
        <w:t>名，事业编制</w:t>
      </w:r>
      <w:r>
        <w:rPr>
          <w:rFonts w:hint="eastAsia" w:ascii="仿宋" w:hAnsi="仿宋"/>
          <w:color w:val="auto"/>
          <w:sz w:val="32"/>
          <w:szCs w:val="32"/>
          <w:lang w:val="en-US" w:eastAsia="zh-CN"/>
        </w:rPr>
        <w:t>28</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48</w:t>
      </w:r>
      <w:r>
        <w:rPr>
          <w:rFonts w:hint="eastAsia" w:ascii="仿宋" w:hAnsi="仿宋" w:eastAsia="仿宋"/>
          <w:color w:val="auto"/>
          <w:sz w:val="32"/>
          <w:szCs w:val="32"/>
        </w:rPr>
        <w:t>名，其中：行政</w:t>
      </w:r>
      <w:r>
        <w:rPr>
          <w:rFonts w:hint="eastAsia" w:ascii="仿宋" w:hAnsi="仿宋"/>
          <w:color w:val="auto"/>
          <w:sz w:val="32"/>
          <w:szCs w:val="32"/>
          <w:lang w:val="en-US" w:eastAsia="zh-CN"/>
        </w:rPr>
        <w:t>20</w:t>
      </w:r>
      <w:r>
        <w:rPr>
          <w:rFonts w:hint="eastAsia" w:ascii="仿宋" w:hAnsi="仿宋" w:eastAsia="仿宋"/>
          <w:color w:val="auto"/>
          <w:sz w:val="32"/>
          <w:szCs w:val="32"/>
        </w:rPr>
        <w:t>名，</w:t>
      </w:r>
      <w:r>
        <w:rPr>
          <w:rFonts w:hint="eastAsia" w:ascii="仿宋" w:hAnsi="仿宋"/>
          <w:color w:val="auto"/>
          <w:sz w:val="32"/>
          <w:szCs w:val="32"/>
          <w:lang w:eastAsia="zh-CN"/>
        </w:rPr>
        <w:t>机关</w:t>
      </w:r>
      <w:r>
        <w:rPr>
          <w:rFonts w:hint="eastAsia" w:ascii="仿宋" w:hAnsi="仿宋" w:eastAsia="仿宋"/>
          <w:color w:val="auto"/>
          <w:sz w:val="32"/>
          <w:szCs w:val="32"/>
        </w:rPr>
        <w:t>工勤</w:t>
      </w:r>
      <w:r>
        <w:rPr>
          <w:rFonts w:hint="eastAsia" w:ascii="仿宋" w:hAnsi="仿宋"/>
          <w:color w:val="auto"/>
          <w:sz w:val="32"/>
          <w:szCs w:val="32"/>
          <w:lang w:val="en-US" w:eastAsia="zh-CN"/>
        </w:rPr>
        <w:t>2</w:t>
      </w:r>
      <w:r>
        <w:rPr>
          <w:rFonts w:hint="eastAsia" w:ascii="仿宋" w:hAnsi="仿宋" w:eastAsia="仿宋"/>
          <w:color w:val="auto"/>
          <w:sz w:val="32"/>
          <w:szCs w:val="32"/>
        </w:rPr>
        <w:t>名，</w:t>
      </w:r>
      <w:r>
        <w:rPr>
          <w:rFonts w:hint="eastAsia" w:ascii="仿宋" w:hAnsi="仿宋"/>
          <w:color w:val="auto"/>
          <w:sz w:val="32"/>
          <w:szCs w:val="32"/>
          <w:lang w:eastAsia="zh-CN"/>
        </w:rPr>
        <w:t>参公</w:t>
      </w:r>
      <w:r>
        <w:rPr>
          <w:rFonts w:hint="eastAsia" w:ascii="仿宋" w:hAnsi="仿宋"/>
          <w:color w:val="auto"/>
          <w:sz w:val="32"/>
          <w:szCs w:val="32"/>
          <w:lang w:val="en-US" w:eastAsia="zh-CN"/>
        </w:rPr>
        <w:t>24名，</w:t>
      </w:r>
      <w:r>
        <w:rPr>
          <w:rFonts w:hint="eastAsia" w:ascii="仿宋" w:hAnsi="仿宋" w:eastAsia="仿宋"/>
          <w:color w:val="auto"/>
          <w:sz w:val="32"/>
          <w:szCs w:val="32"/>
        </w:rPr>
        <w:t>事业</w:t>
      </w:r>
      <w:r>
        <w:rPr>
          <w:rFonts w:hint="eastAsia" w:ascii="仿宋" w:hAnsi="仿宋"/>
          <w:color w:val="auto"/>
          <w:sz w:val="32"/>
          <w:szCs w:val="32"/>
          <w:lang w:val="en-US" w:eastAsia="zh-CN"/>
        </w:rPr>
        <w:t>2</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65738450">
      <w:pPr>
        <w:spacing w:line="600" w:lineRule="exact"/>
        <w:ind w:firstLine="640" w:firstLineChars="200"/>
        <w:rPr>
          <w:rFonts w:hint="eastAsia" w:ascii="仿宋" w:hAnsi="仿宋" w:eastAsia="仿宋"/>
          <w:sz w:val="32"/>
          <w:szCs w:val="32"/>
        </w:rPr>
      </w:pPr>
    </w:p>
    <w:p w14:paraId="4F6BE951">
      <w:pPr>
        <w:spacing w:line="600" w:lineRule="exact"/>
        <w:ind w:firstLine="640" w:firstLineChars="200"/>
        <w:rPr>
          <w:rFonts w:hint="eastAsia" w:ascii="仿宋" w:hAnsi="仿宋" w:eastAsia="仿宋"/>
          <w:sz w:val="32"/>
          <w:szCs w:val="32"/>
        </w:rPr>
      </w:pPr>
    </w:p>
    <w:p w14:paraId="20369B6F">
      <w:pPr>
        <w:spacing w:line="600" w:lineRule="exact"/>
        <w:ind w:firstLine="640" w:firstLineChars="200"/>
        <w:rPr>
          <w:rFonts w:hint="eastAsia" w:ascii="仿宋" w:hAnsi="仿宋" w:eastAsia="仿宋"/>
          <w:sz w:val="32"/>
          <w:szCs w:val="32"/>
        </w:rPr>
      </w:pPr>
    </w:p>
    <w:p w14:paraId="3C8F3C42">
      <w:pPr>
        <w:spacing w:line="600" w:lineRule="exact"/>
        <w:ind w:firstLine="640" w:firstLineChars="200"/>
        <w:rPr>
          <w:rFonts w:hint="eastAsia" w:ascii="仿宋" w:hAnsi="仿宋" w:eastAsia="仿宋"/>
          <w:sz w:val="32"/>
          <w:szCs w:val="32"/>
        </w:rPr>
      </w:pPr>
    </w:p>
    <w:p w14:paraId="35CDCD27">
      <w:pPr>
        <w:spacing w:line="600" w:lineRule="exact"/>
        <w:ind w:firstLine="640" w:firstLineChars="200"/>
        <w:rPr>
          <w:rFonts w:hint="eastAsia" w:ascii="仿宋" w:hAnsi="仿宋" w:eastAsia="仿宋"/>
          <w:sz w:val="32"/>
          <w:szCs w:val="32"/>
        </w:rPr>
      </w:pPr>
    </w:p>
    <w:p w14:paraId="241F11F8">
      <w:pPr>
        <w:spacing w:line="600" w:lineRule="exact"/>
        <w:ind w:firstLine="640" w:firstLineChars="200"/>
        <w:rPr>
          <w:rFonts w:hint="eastAsia" w:ascii="仿宋" w:hAnsi="仿宋" w:eastAsia="仿宋"/>
          <w:sz w:val="32"/>
          <w:szCs w:val="32"/>
        </w:rPr>
      </w:pPr>
    </w:p>
    <w:p w14:paraId="7C331ADD">
      <w:pPr>
        <w:pStyle w:val="3"/>
        <w:numPr>
          <w:ilvl w:val="0"/>
          <w:numId w:val="0"/>
        </w:numPr>
        <w:bidi w:val="0"/>
        <w:jc w:val="both"/>
        <w:rPr>
          <w:rFonts w:hint="eastAsia"/>
          <w:lang w:val="en-US" w:eastAsia="zh-CN"/>
        </w:rPr>
      </w:pPr>
    </w:p>
    <w:p w14:paraId="4DC5BE80">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峨边彝族自治县市场监督管理局</w:t>
      </w:r>
      <w:r>
        <w:rPr>
          <w:rFonts w:hint="eastAsia" w:ascii="方正小标宋简体" w:hAnsi="方正小标宋简体" w:eastAsia="方正小标宋简体" w:cs="方正小标宋简体"/>
          <w:b w:val="0"/>
          <w:bCs/>
          <w:sz w:val="52"/>
          <w:szCs w:val="52"/>
          <w:lang w:val="en-US" w:eastAsia="zh-CN"/>
        </w:rPr>
        <w:t>2026年部门预算表</w:t>
      </w:r>
    </w:p>
    <w:p w14:paraId="367C968C">
      <w:pPr>
        <w:spacing w:line="600" w:lineRule="exact"/>
        <w:rPr>
          <w:rFonts w:hint="default" w:ascii="仿宋" w:hAnsi="仿宋" w:eastAsia="仿宋" w:cs="Times New Roman"/>
          <w:sz w:val="32"/>
          <w:szCs w:val="32"/>
          <w:lang w:val="en-US" w:eastAsia="zh-CN"/>
        </w:rPr>
      </w:pPr>
    </w:p>
    <w:p w14:paraId="6270B81C">
      <w:pPr>
        <w:spacing w:line="600" w:lineRule="exact"/>
        <w:rPr>
          <w:rFonts w:hint="default" w:ascii="仿宋" w:hAnsi="仿宋" w:eastAsia="仿宋" w:cs="Times New Roman"/>
          <w:sz w:val="32"/>
          <w:szCs w:val="32"/>
          <w:lang w:val="en-US" w:eastAsia="zh-CN"/>
        </w:rPr>
      </w:pPr>
    </w:p>
    <w:p w14:paraId="6C76450F">
      <w:pPr>
        <w:spacing w:line="600" w:lineRule="exact"/>
        <w:rPr>
          <w:rFonts w:hint="default" w:ascii="仿宋" w:hAnsi="仿宋" w:eastAsia="仿宋" w:cs="Times New Roman"/>
          <w:sz w:val="32"/>
          <w:szCs w:val="32"/>
          <w:lang w:val="en-US" w:eastAsia="zh-CN"/>
        </w:rPr>
      </w:pPr>
    </w:p>
    <w:p w14:paraId="7D8C188D">
      <w:pPr>
        <w:spacing w:line="600" w:lineRule="exact"/>
        <w:rPr>
          <w:rFonts w:hint="default" w:ascii="仿宋" w:hAnsi="仿宋" w:eastAsia="仿宋" w:cs="Times New Roman"/>
          <w:sz w:val="32"/>
          <w:szCs w:val="32"/>
          <w:lang w:val="en-US" w:eastAsia="zh-CN"/>
        </w:rPr>
      </w:pPr>
    </w:p>
    <w:p w14:paraId="5B716D76">
      <w:pPr>
        <w:spacing w:line="600" w:lineRule="exact"/>
        <w:rPr>
          <w:rFonts w:hint="default" w:ascii="仿宋" w:hAnsi="仿宋" w:eastAsia="仿宋" w:cs="Times New Roman"/>
          <w:sz w:val="32"/>
          <w:szCs w:val="32"/>
          <w:lang w:val="en-US" w:eastAsia="zh-CN"/>
        </w:rPr>
      </w:pPr>
    </w:p>
    <w:p w14:paraId="1CAED2D8">
      <w:pPr>
        <w:spacing w:line="600" w:lineRule="exact"/>
        <w:rPr>
          <w:rFonts w:hint="default" w:ascii="仿宋" w:hAnsi="仿宋" w:eastAsia="仿宋" w:cs="Times New Roman"/>
          <w:sz w:val="32"/>
          <w:szCs w:val="32"/>
          <w:lang w:val="en-US" w:eastAsia="zh-CN"/>
        </w:rPr>
      </w:pPr>
    </w:p>
    <w:p w14:paraId="7B45C448">
      <w:pPr>
        <w:spacing w:line="600" w:lineRule="exact"/>
        <w:ind w:left="0" w:leftChars="0" w:firstLine="0" w:firstLineChars="0"/>
        <w:rPr>
          <w:rFonts w:hint="eastAsia" w:ascii="仿宋_GB2312" w:hAnsi="仿宋_GB2312" w:eastAsia="仿宋_GB2312" w:cs="仿宋_GB2312"/>
          <w:sz w:val="32"/>
          <w:szCs w:val="32"/>
          <w:lang w:val="en-US" w:eastAsia="zh-CN"/>
        </w:rPr>
      </w:pPr>
    </w:p>
    <w:p w14:paraId="61D0D62E">
      <w:pPr>
        <w:pStyle w:val="2"/>
        <w:rPr>
          <w:rFonts w:hint="eastAsia"/>
          <w:lang w:val="en-US" w:eastAsia="zh-CN"/>
        </w:rPr>
      </w:pPr>
    </w:p>
    <w:p w14:paraId="6D1244BF">
      <w:pPr>
        <w:spacing w:line="600" w:lineRule="exact"/>
        <w:ind w:left="0" w:leftChars="0" w:firstLine="0" w:firstLineChars="0"/>
        <w:rPr>
          <w:rFonts w:hint="eastAsia" w:ascii="仿宋_GB2312" w:hAnsi="仿宋_GB2312" w:eastAsia="仿宋_GB2312" w:cs="仿宋_GB2312"/>
          <w:sz w:val="32"/>
          <w:szCs w:val="32"/>
          <w:lang w:val="en-US" w:eastAsia="zh-CN"/>
        </w:rPr>
      </w:pPr>
    </w:p>
    <w:p w14:paraId="57BBA6C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详见附件2：峨边彝族自治县市场监督管理局预算公开报表  </w:t>
      </w:r>
    </w:p>
    <w:p w14:paraId="70C321C3">
      <w:pPr>
        <w:spacing w:line="600" w:lineRule="exact"/>
        <w:ind w:left="0" w:leftChars="0" w:firstLine="0" w:firstLineChars="0"/>
        <w:rPr>
          <w:rFonts w:hint="eastAsia" w:ascii="仿宋_GB2312" w:hAnsi="仿宋_GB2312" w:eastAsia="仿宋_GB2312" w:cs="仿宋_GB2312"/>
          <w:sz w:val="32"/>
          <w:szCs w:val="32"/>
          <w:lang w:val="en-US" w:eastAsia="zh-CN"/>
        </w:rPr>
      </w:pPr>
    </w:p>
    <w:p w14:paraId="4F7F53FA">
      <w:pPr>
        <w:numPr>
          <w:ilvl w:val="0"/>
          <w:numId w:val="0"/>
        </w:numPr>
        <w:spacing w:line="600" w:lineRule="exact"/>
        <w:rPr>
          <w:rFonts w:hint="eastAsia" w:ascii="仿宋" w:hAnsi="仿宋" w:eastAsia="仿宋" w:cs="Times New Roman"/>
          <w:sz w:val="32"/>
          <w:szCs w:val="32"/>
          <w:lang w:val="en-US" w:eastAsia="zh-CN"/>
        </w:rPr>
      </w:pPr>
    </w:p>
    <w:p w14:paraId="4336D364">
      <w:pPr>
        <w:numPr>
          <w:ilvl w:val="0"/>
          <w:numId w:val="0"/>
        </w:numPr>
        <w:ind w:leftChars="0"/>
        <w:jc w:val="both"/>
        <w:rPr>
          <w:rFonts w:hint="eastAsia"/>
          <w:b/>
          <w:bCs/>
          <w:sz w:val="52"/>
          <w:szCs w:val="52"/>
          <w:lang w:val="en-US" w:eastAsia="zh-CN"/>
        </w:rPr>
      </w:pPr>
    </w:p>
    <w:p w14:paraId="18411427">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峨边彝族自治县市场监督管理局</w:t>
      </w:r>
      <w:r>
        <w:rPr>
          <w:rFonts w:hint="eastAsia" w:ascii="方正小标宋简体" w:hAnsi="方正小标宋简体" w:eastAsia="方正小标宋简体" w:cs="方正小标宋简体"/>
          <w:b w:val="0"/>
          <w:bCs/>
          <w:sz w:val="52"/>
          <w:szCs w:val="52"/>
          <w:lang w:val="en-US" w:eastAsia="zh-CN"/>
        </w:rPr>
        <w:t>2026年部门预算情况说明</w:t>
      </w:r>
    </w:p>
    <w:p w14:paraId="51E2D581">
      <w:pPr>
        <w:numPr>
          <w:ilvl w:val="0"/>
          <w:numId w:val="0"/>
        </w:numPr>
        <w:jc w:val="center"/>
        <w:rPr>
          <w:rFonts w:hint="default"/>
          <w:b/>
          <w:bCs/>
          <w:sz w:val="52"/>
          <w:szCs w:val="52"/>
          <w:lang w:val="en-US" w:eastAsia="zh-CN"/>
        </w:rPr>
      </w:pPr>
    </w:p>
    <w:p w14:paraId="579493EB">
      <w:pPr>
        <w:numPr>
          <w:ilvl w:val="0"/>
          <w:numId w:val="0"/>
        </w:numPr>
        <w:spacing w:line="600" w:lineRule="exact"/>
        <w:rPr>
          <w:rFonts w:hint="eastAsia" w:ascii="仿宋" w:hAnsi="仿宋" w:eastAsia="仿宋" w:cs="Times New Roman"/>
          <w:sz w:val="32"/>
          <w:szCs w:val="32"/>
          <w:lang w:val="en-US" w:eastAsia="zh-CN"/>
        </w:rPr>
      </w:pPr>
    </w:p>
    <w:p w14:paraId="6CF15881">
      <w:pPr>
        <w:numPr>
          <w:ilvl w:val="0"/>
          <w:numId w:val="0"/>
        </w:numPr>
        <w:spacing w:line="600" w:lineRule="exact"/>
        <w:rPr>
          <w:rFonts w:hint="eastAsia" w:ascii="仿宋" w:hAnsi="仿宋" w:eastAsia="仿宋" w:cs="Times New Roman"/>
          <w:sz w:val="32"/>
          <w:szCs w:val="32"/>
          <w:lang w:val="en-US" w:eastAsia="zh-CN"/>
        </w:rPr>
      </w:pPr>
    </w:p>
    <w:p w14:paraId="0ECEFA13">
      <w:pPr>
        <w:numPr>
          <w:ilvl w:val="0"/>
          <w:numId w:val="0"/>
        </w:numPr>
        <w:spacing w:line="600" w:lineRule="exact"/>
        <w:rPr>
          <w:rFonts w:hint="eastAsia" w:ascii="仿宋" w:hAnsi="仿宋" w:eastAsia="仿宋" w:cs="Times New Roman"/>
          <w:sz w:val="32"/>
          <w:szCs w:val="32"/>
          <w:lang w:val="en-US" w:eastAsia="zh-CN"/>
        </w:rPr>
      </w:pPr>
    </w:p>
    <w:p w14:paraId="7F42769F">
      <w:pPr>
        <w:numPr>
          <w:ilvl w:val="0"/>
          <w:numId w:val="0"/>
        </w:numPr>
        <w:jc w:val="both"/>
        <w:rPr>
          <w:rFonts w:hint="default"/>
          <w:b/>
          <w:bCs/>
          <w:sz w:val="52"/>
          <w:szCs w:val="52"/>
          <w:lang w:val="en-US" w:eastAsia="zh-CN"/>
        </w:rPr>
      </w:pPr>
    </w:p>
    <w:p w14:paraId="04835977">
      <w:pPr>
        <w:pStyle w:val="2"/>
        <w:rPr>
          <w:rFonts w:hint="default"/>
          <w:lang w:val="en-US" w:eastAsia="zh-CN"/>
        </w:rPr>
      </w:pPr>
    </w:p>
    <w:p w14:paraId="24A90D61">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7C411F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14:paraId="408DB69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峨边彝族自治县市场监督管理局2026年收支总预算1078.00万元，比2025年收支预算总数减少21.84万元，主要原因是2026年人员比2025年减少5个人，人员经费减少。</w:t>
      </w:r>
    </w:p>
    <w:p w14:paraId="30E7583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3AAC2A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峨边彝族自治县市场监督管理局2026年收入预算1078.00万元，其中：上年结转1.8万元，占0.17%；一般公共预算拨款收入1076.2万元，占99.83%；政府性基金预算拨款收入0万元，占0%；事业收入0万元，占0%。</w:t>
      </w:r>
    </w:p>
    <w:p w14:paraId="7D9231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（二）支出预算情况</w:t>
      </w:r>
    </w:p>
    <w:p w14:paraId="256BA1A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峨边彝族自治县市场监督管理局2026年支出预算1078.00万元，其中：基本支出1061.2万元，占98.44%；项目支出16.8万元，占1.56%。</w:t>
      </w:r>
    </w:p>
    <w:p w14:paraId="687F884F">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5748E5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kern w:val="0"/>
          <w:sz w:val="32"/>
          <w:szCs w:val="32"/>
          <w:lang w:val="en-US" w:eastAsia="zh-CN"/>
        </w:rPr>
        <w:t>2026年财政拨款收支预算总数1078.00万元，比2025年财政拨款收支预算总数1099.84万元减少21.84万元，主要原因是2026年人员比2025年减少5</w:t>
      </w:r>
      <w:r>
        <w:rPr>
          <w:rFonts w:hint="eastAsia" w:ascii="仿宋_GB2312" w:hAnsi="仿宋_GB2312" w:eastAsia="仿宋_GB2312" w:cs="仿宋_GB2312"/>
          <w:color w:val="auto"/>
          <w:kern w:val="2"/>
          <w:sz w:val="32"/>
          <w:szCs w:val="32"/>
          <w:lang w:val="en-US" w:eastAsia="zh-CN" w:bidi="ar-SA"/>
        </w:rPr>
        <w:t>个人，人员经费减少。</w:t>
      </w:r>
    </w:p>
    <w:p w14:paraId="31FF8B9C">
      <w:pPr>
        <w:numPr>
          <w:ilvl w:val="0"/>
          <w:numId w:val="0"/>
        </w:numPr>
        <w:spacing w:line="600" w:lineRule="exact"/>
        <w:ind w:firstLine="640" w:firstLineChars="200"/>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lang w:val="en-US" w:eastAsia="zh-CN"/>
        </w:rPr>
        <w:t>收入包括：本年一般公共预算拨款收入1076.2万元、上年结转一般公共预算拨款收入1.8万元、本</w:t>
      </w:r>
      <w:r>
        <w:rPr>
          <w:rFonts w:hint="eastAsia" w:ascii="Times New Roman" w:hAnsi="Times New Roman" w:eastAsia="仿宋_GB2312" w:cs="仿宋_GB2312"/>
          <w:kern w:val="0"/>
          <w:sz w:val="32"/>
          <w:szCs w:val="32"/>
          <w:highlight w:val="none"/>
          <w:lang w:val="en-US" w:eastAsia="zh-CN"/>
        </w:rPr>
        <w:t>年政府性基金预算拨款收入0万元；支出包括：一般公共服务支出818.8万元、社会保障和就业支出149.46万元、卫生健康支出28.51万元， 资源勘探工业信息等支出1.8万元，住房保障支出79.42万元。</w:t>
      </w:r>
    </w:p>
    <w:p w14:paraId="5998B923">
      <w:pPr>
        <w:numPr>
          <w:ilvl w:val="0"/>
          <w:numId w:val="0"/>
        </w:numPr>
        <w:spacing w:line="600" w:lineRule="exact"/>
        <w:ind w:firstLine="640" w:firstLineChars="200"/>
        <w:rPr>
          <w:rStyle w:val="24"/>
          <w:rFonts w:hint="eastAsia" w:ascii="黑体" w:hAnsi="黑体" w:eastAsia="黑体" w:cs="黑体"/>
          <w:b w:val="0"/>
          <w:bCs/>
          <w:highlight w:val="none"/>
          <w:lang w:eastAsia="zh-CN"/>
        </w:rPr>
      </w:pPr>
      <w:r>
        <w:rPr>
          <w:rStyle w:val="24"/>
          <w:rFonts w:hint="eastAsia" w:ascii="黑体" w:hAnsi="黑体" w:eastAsia="黑体" w:cs="黑体"/>
          <w:b w:val="0"/>
          <w:bCs/>
          <w:highlight w:val="none"/>
        </w:rPr>
        <w:t>三、一般公共预算当年拨款情况说明</w:t>
      </w:r>
    </w:p>
    <w:p w14:paraId="70BCEDB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EA4703D">
      <w:pPr>
        <w:numPr>
          <w:ilvl w:val="0"/>
          <w:numId w:val="0"/>
        </w:numPr>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峨边彝族自治县市场监督管理局2026年一般公共预算当年拨款1076.2万元，较上年预算数减少22.59万元。主要原因是</w:t>
      </w:r>
      <w:bookmarkStart w:id="0" w:name="_GoBack"/>
      <w:bookmarkEnd w:id="0"/>
      <w:r>
        <w:rPr>
          <w:rFonts w:hint="eastAsia" w:ascii="Times New Roman" w:hAnsi="Times New Roman" w:eastAsia="仿宋_GB2312" w:cs="仿宋_GB2312"/>
          <w:kern w:val="0"/>
          <w:sz w:val="32"/>
          <w:szCs w:val="32"/>
          <w:lang w:val="en-US" w:eastAsia="zh-CN"/>
        </w:rPr>
        <w:t>2026年人员比2025年减少5人，所以对应的人员经费、五险一金预算都减少了。</w:t>
      </w:r>
    </w:p>
    <w:p w14:paraId="00983618">
      <w:pPr>
        <w:numPr>
          <w:ilvl w:val="0"/>
          <w:numId w:val="0"/>
        </w:numPr>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（二）一般公共预算当年拨款结构情况。</w:t>
      </w:r>
    </w:p>
    <w:p w14:paraId="10AEF8B5">
      <w:pPr>
        <w:numPr>
          <w:ilvl w:val="0"/>
          <w:numId w:val="0"/>
        </w:numPr>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一般公共服务支出818.8万元，</w:t>
      </w:r>
      <w:r>
        <w:rPr>
          <w:rFonts w:hint="eastAsia" w:ascii="Times New Roman" w:hAnsi="Times New Roman" w:eastAsia="仿宋_GB2312" w:cs="仿宋_GB2312"/>
          <w:kern w:val="0"/>
          <w:sz w:val="32"/>
          <w:szCs w:val="32"/>
          <w:highlight w:val="none"/>
          <w:lang w:val="en-US" w:eastAsia="zh-CN"/>
        </w:rPr>
        <w:t>占76.08%</w:t>
      </w:r>
      <w:r>
        <w:rPr>
          <w:rFonts w:hint="eastAsia" w:ascii="Times New Roman" w:hAnsi="Times New Roman" w:eastAsia="仿宋_GB2312" w:cs="仿宋_GB2312"/>
          <w:kern w:val="0"/>
          <w:sz w:val="32"/>
          <w:szCs w:val="32"/>
          <w:lang w:val="en-US" w:eastAsia="zh-CN"/>
        </w:rPr>
        <w:t>；社会保障和就业支出149.46万元，占13.89%；医疗卫生与计划生育支出28.51万</w:t>
      </w:r>
      <w:r>
        <w:rPr>
          <w:rFonts w:hint="eastAsia" w:ascii="Times New Roman" w:hAnsi="Times New Roman" w:eastAsia="仿宋_GB2312" w:cs="仿宋_GB2312"/>
          <w:kern w:val="0"/>
          <w:sz w:val="32"/>
          <w:szCs w:val="32"/>
          <w:highlight w:val="none"/>
          <w:lang w:val="en-US" w:eastAsia="zh-CN"/>
        </w:rPr>
        <w:t>元，占2.65%；住</w:t>
      </w:r>
      <w:r>
        <w:rPr>
          <w:rFonts w:hint="eastAsia" w:ascii="Times New Roman" w:hAnsi="Times New Roman" w:eastAsia="仿宋_GB2312" w:cs="仿宋_GB2312"/>
          <w:kern w:val="0"/>
          <w:sz w:val="32"/>
          <w:szCs w:val="32"/>
          <w:lang w:val="en-US" w:eastAsia="zh-CN"/>
        </w:rPr>
        <w:t>房保障支出79.42万元，占7.38%。</w:t>
      </w:r>
    </w:p>
    <w:p w14:paraId="7796D90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3A307B1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仿宋" w:hAnsi="仿宋" w:eastAsia="仿宋" w:cs="宋体"/>
          <w:color w:val="auto"/>
          <w:kern w:val="0"/>
          <w:sz w:val="32"/>
          <w:szCs w:val="32"/>
        </w:rPr>
        <w:t>一般公共服务（类）</w:t>
      </w:r>
      <w:r>
        <w:rPr>
          <w:rFonts w:hint="eastAsia" w:ascii="仿宋" w:hAnsi="仿宋" w:eastAsia="仿宋" w:cs="宋体"/>
          <w:color w:val="auto"/>
          <w:kern w:val="0"/>
          <w:sz w:val="32"/>
          <w:szCs w:val="32"/>
          <w:lang w:eastAsia="zh-CN"/>
        </w:rPr>
        <w:t>市场监督管理事务</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eastAsia="zh-CN"/>
        </w:rPr>
        <w:t>行政运行</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763.89</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万元，主要用于：机关及参公管理事业单位正常运转的基本支出，包括基本工资、津贴补贴等人员经费以及办公费、印刷费、水电费等日常公用经费。</w:t>
      </w:r>
    </w:p>
    <w:p w14:paraId="2DE198F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宋体"/>
          <w:color w:val="auto"/>
          <w:kern w:val="0"/>
          <w:sz w:val="32"/>
          <w:szCs w:val="32"/>
        </w:rPr>
        <w:t>一般公共服务（类）</w:t>
      </w:r>
      <w:r>
        <w:rPr>
          <w:rFonts w:hint="eastAsia" w:ascii="仿宋" w:hAnsi="仿宋" w:eastAsia="仿宋" w:cs="宋体"/>
          <w:color w:val="auto"/>
          <w:kern w:val="0"/>
          <w:sz w:val="32"/>
          <w:szCs w:val="32"/>
          <w:lang w:eastAsia="zh-CN"/>
        </w:rPr>
        <w:t>市场监督管理事务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事业运行</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kern w:val="0"/>
          <w:sz w:val="32"/>
          <w:szCs w:val="32"/>
          <w:lang w:val="en-US" w:eastAsia="zh-CN"/>
        </w:rPr>
        <w:t>为39.92</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lang w:eastAsia="zh-CN"/>
        </w:rPr>
        <w:t>事业</w:t>
      </w:r>
      <w:r>
        <w:rPr>
          <w:rFonts w:hint="eastAsia" w:ascii="仿宋" w:hAnsi="仿宋" w:eastAsia="仿宋" w:cs="宋体"/>
          <w:color w:val="auto"/>
          <w:kern w:val="0"/>
          <w:sz w:val="32"/>
          <w:szCs w:val="32"/>
        </w:rPr>
        <w:t>单位正常运转的基本支出，包括基本工资、津贴补贴等人员经费以及办公费、印刷费、水电费等日常公用经费。</w:t>
      </w:r>
    </w:p>
    <w:p w14:paraId="2E87E26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auto"/>
          <w:kern w:val="0"/>
          <w:sz w:val="32"/>
          <w:szCs w:val="32"/>
        </w:rPr>
        <w:t>一般公共服务（类）</w:t>
      </w:r>
      <w:r>
        <w:rPr>
          <w:rFonts w:hint="eastAsia" w:ascii="仿宋" w:hAnsi="仿宋" w:eastAsia="仿宋" w:cs="宋体"/>
          <w:color w:val="auto"/>
          <w:kern w:val="0"/>
          <w:sz w:val="32"/>
          <w:szCs w:val="32"/>
          <w:lang w:eastAsia="zh-CN"/>
        </w:rPr>
        <w:t>市场监督管理事务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其他市场监督管理事务</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15</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开展</w:t>
      </w:r>
      <w:r>
        <w:rPr>
          <w:rFonts w:hint="eastAsia" w:ascii="仿宋" w:hAnsi="仿宋" w:eastAsia="仿宋" w:cs="宋体"/>
          <w:color w:val="auto"/>
          <w:kern w:val="0"/>
          <w:sz w:val="32"/>
          <w:szCs w:val="32"/>
          <w:lang w:eastAsia="zh-CN"/>
        </w:rPr>
        <w:t>食品、质量安全监管等市场监督管理事务方面的工作</w:t>
      </w:r>
      <w:r>
        <w:rPr>
          <w:rFonts w:hint="eastAsia" w:ascii="Times New Roman" w:hAnsi="Times New Roman" w:eastAsia="仿宋_GB2312" w:cs="仿宋_GB2312"/>
          <w:color w:val="000000"/>
          <w:kern w:val="0"/>
          <w:sz w:val="32"/>
          <w:szCs w:val="32"/>
        </w:rPr>
        <w:t>的项目支出。</w:t>
      </w:r>
    </w:p>
    <w:p w14:paraId="216D182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4.</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机关事业单位基本养老保险缴费支出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96.29</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48519DD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机关事业单位职业年金缴费支出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kern w:val="0"/>
          <w:sz w:val="32"/>
          <w:szCs w:val="32"/>
          <w:lang w:val="en-US" w:eastAsia="zh-CN"/>
        </w:rPr>
        <w:t>48.15</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7BDEDD02">
      <w:pPr>
        <w:ind w:firstLine="640" w:firstLineChars="200"/>
        <w:rPr>
          <w:rFonts w:hint="eastAsia" w:ascii="仿宋" w:hAnsi="仿宋" w:eastAsia="仿宋" w:cs="宋体"/>
          <w:color w:val="auto"/>
          <w:kern w:val="0"/>
          <w:sz w:val="32"/>
          <w:szCs w:val="32"/>
          <w:lang w:eastAsia="zh-CN"/>
        </w:rPr>
      </w:pPr>
      <w:r>
        <w:rPr>
          <w:rFonts w:hint="eastAsia" w:ascii="仿宋" w:hAnsi="宋体" w:eastAsia="仿宋" w:cs="宋体"/>
          <w:color w:val="auto"/>
          <w:kern w:val="0"/>
          <w:sz w:val="32"/>
          <w:szCs w:val="32"/>
          <w:lang w:val="en-US" w:eastAsia="zh-CN"/>
        </w:rPr>
        <w:t>6.</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其他社会保障和就业</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val="en-US" w:eastAsia="zh-CN"/>
        </w:rPr>
        <w:t>2026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highlight w:val="none"/>
          <w:lang w:val="en-US" w:eastAsia="zh-CN"/>
        </w:rPr>
        <w:t>5.02</w:t>
      </w:r>
      <w:r>
        <w:rPr>
          <w:rFonts w:hint="eastAsia" w:ascii="仿宋" w:hAnsi="仿宋" w:eastAsia="仿宋" w:cs="宋体"/>
          <w:color w:val="auto"/>
          <w:kern w:val="0"/>
          <w:sz w:val="32"/>
          <w:szCs w:val="32"/>
          <w:highlight w:val="none"/>
        </w:rPr>
        <w:t>万元</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主要用于：部门按规定单位缴纳的工伤、失业保险的支出。</w:t>
      </w:r>
    </w:p>
    <w:p w14:paraId="7B0012A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仿宋" w:hAnsi="仿宋" w:cs="宋体"/>
          <w:color w:val="auto"/>
          <w:kern w:val="0"/>
          <w:sz w:val="32"/>
          <w:szCs w:val="32"/>
          <w:lang w:val="en-US" w:eastAsia="zh-CN"/>
        </w:rPr>
        <w:t>7</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医疗卫生与计划生育（类）</w:t>
      </w:r>
      <w:r>
        <w:rPr>
          <w:rFonts w:hint="eastAsia" w:ascii="仿宋" w:hAnsi="仿宋" w:eastAsia="仿宋" w:cs="宋体"/>
          <w:color w:val="auto"/>
          <w:kern w:val="0"/>
          <w:sz w:val="32"/>
          <w:szCs w:val="32"/>
          <w:lang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行政单位医疗</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val="en-US" w:eastAsia="zh-CN"/>
        </w:rPr>
        <w:t>2026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28.51</w:t>
      </w:r>
      <w:r>
        <w:rPr>
          <w:rFonts w:hint="eastAsia" w:ascii="仿宋" w:hAnsi="仿宋" w:eastAsia="仿宋" w:cs="宋体"/>
          <w:color w:val="auto"/>
          <w:kern w:val="0"/>
          <w:sz w:val="32"/>
          <w:szCs w:val="32"/>
        </w:rPr>
        <w:t>万元，主要用于：机关及参公管理事业单位基本医疗保险缴费支出。</w:t>
      </w:r>
    </w:p>
    <w:p w14:paraId="723A4DCD">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8.</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eastAsia="zh-CN"/>
        </w:rPr>
        <w:t>住房改革</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住房公积金</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val="en-US" w:eastAsia="zh-CN"/>
        </w:rPr>
        <w:t>2026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79.42</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0FBA859B">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4A953ACD">
      <w:pPr>
        <w:rPr>
          <w:rFonts w:hint="eastAsia" w:ascii="Times New Roman" w:hAnsi="Times New Roman" w:eastAsia="仿宋_GB2312" w:cs="仿宋_GB2312"/>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1061.2万元，其中：</w:t>
      </w:r>
    </w:p>
    <w:p w14:paraId="2A125D0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val="en-US" w:eastAsia="zh-CN"/>
        </w:rPr>
        <w:t>人员经费889.15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绩效工资、机关事业单位基本养老保险缴费、职业年金缴费、职工基本医疗保险缴费</w:t>
      </w:r>
      <w:r>
        <w:rPr>
          <w:rFonts w:hint="eastAsia" w:ascii="Times New Roman" w:hAnsi="Times New Roman" w:eastAsia="仿宋_GB2312" w:cs="仿宋_GB2312"/>
          <w:color w:val="auto"/>
          <w:kern w:val="0"/>
          <w:sz w:val="32"/>
          <w:szCs w:val="32"/>
          <w:lang w:eastAsia="zh-CN"/>
        </w:rPr>
        <w:t>、  其他社会保障缴费、</w:t>
      </w:r>
      <w:r>
        <w:rPr>
          <w:rFonts w:hint="eastAsia" w:ascii="Times New Roman" w:hAnsi="Times New Roman" w:eastAsia="仿宋_GB2312" w:cs="仿宋_GB2312"/>
          <w:color w:val="auto"/>
          <w:kern w:val="0"/>
          <w:sz w:val="32"/>
          <w:szCs w:val="32"/>
        </w:rPr>
        <w:t>住房公积金、其他对个人和家庭的补助支出。</w:t>
      </w:r>
    </w:p>
    <w:p w14:paraId="3E8C2BC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lang w:val="en-US" w:eastAsia="zh-CN"/>
        </w:rPr>
        <w:t>172.05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办公费、印刷费、水费、电费、邮电费、差旅费、维修（护）费、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劳务费、工会经费、福利费、</w:t>
      </w:r>
      <w:r>
        <w:rPr>
          <w:rFonts w:hint="eastAsia" w:ascii="Times New Roman" w:hAnsi="Times New Roman" w:eastAsia="仿宋_GB2312" w:cs="仿宋_GB2312"/>
          <w:color w:val="auto"/>
          <w:kern w:val="0"/>
          <w:sz w:val="32"/>
          <w:szCs w:val="32"/>
          <w:lang w:eastAsia="zh-CN"/>
        </w:rPr>
        <w:t>公车运行维护费、</w:t>
      </w:r>
      <w:r>
        <w:rPr>
          <w:rFonts w:hint="eastAsia" w:ascii="Times New Roman" w:hAnsi="Times New Roman" w:eastAsia="仿宋_GB2312" w:cs="仿宋_GB2312"/>
          <w:color w:val="auto"/>
          <w:kern w:val="0"/>
          <w:sz w:val="32"/>
          <w:szCs w:val="32"/>
        </w:rPr>
        <w:t>其他交通费、其他商品和服务支出。</w:t>
      </w:r>
    </w:p>
    <w:p w14:paraId="6BE21DAE">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6DBEA135">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507FD03D">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013BEB0B">
      <w:pPr>
        <w:rPr>
          <w:rFonts w:hint="eastAsia" w:ascii="Times New Roman" w:hAnsi="Times New Roman" w:eastAsia="仿宋_GB2312" w:cs="仿宋_GB2312"/>
          <w:color w:val="FF0000"/>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347EEF88">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371D917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32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万元。</w:t>
      </w:r>
    </w:p>
    <w:p w14:paraId="15DBBE1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年均无因</w:t>
      </w:r>
      <w:r>
        <w:rPr>
          <w:rFonts w:hint="eastAsia" w:ascii="仿宋_GB2312" w:hAnsi="仿宋_GB2312" w:eastAsia="仿宋_GB2312" w:cs="仿宋_GB2312"/>
          <w:color w:val="auto"/>
          <w:kern w:val="2"/>
          <w:sz w:val="32"/>
          <w:szCs w:val="32"/>
          <w:lang w:val="en-US" w:eastAsia="zh-CN" w:bidi="ar-SA"/>
        </w:rPr>
        <w:t>公出</w:t>
      </w:r>
      <w:r>
        <w:rPr>
          <w:rFonts w:hint="eastAsia" w:ascii="Times New Roman" w:hAnsi="Times New Roman" w:eastAsia="仿宋_GB2312" w:cs="仿宋_GB2312"/>
          <w:color w:val="auto"/>
          <w:kern w:val="0"/>
          <w:sz w:val="32"/>
          <w:szCs w:val="32"/>
        </w:rPr>
        <w:t>国（境）费用支出。</w:t>
      </w:r>
    </w:p>
    <w:p w14:paraId="795BD44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43A72F95">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周边区县</w:t>
      </w:r>
      <w:r>
        <w:rPr>
          <w:rFonts w:hint="eastAsia" w:ascii="Times New Roman" w:hAnsi="Times New Roman" w:eastAsia="仿宋_GB2312" w:cs="仿宋_GB2312"/>
          <w:color w:val="auto"/>
          <w:kern w:val="0"/>
          <w:sz w:val="32"/>
          <w:szCs w:val="32"/>
        </w:rPr>
        <w:t>来我单位交流学习等。</w:t>
      </w:r>
    </w:p>
    <w:p w14:paraId="02802A3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，主要原因是</w:t>
      </w:r>
      <w:r>
        <w:rPr>
          <w:rFonts w:hint="eastAsia" w:ascii="Times New Roman" w:hAnsi="Times New Roman" w:eastAsia="仿宋_GB2312" w:cs="仿宋_GB2312"/>
          <w:color w:val="auto"/>
          <w:kern w:val="0"/>
          <w:sz w:val="32"/>
          <w:szCs w:val="32"/>
          <w:lang w:val="en-US" w:eastAsia="zh-CN"/>
        </w:rPr>
        <w:t>严格执行公务用车管理规定，从严控制支出</w:t>
      </w:r>
      <w:r>
        <w:rPr>
          <w:rFonts w:hint="eastAsia" w:ascii="Times New Roman" w:hAnsi="Times New Roman" w:eastAsia="仿宋_GB2312" w:cs="仿宋_GB2312"/>
          <w:color w:val="auto"/>
          <w:kern w:val="0"/>
          <w:sz w:val="32"/>
          <w:szCs w:val="32"/>
        </w:rPr>
        <w:t>。</w:t>
      </w:r>
    </w:p>
    <w:p w14:paraId="36A9D69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w:t>
      </w:r>
    </w:p>
    <w:p w14:paraId="73A6704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6A5EA67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18866524">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582B62A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2DF9FC8F">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172.05</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w:t>
      </w:r>
      <w:r>
        <w:rPr>
          <w:rFonts w:hint="eastAsia" w:ascii="Times New Roman" w:hAnsi="Times New Roman" w:eastAsia="仿宋_GB2312" w:cs="仿宋_GB2312"/>
          <w:color w:val="auto"/>
          <w:sz w:val="32"/>
          <w:szCs w:val="32"/>
          <w:shd w:val="clear" w:color="auto" w:fill="FFFFFF"/>
          <w:lang w:val="en-US" w:eastAsia="zh-CN"/>
        </w:rPr>
        <w:t>5</w:t>
      </w:r>
      <w:r>
        <w:rPr>
          <w:rFonts w:hint="eastAsia" w:ascii="Times New Roman" w:hAnsi="Times New Roman" w:eastAsia="仿宋_GB2312" w:cs="仿宋_GB2312"/>
          <w:color w:val="auto"/>
          <w:sz w:val="32"/>
          <w:szCs w:val="32"/>
          <w:shd w:val="clear" w:color="auto" w:fill="FFFFFF"/>
          <w:lang w:eastAsia="zh-CN"/>
        </w:rPr>
        <w:t>年预算</w:t>
      </w:r>
      <w:r>
        <w:rPr>
          <w:rFonts w:hint="eastAsia" w:ascii="Times New Roman" w:hAnsi="Times New Roman" w:eastAsia="仿宋_GB2312" w:cs="仿宋_GB2312"/>
          <w:color w:val="auto"/>
          <w:sz w:val="32"/>
          <w:szCs w:val="32"/>
          <w:shd w:val="clear" w:color="auto" w:fill="FFFFFF"/>
          <w:lang w:val="en-US" w:eastAsia="zh-CN"/>
        </w:rPr>
        <w:t>减少</w:t>
      </w:r>
      <w:r>
        <w:rPr>
          <w:rFonts w:hint="eastAsia" w:ascii="Times New Roman" w:hAnsi="Times New Roman" w:eastAsia="仿宋_GB2312" w:cs="仿宋_GB2312"/>
          <w:color w:val="auto"/>
          <w:kern w:val="0"/>
          <w:sz w:val="32"/>
          <w:szCs w:val="32"/>
          <w:lang w:val="en-US" w:eastAsia="zh-CN"/>
        </w:rPr>
        <w:t>8.08</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kern w:val="0"/>
          <w:sz w:val="32"/>
          <w:szCs w:val="32"/>
          <w:lang w:val="en-US" w:eastAsia="zh-CN"/>
        </w:rPr>
        <w:t>2026年人员比2025年减少5人，所以对应的运行经费财政拨款预算减少</w:t>
      </w:r>
      <w:r>
        <w:rPr>
          <w:rFonts w:hint="eastAsia" w:ascii="Times New Roman" w:hAnsi="Times New Roman" w:eastAsia="仿宋_GB2312" w:cs="仿宋_GB2312"/>
          <w:color w:val="auto"/>
          <w:sz w:val="32"/>
          <w:szCs w:val="32"/>
          <w:shd w:val="clear" w:color="auto" w:fill="FFFFFF"/>
        </w:rPr>
        <w:t>。</w:t>
      </w:r>
    </w:p>
    <w:p w14:paraId="1B9A6B6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1178108">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000000"/>
          <w:kern w:val="0"/>
          <w:sz w:val="32"/>
          <w:szCs w:val="32"/>
          <w:lang w:eastAsia="zh-CN"/>
        </w:rPr>
        <w:t>安排政府采购预算</w:t>
      </w:r>
      <w:r>
        <w:rPr>
          <w:rFonts w:hint="eastAsia" w:ascii="Times New Roman" w:hAnsi="Times New Roman" w:eastAsia="仿宋_GB2312" w:cs="仿宋_GB2312"/>
          <w:color w:val="000000"/>
          <w:kern w:val="0"/>
          <w:sz w:val="32"/>
          <w:szCs w:val="32"/>
          <w:lang w:val="en-US" w:eastAsia="zh-CN"/>
        </w:rPr>
        <w:t>15万元，</w:t>
      </w:r>
      <w:r>
        <w:rPr>
          <w:rFonts w:hint="eastAsia" w:ascii="Times New Roman" w:hAnsi="Times New Roman" w:eastAsia="仿宋_GB2312" w:cs="仿宋_GB2312"/>
          <w:color w:val="000000"/>
          <w:kern w:val="0"/>
          <w:sz w:val="32"/>
          <w:szCs w:val="32"/>
          <w:lang w:eastAsia="zh-CN"/>
        </w:rPr>
        <w:t>其中，政府采购货物预算</w:t>
      </w:r>
      <w:r>
        <w:rPr>
          <w:rFonts w:hint="eastAsia" w:ascii="Times New Roman" w:hAnsi="Times New Roman" w:eastAsia="仿宋_GB2312" w:cs="仿宋_GB2312"/>
          <w:color w:val="000000"/>
          <w:kern w:val="0"/>
          <w:sz w:val="32"/>
          <w:szCs w:val="32"/>
          <w:lang w:val="en-US" w:eastAsia="zh-CN"/>
        </w:rPr>
        <w:t>15万元</w:t>
      </w:r>
      <w:r>
        <w:rPr>
          <w:rFonts w:hint="eastAsia" w:ascii="Times New Roman" w:hAnsi="Times New Roman" w:eastAsia="仿宋_GB2312" w:cs="仿宋_GB2312"/>
          <w:color w:val="000000"/>
          <w:kern w:val="0"/>
          <w:sz w:val="32"/>
          <w:szCs w:val="32"/>
          <w:lang w:eastAsia="zh-CN"/>
        </w:rPr>
        <w:t>。</w:t>
      </w:r>
    </w:p>
    <w:p w14:paraId="5C12D64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37490D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仿宋_GB2312" w:hAnsi="仿宋_GB2312" w:eastAsia="仿宋_GB2312" w:cs="仿宋_GB2312"/>
          <w:color w:val="auto"/>
          <w:kern w:val="2"/>
          <w:sz w:val="32"/>
          <w:szCs w:val="32"/>
          <w:lang w:val="en-US" w:eastAsia="zh-CN" w:bidi="ar-SA"/>
        </w:rPr>
        <w:t>峨边彝族自治县市场监督管理局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824F500">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6904CA6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9793309">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2026年，</w:t>
      </w:r>
      <w:r>
        <w:rPr>
          <w:rFonts w:hint="eastAsia" w:ascii="Times New Roman" w:hAnsi="Times New Roman" w:eastAsia="仿宋_GB2312" w:cs="仿宋_GB2312"/>
          <w:color w:val="auto"/>
          <w:kern w:val="0"/>
          <w:lang w:val="en-US" w:eastAsia="zh-CN"/>
        </w:rPr>
        <w:t>峨边彝族自治县市场监督管理局</w:t>
      </w:r>
      <w:r>
        <w:rPr>
          <w:rFonts w:hint="eastAsia" w:ascii="Times New Roman" w:hAnsi="Times New Roman" w:eastAsia="仿宋_GB2312" w:cs="仿宋_GB2312"/>
          <w:color w:val="auto"/>
          <w:kern w:val="0"/>
          <w:lang w:eastAsia="zh-CN"/>
        </w:rPr>
        <w:t>开展绩效目标管理的项目</w:t>
      </w:r>
      <w:r>
        <w:rPr>
          <w:rFonts w:hint="eastAsia" w:ascii="Times New Roman" w:hAnsi="Times New Roman" w:eastAsia="仿宋_GB2312" w:cs="仿宋_GB2312"/>
          <w:color w:val="auto"/>
          <w:kern w:val="0"/>
          <w:lang w:val="en-US" w:eastAsia="zh-CN"/>
        </w:rPr>
        <w:t>1</w:t>
      </w:r>
      <w:r>
        <w:rPr>
          <w:rFonts w:hint="eastAsia" w:ascii="Times New Roman" w:hAnsi="Times New Roman" w:eastAsia="仿宋_GB2312" w:cs="仿宋_GB2312"/>
          <w:color w:val="auto"/>
          <w:kern w:val="0"/>
          <w:lang w:eastAsia="zh-CN"/>
        </w:rPr>
        <w:t>个，涉及预算</w:t>
      </w:r>
      <w:r>
        <w:rPr>
          <w:rFonts w:hint="eastAsia" w:ascii="Times New Roman" w:hAnsi="Times New Roman" w:eastAsia="仿宋_GB2312" w:cs="仿宋_GB2312"/>
          <w:color w:val="auto"/>
          <w:kern w:val="0"/>
          <w:lang w:val="en-US" w:eastAsia="zh-CN"/>
        </w:rPr>
        <w:t>15</w:t>
      </w:r>
      <w:r>
        <w:rPr>
          <w:rFonts w:hint="eastAsia" w:ascii="Times New Roman" w:hAnsi="Times New Roman" w:eastAsia="仿宋_GB2312" w:cs="仿宋_GB2312"/>
          <w:color w:val="auto"/>
          <w:kern w:val="0"/>
          <w:lang w:eastAsia="zh-CN"/>
        </w:rPr>
        <w:t>万元。其中：特定目标类项目</w:t>
      </w:r>
      <w:r>
        <w:rPr>
          <w:rFonts w:hint="eastAsia" w:ascii="Times New Roman" w:hAnsi="Times New Roman" w:eastAsia="仿宋_GB2312" w:cs="仿宋_GB2312"/>
          <w:color w:val="auto"/>
          <w:kern w:val="0"/>
          <w:lang w:val="en-US" w:eastAsia="zh-CN"/>
        </w:rPr>
        <w:t>1</w:t>
      </w:r>
      <w:r>
        <w:rPr>
          <w:rFonts w:hint="eastAsia" w:ascii="Times New Roman" w:hAnsi="Times New Roman" w:eastAsia="仿宋_GB2312" w:cs="仿宋_GB2312"/>
          <w:color w:val="auto"/>
          <w:kern w:val="0"/>
          <w:lang w:eastAsia="zh-CN"/>
        </w:rPr>
        <w:t>个，涉及预算</w:t>
      </w:r>
      <w:r>
        <w:rPr>
          <w:rFonts w:hint="eastAsia" w:ascii="Times New Roman" w:hAnsi="Times New Roman" w:eastAsia="仿宋_GB2312" w:cs="仿宋_GB2312"/>
          <w:color w:val="auto"/>
          <w:kern w:val="0"/>
          <w:lang w:val="en-US" w:eastAsia="zh-CN"/>
        </w:rPr>
        <w:t>15</w:t>
      </w:r>
      <w:r>
        <w:rPr>
          <w:rFonts w:hint="eastAsia" w:ascii="Times New Roman" w:hAnsi="Times New Roman" w:eastAsia="仿宋_GB2312" w:cs="仿宋_GB2312"/>
          <w:color w:val="auto"/>
          <w:kern w:val="0"/>
          <w:lang w:eastAsia="zh-CN"/>
        </w:rPr>
        <w:t>万元</w:t>
      </w:r>
      <w:r>
        <w:rPr>
          <w:rFonts w:hint="eastAsia" w:ascii="Times New Roman" w:hAnsi="Times New Roman" w:eastAsia="仿宋_GB2312" w:cs="仿宋_GB2312"/>
          <w:color w:val="auto"/>
          <w:kern w:val="0"/>
        </w:rPr>
        <w:t>。</w:t>
      </w:r>
    </w:p>
    <w:p w14:paraId="6F4DDD10">
      <w:pPr>
        <w:ind w:left="0" w:leftChars="0" w:firstLine="0" w:firstLineChars="0"/>
        <w:rPr>
          <w:rFonts w:hint="eastAsia"/>
          <w:lang w:val="en-US" w:eastAsia="zh-CN"/>
        </w:rPr>
      </w:pPr>
    </w:p>
    <w:p w14:paraId="01522134">
      <w:pPr>
        <w:pStyle w:val="2"/>
        <w:rPr>
          <w:rFonts w:hint="eastAsia"/>
          <w:lang w:val="en-US" w:eastAsia="zh-CN"/>
        </w:rPr>
      </w:pPr>
    </w:p>
    <w:p w14:paraId="65526A61">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63E4DA11">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CC06878">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008EC40">
      <w:pPr>
        <w:widowControl/>
        <w:numPr>
          <w:ilvl w:val="0"/>
          <w:numId w:val="0"/>
        </w:numPr>
        <w:shd w:val="clear" w:color="auto" w:fill="FFFFFF"/>
        <w:jc w:val="left"/>
        <w:rPr>
          <w:rFonts w:hint="eastAsia" w:ascii="仿宋" w:hAnsi="宋体" w:eastAsia="仿宋" w:cs="宋体"/>
          <w:color w:val="000000"/>
          <w:kern w:val="0"/>
          <w:sz w:val="32"/>
          <w:szCs w:val="32"/>
        </w:rPr>
      </w:pPr>
    </w:p>
    <w:p w14:paraId="473722F1">
      <w:pPr>
        <w:widowControl/>
        <w:numPr>
          <w:ilvl w:val="0"/>
          <w:numId w:val="0"/>
        </w:numPr>
        <w:shd w:val="clear" w:color="auto" w:fill="FFFFFF"/>
        <w:jc w:val="left"/>
        <w:rPr>
          <w:rFonts w:hint="eastAsia" w:ascii="仿宋" w:hAnsi="宋体" w:eastAsia="仿宋" w:cs="宋体"/>
          <w:color w:val="000000"/>
          <w:kern w:val="0"/>
          <w:sz w:val="32"/>
          <w:szCs w:val="32"/>
        </w:rPr>
      </w:pPr>
    </w:p>
    <w:p w14:paraId="6CAD42CC">
      <w:pPr>
        <w:widowControl/>
        <w:numPr>
          <w:ilvl w:val="0"/>
          <w:numId w:val="0"/>
        </w:numPr>
        <w:shd w:val="clear" w:color="auto" w:fill="FFFFFF"/>
        <w:jc w:val="left"/>
        <w:rPr>
          <w:rFonts w:hint="eastAsia" w:ascii="仿宋" w:hAnsi="宋体" w:eastAsia="仿宋" w:cs="宋体"/>
          <w:color w:val="000000"/>
          <w:kern w:val="0"/>
          <w:sz w:val="32"/>
          <w:szCs w:val="32"/>
        </w:rPr>
      </w:pPr>
    </w:p>
    <w:p w14:paraId="09F16F5E">
      <w:pPr>
        <w:widowControl/>
        <w:numPr>
          <w:ilvl w:val="0"/>
          <w:numId w:val="0"/>
        </w:numPr>
        <w:shd w:val="clear" w:color="auto" w:fill="FFFFFF"/>
        <w:jc w:val="left"/>
        <w:rPr>
          <w:rFonts w:hint="eastAsia" w:ascii="仿宋" w:hAnsi="宋体" w:eastAsia="仿宋" w:cs="宋体"/>
          <w:color w:val="000000"/>
          <w:kern w:val="0"/>
          <w:sz w:val="32"/>
          <w:szCs w:val="32"/>
        </w:rPr>
      </w:pPr>
    </w:p>
    <w:p w14:paraId="55ECEFA8">
      <w:pPr>
        <w:widowControl/>
        <w:numPr>
          <w:ilvl w:val="0"/>
          <w:numId w:val="0"/>
        </w:numPr>
        <w:shd w:val="clear" w:color="auto" w:fill="FFFFFF"/>
        <w:jc w:val="left"/>
        <w:rPr>
          <w:rFonts w:hint="eastAsia" w:ascii="仿宋" w:hAnsi="宋体" w:eastAsia="仿宋" w:cs="宋体"/>
          <w:color w:val="000000"/>
          <w:kern w:val="0"/>
          <w:sz w:val="32"/>
          <w:szCs w:val="32"/>
        </w:rPr>
      </w:pPr>
    </w:p>
    <w:p w14:paraId="0511BBAB">
      <w:pPr>
        <w:widowControl/>
        <w:numPr>
          <w:ilvl w:val="0"/>
          <w:numId w:val="0"/>
        </w:numPr>
        <w:shd w:val="clear" w:color="auto" w:fill="FFFFFF"/>
        <w:jc w:val="left"/>
        <w:rPr>
          <w:rFonts w:hint="eastAsia" w:ascii="仿宋" w:hAnsi="宋体" w:eastAsia="仿宋" w:cs="宋体"/>
          <w:color w:val="000000"/>
          <w:kern w:val="0"/>
          <w:sz w:val="32"/>
          <w:szCs w:val="32"/>
        </w:rPr>
      </w:pPr>
    </w:p>
    <w:p w14:paraId="2BCC19DA">
      <w:pPr>
        <w:widowControl/>
        <w:numPr>
          <w:ilvl w:val="0"/>
          <w:numId w:val="0"/>
        </w:numPr>
        <w:shd w:val="clear" w:color="auto" w:fill="FFFFFF"/>
        <w:jc w:val="left"/>
        <w:rPr>
          <w:rFonts w:hint="eastAsia" w:ascii="仿宋" w:hAnsi="宋体" w:eastAsia="仿宋" w:cs="宋体"/>
          <w:color w:val="000000"/>
          <w:kern w:val="0"/>
          <w:sz w:val="32"/>
          <w:szCs w:val="32"/>
        </w:rPr>
      </w:pPr>
    </w:p>
    <w:p w14:paraId="4DD9DF69">
      <w:pPr>
        <w:widowControl/>
        <w:numPr>
          <w:ilvl w:val="0"/>
          <w:numId w:val="0"/>
        </w:numPr>
        <w:shd w:val="clear" w:color="auto" w:fill="FFFFFF"/>
        <w:jc w:val="left"/>
        <w:rPr>
          <w:rFonts w:hint="eastAsia" w:ascii="仿宋" w:hAnsi="宋体" w:eastAsia="仿宋" w:cs="宋体"/>
          <w:color w:val="000000"/>
          <w:kern w:val="0"/>
          <w:sz w:val="32"/>
          <w:szCs w:val="32"/>
        </w:rPr>
      </w:pPr>
    </w:p>
    <w:p w14:paraId="145E0423">
      <w:pPr>
        <w:widowControl/>
        <w:numPr>
          <w:ilvl w:val="0"/>
          <w:numId w:val="0"/>
        </w:numPr>
        <w:shd w:val="clear" w:color="auto" w:fill="FFFFFF"/>
        <w:jc w:val="left"/>
        <w:rPr>
          <w:rFonts w:hint="eastAsia" w:ascii="仿宋" w:hAnsi="宋体" w:eastAsia="仿宋" w:cs="宋体"/>
          <w:color w:val="000000"/>
          <w:kern w:val="0"/>
          <w:sz w:val="32"/>
          <w:szCs w:val="32"/>
        </w:rPr>
      </w:pPr>
    </w:p>
    <w:p w14:paraId="7C6AC292">
      <w:pPr>
        <w:widowControl/>
        <w:numPr>
          <w:ilvl w:val="0"/>
          <w:numId w:val="0"/>
        </w:numPr>
        <w:shd w:val="clear" w:color="auto" w:fill="FFFFFF"/>
        <w:jc w:val="left"/>
        <w:rPr>
          <w:rFonts w:hint="eastAsia" w:ascii="仿宋" w:hAnsi="宋体" w:eastAsia="仿宋" w:cs="宋体"/>
          <w:color w:val="000000"/>
          <w:kern w:val="0"/>
          <w:sz w:val="32"/>
          <w:szCs w:val="32"/>
        </w:rPr>
      </w:pPr>
    </w:p>
    <w:p w14:paraId="2C127ADE">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2BC6092">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94BB063">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8C2E97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40D951D">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88E319A">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E21FA7C">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DB37939">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169C050">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C7E14BF">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14171EE">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528303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58FA619">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6FEB0B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6DF83CE">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FFE4F7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5C81FB09">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2686E1A">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49C6BD0C">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21FE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6E228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46E228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MWU5MmUxY2I3NzJkNzlhOTUxZmJiZWJmODk0NGY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2701CD"/>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A0A1E"/>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0A032C"/>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627B8A"/>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61DE0"/>
    <w:rsid w:val="15D8136C"/>
    <w:rsid w:val="15E80FCB"/>
    <w:rsid w:val="169B01CE"/>
    <w:rsid w:val="16BA0530"/>
    <w:rsid w:val="16CD70BB"/>
    <w:rsid w:val="172E2ACB"/>
    <w:rsid w:val="17304353"/>
    <w:rsid w:val="17403920"/>
    <w:rsid w:val="177612FA"/>
    <w:rsid w:val="17D759F2"/>
    <w:rsid w:val="17E736DB"/>
    <w:rsid w:val="17F770F6"/>
    <w:rsid w:val="181727DC"/>
    <w:rsid w:val="18510D87"/>
    <w:rsid w:val="1851164D"/>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7460D"/>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1DB3E05"/>
    <w:rsid w:val="22121464"/>
    <w:rsid w:val="22653E5A"/>
    <w:rsid w:val="22673757"/>
    <w:rsid w:val="22AD5E3A"/>
    <w:rsid w:val="230431AF"/>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A6677"/>
    <w:rsid w:val="29EE4FAE"/>
    <w:rsid w:val="2A0677A5"/>
    <w:rsid w:val="2A3E1EBB"/>
    <w:rsid w:val="2A6A7B31"/>
    <w:rsid w:val="2AFE1AAC"/>
    <w:rsid w:val="2B424B14"/>
    <w:rsid w:val="2B576F68"/>
    <w:rsid w:val="2B580C97"/>
    <w:rsid w:val="2B7A76AB"/>
    <w:rsid w:val="2B7F27BA"/>
    <w:rsid w:val="2BE62BB6"/>
    <w:rsid w:val="2BEE7D2D"/>
    <w:rsid w:val="2C0868BC"/>
    <w:rsid w:val="2C262A09"/>
    <w:rsid w:val="2C456543"/>
    <w:rsid w:val="2C56698C"/>
    <w:rsid w:val="2C6829BD"/>
    <w:rsid w:val="2C726404"/>
    <w:rsid w:val="2C8269FB"/>
    <w:rsid w:val="2CC43FE4"/>
    <w:rsid w:val="2CE403B9"/>
    <w:rsid w:val="2CE77D75"/>
    <w:rsid w:val="2D5F7A17"/>
    <w:rsid w:val="2D662BE8"/>
    <w:rsid w:val="2D9C0EC6"/>
    <w:rsid w:val="2DD12008"/>
    <w:rsid w:val="2DEF169F"/>
    <w:rsid w:val="2E2A4CEC"/>
    <w:rsid w:val="2E395AB2"/>
    <w:rsid w:val="2E3E712E"/>
    <w:rsid w:val="2E68418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6C6"/>
    <w:rsid w:val="3A591E05"/>
    <w:rsid w:val="3A8C587F"/>
    <w:rsid w:val="3A9841D9"/>
    <w:rsid w:val="3AA6415D"/>
    <w:rsid w:val="3AC022D7"/>
    <w:rsid w:val="3AD0720B"/>
    <w:rsid w:val="3AD87EC3"/>
    <w:rsid w:val="3AE2704C"/>
    <w:rsid w:val="3B0E09AE"/>
    <w:rsid w:val="3B133333"/>
    <w:rsid w:val="3B433201"/>
    <w:rsid w:val="3B4F241E"/>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4B53A5"/>
    <w:rsid w:val="425C545A"/>
    <w:rsid w:val="42636FB6"/>
    <w:rsid w:val="42811BC4"/>
    <w:rsid w:val="42B60B92"/>
    <w:rsid w:val="42D650B2"/>
    <w:rsid w:val="42DD34D6"/>
    <w:rsid w:val="43137D99"/>
    <w:rsid w:val="43475BB2"/>
    <w:rsid w:val="43D34C48"/>
    <w:rsid w:val="44090B96"/>
    <w:rsid w:val="44906B29"/>
    <w:rsid w:val="44B452A6"/>
    <w:rsid w:val="44D407CC"/>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F210EF"/>
    <w:rsid w:val="4F011EB4"/>
    <w:rsid w:val="4F156DD1"/>
    <w:rsid w:val="4F270107"/>
    <w:rsid w:val="4F5E0589"/>
    <w:rsid w:val="4F82145C"/>
    <w:rsid w:val="4FB627BF"/>
    <w:rsid w:val="504B7277"/>
    <w:rsid w:val="50765CB0"/>
    <w:rsid w:val="50801331"/>
    <w:rsid w:val="50924CFB"/>
    <w:rsid w:val="50DC614F"/>
    <w:rsid w:val="50E0282D"/>
    <w:rsid w:val="51050BFE"/>
    <w:rsid w:val="51166CE7"/>
    <w:rsid w:val="51395CD6"/>
    <w:rsid w:val="5166767E"/>
    <w:rsid w:val="51710636"/>
    <w:rsid w:val="51E16B86"/>
    <w:rsid w:val="51F040FB"/>
    <w:rsid w:val="51F71E1A"/>
    <w:rsid w:val="522E33FF"/>
    <w:rsid w:val="523F3B40"/>
    <w:rsid w:val="529507CD"/>
    <w:rsid w:val="5329175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C74811"/>
    <w:rsid w:val="57E735A9"/>
    <w:rsid w:val="57ED3CD1"/>
    <w:rsid w:val="57FC4596"/>
    <w:rsid w:val="58974137"/>
    <w:rsid w:val="589F2BD8"/>
    <w:rsid w:val="58A423E4"/>
    <w:rsid w:val="58D76DB3"/>
    <w:rsid w:val="58D96039"/>
    <w:rsid w:val="58E04384"/>
    <w:rsid w:val="58E64088"/>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363B63"/>
    <w:rsid w:val="5E566896"/>
    <w:rsid w:val="5E604B3E"/>
    <w:rsid w:val="5E64737F"/>
    <w:rsid w:val="5E77526B"/>
    <w:rsid w:val="5E921426"/>
    <w:rsid w:val="5EA77AD3"/>
    <w:rsid w:val="5EB95DD2"/>
    <w:rsid w:val="5F5C2EFA"/>
    <w:rsid w:val="5F7255C6"/>
    <w:rsid w:val="5F785834"/>
    <w:rsid w:val="5F93686E"/>
    <w:rsid w:val="5FB13C1C"/>
    <w:rsid w:val="5FC75282"/>
    <w:rsid w:val="5FE1567A"/>
    <w:rsid w:val="5FEC1BF5"/>
    <w:rsid w:val="60C2709E"/>
    <w:rsid w:val="6106329C"/>
    <w:rsid w:val="610E451F"/>
    <w:rsid w:val="61705F7C"/>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BF4B9D"/>
    <w:rsid w:val="65CF48B7"/>
    <w:rsid w:val="65E3052E"/>
    <w:rsid w:val="65EF238E"/>
    <w:rsid w:val="65FD30D1"/>
    <w:rsid w:val="660A4448"/>
    <w:rsid w:val="661B3704"/>
    <w:rsid w:val="66704573"/>
    <w:rsid w:val="66797ED2"/>
    <w:rsid w:val="66A05DC1"/>
    <w:rsid w:val="66B16DB5"/>
    <w:rsid w:val="66D91364"/>
    <w:rsid w:val="66EC4861"/>
    <w:rsid w:val="670A555D"/>
    <w:rsid w:val="675A74FA"/>
    <w:rsid w:val="6776003E"/>
    <w:rsid w:val="67DE101C"/>
    <w:rsid w:val="67FC099D"/>
    <w:rsid w:val="683A42B9"/>
    <w:rsid w:val="68413617"/>
    <w:rsid w:val="68FA5E7F"/>
    <w:rsid w:val="6903253C"/>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A278B0"/>
    <w:rsid w:val="73B07BE6"/>
    <w:rsid w:val="73B155E8"/>
    <w:rsid w:val="741C4825"/>
    <w:rsid w:val="74280C84"/>
    <w:rsid w:val="742A2BFF"/>
    <w:rsid w:val="745921C5"/>
    <w:rsid w:val="74693BC7"/>
    <w:rsid w:val="74977010"/>
    <w:rsid w:val="74CA64C0"/>
    <w:rsid w:val="74F0609E"/>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2540C6"/>
    <w:rsid w:val="78361828"/>
    <w:rsid w:val="78557445"/>
    <w:rsid w:val="788E1D2B"/>
    <w:rsid w:val="78AC5FDC"/>
    <w:rsid w:val="79223282"/>
    <w:rsid w:val="797A7F90"/>
    <w:rsid w:val="79FC224E"/>
    <w:rsid w:val="7A01796E"/>
    <w:rsid w:val="7A056E77"/>
    <w:rsid w:val="7A5173A9"/>
    <w:rsid w:val="7A5A076F"/>
    <w:rsid w:val="7B3C7DB9"/>
    <w:rsid w:val="7BC22FF4"/>
    <w:rsid w:val="7BFD4C52"/>
    <w:rsid w:val="7C622CA0"/>
    <w:rsid w:val="7C731091"/>
    <w:rsid w:val="7CA440B9"/>
    <w:rsid w:val="7DB05089"/>
    <w:rsid w:val="7E5768E9"/>
    <w:rsid w:val="7EBF1A58"/>
    <w:rsid w:val="7EC3202A"/>
    <w:rsid w:val="7ED02DDB"/>
    <w:rsid w:val="7F380CA6"/>
    <w:rsid w:val="7F626766"/>
    <w:rsid w:val="7F73305A"/>
    <w:rsid w:val="7FE4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qFormat/>
    <w:uiPriority w:val="99"/>
    <w:pPr>
      <w:suppressAutoHyphens w:val="0"/>
      <w:jc w:val="left"/>
      <w:outlineLvl w:val="0"/>
    </w:pPr>
    <w:rPr>
      <w:rFonts w:ascii="Arial" w:hAnsi="Arial" w:eastAsia="宋体" w:cs="Times New Roman"/>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33e23852-1612-4681-b295-bc993db7d974</errorID>
      <errorWord>拟订</errorWord>
      <group>L1_Word</group>
      <groupName>字词问题</groupName>
      <ability>L2_Typo</ability>
      <abilityName>字词错误</abilityName>
      <candidateList>
        <item>拟定</item>
      </candidateList>
      <explain/>
      <paraID>41C525A1</paraID>
      <start>34</start>
      <end>36</end>
      <status>ignored</status>
      <modifiedWord/>
      <trackRevisions>false</trackRevisions>
    </reviewItem>
    <reviewItem>
      <errorID>9c877644-07d2-42a6-ab4a-53835b81a889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37C411FB</paraID>
      <start>46</start>
      <end>54</end>
      <status>ignored</status>
      <modifiedWord/>
      <trackRevisions>false</trackRevisions>
    </reviewItem>
    <reviewItem>
      <errorID>af638d67-dd1d-4871-b125-40d666a0a453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43AAC2A1</paraID>
      <start>53</start>
      <end>61</end>
      <status>ignored</status>
      <modifiedWord/>
      <trackRevisions>false</trackRevisions>
    </reviewItem>
    <reviewItem>
      <errorID>fad14550-527e-4685-98a7-dc84d11a6d43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31FF8B9C</paraID>
      <start>7</start>
      <end>15</end>
      <status>ignored</status>
      <modifiedWord/>
      <trackRevisions>false</trackRevisions>
    </reviewItem>
    <reviewItem>
      <errorID>c13307ce-4d24-47f7-b416-5d1b680d5031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31FF8B9C</paraID>
      <start>30</start>
      <end>38</end>
      <status>ignored</status>
      <modifiedWord/>
      <trackRevisions>false</trackRevisions>
    </reviewItem>
    <reviewItem>
      <errorID>50a755f1-8a31-44c2-8fc6-32ba1b3af9dc</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70BCEDB3</paraID>
      <start>3</start>
      <end>13</end>
      <status>ignored</status>
      <modifiedWord/>
      <trackRevisions>false</trackRevisions>
    </reviewItem>
    <reviewItem>
      <errorID>b68111b7-d801-461b-886f-ff1d6c281f55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540D951D</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a4b2d-b41a-449e-9195-49c6dd63b99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7213</Words>
  <Characters>7631</Characters>
  <Lines>1</Lines>
  <Paragraphs>1</Paragraphs>
  <TotalTime>14</TotalTime>
  <ScaleCrop>false</ScaleCrop>
  <LinksUpToDate>false</LinksUpToDate>
  <CharactersWithSpaces>7659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2026-03-27T01:03:41Z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9AC7B58D49064A4BB7582CD3E7224A50</vt:lpwstr>
  </property>
  <property fmtid="{D5CDD505-2E9C-101B-9397-08002B2CF9AE}" pid="4" name="KSOTemplateDocerSaveRecord">
    <vt:lpwstr>eyJoZGlkIjoiNzI2ZGI0OGUzMDAzMzk0YmE1OTYyMDVlZGMwMmYyODYiLCJ1c2VySWQiOiIxMTM5NjM2MTk5In0=</vt:lpwstr>
  </property>
</Properties>
</file>