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CDFC0">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A54AF2E">
      <w:pPr>
        <w:pStyle w:val="3"/>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峨边彝族自治县市场监督管理局</w:t>
      </w:r>
    </w:p>
    <w:p w14:paraId="4E382801">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2611F9FD">
      <w:pPr>
        <w:jc w:val="center"/>
        <w:rPr>
          <w:rFonts w:hint="eastAsia" w:ascii="方正小标宋简体" w:hAnsi="方正小标宋简体" w:eastAsia="方正小标宋简体" w:cs="方正小标宋简体"/>
          <w:b w:val="0"/>
          <w:bCs/>
          <w:sz w:val="52"/>
          <w:szCs w:val="52"/>
          <w:lang w:val="en-US" w:eastAsia="zh-CN"/>
        </w:rPr>
      </w:pPr>
    </w:p>
    <w:p w14:paraId="5926E1A0">
      <w:pPr>
        <w:jc w:val="both"/>
        <w:rPr>
          <w:rFonts w:hint="default"/>
          <w:b/>
          <w:bCs/>
          <w:sz w:val="52"/>
          <w:szCs w:val="52"/>
          <w:lang w:val="en-US" w:eastAsia="zh-CN"/>
        </w:rPr>
      </w:pPr>
    </w:p>
    <w:p w14:paraId="64A5F4EA">
      <w:pPr>
        <w:jc w:val="both"/>
        <w:rPr>
          <w:rFonts w:hint="default"/>
          <w:b/>
          <w:bCs/>
          <w:sz w:val="52"/>
          <w:szCs w:val="52"/>
          <w:lang w:val="en-US" w:eastAsia="zh-CN"/>
        </w:rPr>
      </w:pPr>
    </w:p>
    <w:p w14:paraId="262D9E4D">
      <w:pPr>
        <w:jc w:val="both"/>
        <w:rPr>
          <w:rFonts w:hint="default"/>
          <w:b/>
          <w:bCs/>
          <w:sz w:val="52"/>
          <w:szCs w:val="52"/>
          <w:lang w:val="en-US" w:eastAsia="zh-CN"/>
        </w:rPr>
      </w:pPr>
    </w:p>
    <w:p w14:paraId="1A7F38C7">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峨边彝族自治县市场监督管理局</w:t>
      </w:r>
    </w:p>
    <w:p w14:paraId="716E170A">
      <w:pPr>
        <w:ind w:left="0" w:leftChars="0" w:firstLine="0" w:firstLineChars="0"/>
        <w:jc w:val="both"/>
        <w:rPr>
          <w:rFonts w:hint="default"/>
          <w:b/>
          <w:bCs/>
          <w:sz w:val="32"/>
          <w:szCs w:val="32"/>
          <w:lang w:val="en-US" w:eastAsia="zh-CN"/>
        </w:rPr>
      </w:pPr>
    </w:p>
    <w:p w14:paraId="3B68C4D5">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5月 14 日</w:t>
      </w:r>
    </w:p>
    <w:p w14:paraId="1DC7AFA6">
      <w:pPr>
        <w:jc w:val="both"/>
        <w:rPr>
          <w:rFonts w:hint="eastAsia"/>
          <w:b/>
          <w:bCs/>
          <w:sz w:val="32"/>
          <w:szCs w:val="32"/>
          <w:lang w:val="en-US" w:eastAsia="zh-CN"/>
        </w:rPr>
      </w:pPr>
    </w:p>
    <w:p w14:paraId="2F460AD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1066ADB9">
      <w:pPr>
        <w:pStyle w:val="2"/>
        <w:rPr>
          <w:rFonts w:hint="eastAsia"/>
          <w:lang w:val="en-US" w:eastAsia="zh-CN"/>
        </w:rPr>
      </w:pPr>
    </w:p>
    <w:p w14:paraId="5825EA6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820148C">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峨边彝族自治县市场监督管理局部门概况</w:t>
      </w:r>
    </w:p>
    <w:p w14:paraId="75C594D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3F4B52B">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6617DFEE">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峨边彝族自治县市场监督管理局2025年部门预算表</w:t>
      </w:r>
    </w:p>
    <w:p w14:paraId="7024E80E">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DF3E581">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0E9FBB7A">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294F44B9">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604BB09">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6D1E4E2">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D3A57E">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7434601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D45B4A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4A475B42">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08E2008">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33D9AF8">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30401C91">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1E6E9CB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6355C78A">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7C4B564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峨边彝族自治县市场监督管理局2025年部门预算情况说明</w:t>
      </w:r>
    </w:p>
    <w:p w14:paraId="6EDE968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407F3DAA">
      <w:pPr>
        <w:pStyle w:val="2"/>
        <w:rPr>
          <w:rFonts w:hint="eastAsia" w:ascii="黑体" w:hAnsi="黑体" w:eastAsia="黑体" w:cs="黑体"/>
          <w:b w:val="0"/>
          <w:bCs w:val="0"/>
          <w:sz w:val="32"/>
          <w:szCs w:val="32"/>
          <w:lang w:val="en-US" w:eastAsia="zh-CN"/>
        </w:rPr>
      </w:pPr>
    </w:p>
    <w:p w14:paraId="172CEDF6">
      <w:pPr>
        <w:pStyle w:val="2"/>
        <w:rPr>
          <w:rFonts w:hint="eastAsia" w:ascii="黑体" w:hAnsi="黑体" w:eastAsia="黑体" w:cs="黑体"/>
          <w:b w:val="0"/>
          <w:bCs w:val="0"/>
          <w:sz w:val="32"/>
          <w:szCs w:val="32"/>
          <w:lang w:val="en-US" w:eastAsia="zh-CN"/>
        </w:rPr>
      </w:pPr>
    </w:p>
    <w:p w14:paraId="3CFC9D3A">
      <w:pPr>
        <w:pStyle w:val="2"/>
        <w:rPr>
          <w:rFonts w:hint="eastAsia" w:ascii="黑体" w:hAnsi="黑体" w:eastAsia="黑体" w:cs="黑体"/>
          <w:b w:val="0"/>
          <w:bCs w:val="0"/>
          <w:sz w:val="32"/>
          <w:szCs w:val="32"/>
          <w:lang w:val="en-US" w:eastAsia="zh-CN"/>
        </w:rPr>
      </w:pPr>
    </w:p>
    <w:p w14:paraId="7F382666">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峨边彝族自治县市场监督管理局概况</w:t>
      </w:r>
    </w:p>
    <w:p w14:paraId="3BE81DAE">
      <w:pPr>
        <w:widowControl w:val="0"/>
        <w:numPr>
          <w:ilvl w:val="0"/>
          <w:numId w:val="0"/>
        </w:numPr>
        <w:jc w:val="both"/>
        <w:rPr>
          <w:rFonts w:hint="default"/>
          <w:b/>
          <w:bCs/>
          <w:sz w:val="52"/>
          <w:szCs w:val="52"/>
          <w:lang w:val="en-US" w:eastAsia="zh-CN"/>
        </w:rPr>
      </w:pPr>
    </w:p>
    <w:p w14:paraId="07E78AAB">
      <w:pPr>
        <w:widowControl w:val="0"/>
        <w:numPr>
          <w:ilvl w:val="0"/>
          <w:numId w:val="0"/>
        </w:numPr>
        <w:jc w:val="both"/>
        <w:rPr>
          <w:rFonts w:hint="default"/>
          <w:b/>
          <w:bCs/>
          <w:sz w:val="52"/>
          <w:szCs w:val="52"/>
          <w:lang w:val="en-US" w:eastAsia="zh-CN"/>
        </w:rPr>
      </w:pPr>
    </w:p>
    <w:p w14:paraId="4AD7F79B">
      <w:pPr>
        <w:widowControl w:val="0"/>
        <w:numPr>
          <w:ilvl w:val="0"/>
          <w:numId w:val="0"/>
        </w:numPr>
        <w:jc w:val="both"/>
        <w:rPr>
          <w:rFonts w:hint="default"/>
          <w:b/>
          <w:bCs/>
          <w:sz w:val="52"/>
          <w:szCs w:val="52"/>
          <w:lang w:val="en-US" w:eastAsia="zh-CN"/>
        </w:rPr>
      </w:pPr>
    </w:p>
    <w:p w14:paraId="31B6B59C">
      <w:pPr>
        <w:widowControl w:val="0"/>
        <w:numPr>
          <w:ilvl w:val="0"/>
          <w:numId w:val="0"/>
        </w:numPr>
        <w:jc w:val="both"/>
        <w:rPr>
          <w:rFonts w:hint="default"/>
          <w:b/>
          <w:bCs/>
          <w:sz w:val="52"/>
          <w:szCs w:val="52"/>
          <w:lang w:val="en-US" w:eastAsia="zh-CN"/>
        </w:rPr>
      </w:pPr>
    </w:p>
    <w:p w14:paraId="6EF66655">
      <w:pPr>
        <w:widowControl w:val="0"/>
        <w:numPr>
          <w:ilvl w:val="0"/>
          <w:numId w:val="0"/>
        </w:numPr>
        <w:jc w:val="both"/>
        <w:rPr>
          <w:rFonts w:hint="default"/>
          <w:b/>
          <w:bCs/>
          <w:sz w:val="52"/>
          <w:szCs w:val="52"/>
          <w:lang w:val="en-US" w:eastAsia="zh-CN"/>
        </w:rPr>
      </w:pPr>
    </w:p>
    <w:p w14:paraId="303D8A58">
      <w:pPr>
        <w:widowControl w:val="0"/>
        <w:numPr>
          <w:ilvl w:val="0"/>
          <w:numId w:val="0"/>
        </w:numPr>
        <w:jc w:val="both"/>
        <w:rPr>
          <w:rFonts w:hint="default"/>
          <w:b/>
          <w:bCs/>
          <w:sz w:val="52"/>
          <w:szCs w:val="52"/>
          <w:lang w:val="en-US" w:eastAsia="zh-CN"/>
        </w:rPr>
      </w:pPr>
    </w:p>
    <w:p w14:paraId="3F5E4BB5">
      <w:pPr>
        <w:bidi w:val="0"/>
        <w:rPr>
          <w:rFonts w:hint="eastAsia" w:ascii="黑体" w:hAnsi="黑体" w:eastAsia="黑体" w:cs="黑体"/>
          <w:lang w:val="en-US" w:eastAsia="zh-CN"/>
        </w:rPr>
      </w:pPr>
    </w:p>
    <w:p w14:paraId="1700D305">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4F09EB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（一）职能简介：1.</w:t>
      </w:r>
      <w:r>
        <w:rPr>
          <w:rFonts w:hint="default" w:ascii="Times New Roman" w:hAnsi="Times New Roman" w:eastAsia="仿宋_GB2312" w:cs="仿宋_GB2312"/>
          <w:sz w:val="32"/>
          <w:szCs w:val="32"/>
          <w:lang w:val="en-US" w:eastAsia="zh-CN"/>
        </w:rPr>
        <w:t>负责全县市场综合监督管理工作。组织实施质量强县、食品安全、标准化和知识产权战略，拟订并组织实施全县食品安全等规划，规范和维护市场秩序，营造诚实守信、公平竞争的市场环境。</w:t>
      </w:r>
    </w:p>
    <w:p w14:paraId="5515D59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default" w:ascii="Times New Roman" w:hAnsi="Times New Roman" w:eastAsia="仿宋_GB2312" w:cs="仿宋_GB2312"/>
          <w:sz w:val="32"/>
          <w:szCs w:val="32"/>
          <w:lang w:val="en-US" w:eastAsia="zh-CN"/>
        </w:rPr>
        <w:t>负责全县市场主体统一登记注册工作。负责各类企业、 农民专业合作社和从事经营活动的单位、个体工商户以及外国（地区）企业、常驻代表机构等市场主体的登记注册和监督管理工作。建立市场主体信息公示和共享机制，依法公示和共享有关信息，加强信用监管，推动市场主体信用体系建设。</w:t>
      </w:r>
    </w:p>
    <w:p w14:paraId="5F911E5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lang w:val="en-US" w:eastAsia="zh-CN"/>
        </w:rPr>
        <w:t>负责组织和指导全县市场监督管理综合执法工作。规范市场监督管理行政执法行为。开展反垄断工作。负责市场监督管理行政复议的办理和行政诉讼的应诉工作；负责市场监督管理行政执法与刑事司法衔接工作；负责市场监督管理行政许可及相关行政服务信息共享工作；负责处理行政审批、综合行政执法等部门提出的事中事后监管建议意见。</w:t>
      </w:r>
    </w:p>
    <w:p w14:paraId="7ED8F76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w:t>
      </w:r>
      <w:r>
        <w:rPr>
          <w:rFonts w:hint="default" w:ascii="Times New Roman" w:hAnsi="Times New Roman" w:eastAsia="仿宋_GB2312" w:cs="仿宋_GB2312"/>
          <w:sz w:val="32"/>
          <w:szCs w:val="32"/>
          <w:lang w:val="en-US" w:eastAsia="zh-CN"/>
        </w:rPr>
        <w:t>负责监督管理全县市场秩序。依法监督管理市场交易、 网络商品交易及有关服务的行为。负责全县价格监督检查工作， 组织指导查处价格收费违法违规、不正当竞争、违法直销、传销、侵犯商标专利知识产权和制售假冒伪劣行为。指导广告业发展， 监督管理广告活动。依法查处无照生产经营和相关无证生产经营行为。指导县保护消费者权益委员会开展消费维权工作。</w:t>
      </w:r>
    </w:p>
    <w:p w14:paraId="0407BDC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负责全县宏观质量管理。拟订并组织实</w:t>
      </w:r>
      <w:r>
        <w:rPr>
          <w:rFonts w:hint="eastAsia" w:ascii="Times New Roman" w:hAnsi="Times New Roman" w:eastAsia="仿宋_GB2312" w:cs="仿宋_GB2312"/>
          <w:sz w:val="32"/>
          <w:szCs w:val="32"/>
          <w:lang w:val="en-US" w:eastAsia="zh-CN"/>
        </w:rPr>
        <w:t>施</w:t>
      </w:r>
      <w:r>
        <w:rPr>
          <w:rFonts w:hint="default" w:ascii="Times New Roman" w:hAnsi="Times New Roman" w:eastAsia="仿宋_GB2312" w:cs="仿宋_GB2312"/>
          <w:sz w:val="32"/>
          <w:szCs w:val="32"/>
          <w:lang w:val="en-US" w:eastAsia="zh-CN"/>
        </w:rPr>
        <w:t>质量发展的制度措施。统筹全县质量基础设施建设与应用。会同有关部门组织实施重大工程设备质量监理制度,组织重大产品质量事故调查，贯彻实施缺陷产品召回制度,监督管理产品防伪工作。</w:t>
      </w:r>
    </w:p>
    <w:p w14:paraId="6AF2175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w:t>
      </w:r>
      <w:r>
        <w:rPr>
          <w:rFonts w:hint="default" w:ascii="Times New Roman" w:hAnsi="Times New Roman" w:eastAsia="仿宋_GB2312" w:cs="仿宋_GB2312"/>
          <w:sz w:val="32"/>
          <w:szCs w:val="32"/>
          <w:lang w:val="en-US" w:eastAsia="zh-CN"/>
        </w:rPr>
        <w:t>负责全县产品质量安全监督管理。负责产品质量监督抽查和风险监控工作，组织实施质量分级制度、质量安全追溯制度。负责工业产品生产许可管理。负责纤维质量监督工作。</w:t>
      </w:r>
    </w:p>
    <w:p w14:paraId="01236E0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w:t>
      </w:r>
      <w:r>
        <w:rPr>
          <w:rFonts w:hint="default" w:ascii="Times New Roman" w:hAnsi="Times New Roman" w:eastAsia="仿宋_GB2312" w:cs="仿宋_GB2312"/>
          <w:sz w:val="32"/>
          <w:szCs w:val="32"/>
          <w:lang w:val="en-US" w:eastAsia="zh-CN"/>
        </w:rPr>
        <w:t>负责全县特种设备安全监督管理。综合管理特种设备安全监察、监督工作，监督检查高耗能特种设备节能标准和锅炉产品环境保护标准的执行情况。</w:t>
      </w:r>
    </w:p>
    <w:p w14:paraId="021D735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w:t>
      </w:r>
      <w:r>
        <w:rPr>
          <w:rFonts w:hint="default" w:ascii="Times New Roman" w:hAnsi="Times New Roman" w:eastAsia="仿宋_GB2312" w:cs="仿宋_GB2312"/>
          <w:sz w:val="32"/>
          <w:szCs w:val="32"/>
          <w:lang w:val="en-US" w:eastAsia="zh-CN"/>
        </w:rPr>
        <w:t>负责全县食品安全监督管理综合协调。统筹指导全县食品安全工作。负责食品安全应急体系建设，组织指导重大食品安全事件应急处置和调查处理工作。建立健全食品安全重要信息直报制度。承担县食品安全委员会办公室日常工作。</w:t>
      </w:r>
    </w:p>
    <w:p w14:paraId="5946FFC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w:t>
      </w:r>
      <w:r>
        <w:rPr>
          <w:rFonts w:hint="default" w:ascii="Times New Roman" w:hAnsi="Times New Roman" w:eastAsia="仿宋_GB2312" w:cs="仿宋_GB2312"/>
          <w:sz w:val="32"/>
          <w:szCs w:val="32"/>
          <w:lang w:val="en-US" w:eastAsia="zh-CN"/>
        </w:rPr>
        <w:t>负责全县食品安全监督管理。建立覆盖食品生产、流通、消费全过程的监督检查制度和隐患排查治理机制并组织实施， 防范区域性、系统性食品安全风险。推动建立食品生产经营者落实主体责任机制，健全食品安全追溯体系。指导督促食品生产经营企业的安全生产工作，组织开展食品安全监督抽检、风险监测、 核查处置和风险预警工作。组织实施特殊食品注册核查、备案和监督管理。</w:t>
      </w:r>
    </w:p>
    <w:p w14:paraId="24B5D04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w:t>
      </w:r>
      <w:r>
        <w:rPr>
          <w:rFonts w:hint="default" w:ascii="Times New Roman" w:hAnsi="Times New Roman" w:eastAsia="仿宋_GB2312" w:cs="仿宋_GB2312"/>
          <w:sz w:val="32"/>
          <w:szCs w:val="32"/>
          <w:lang w:val="en-US" w:eastAsia="zh-CN"/>
        </w:rPr>
        <w:t>负责统一管理全县计量工作。推行法定计量单位，执行国家计量制度，管理计量器具及量值传递和比对工作。规范、监督商</w:t>
      </w:r>
      <w:r>
        <w:rPr>
          <w:rFonts w:hint="eastAsia" w:ascii="Times New Roman" w:hAnsi="Times New Roman" w:eastAsia="仿宋_GB2312" w:cs="仿宋_GB2312"/>
          <w:sz w:val="32"/>
          <w:szCs w:val="32"/>
          <w:lang w:val="en-US" w:eastAsia="zh-CN"/>
        </w:rPr>
        <w:t>品质</w:t>
      </w:r>
      <w:r>
        <w:rPr>
          <w:rFonts w:hint="default" w:ascii="Times New Roman" w:hAnsi="Times New Roman" w:eastAsia="仿宋_GB2312" w:cs="仿宋_GB2312"/>
          <w:sz w:val="32"/>
          <w:szCs w:val="32"/>
          <w:lang w:val="en-US" w:eastAsia="zh-CN"/>
        </w:rPr>
        <w:t>量和计量行为。</w:t>
      </w:r>
    </w:p>
    <w:p w14:paraId="3A182E4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11.</w:t>
      </w:r>
      <w:r>
        <w:rPr>
          <w:rFonts w:hint="default" w:ascii="Times New Roman" w:hAnsi="Times New Roman" w:eastAsia="仿宋_GB2312" w:cs="仿宋_GB2312"/>
          <w:sz w:val="32"/>
          <w:szCs w:val="32"/>
          <w:lang w:val="en-US" w:eastAsia="zh-CN"/>
        </w:rPr>
        <w:t>负责统一管理全县标准化工作，指导企业标准制定工作。</w:t>
      </w:r>
    </w:p>
    <w:p w14:paraId="2CFEF26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12.</w:t>
      </w:r>
      <w:r>
        <w:rPr>
          <w:rFonts w:hint="default" w:ascii="Times New Roman" w:hAnsi="Times New Roman" w:eastAsia="仿宋_GB2312" w:cs="仿宋_GB2312"/>
          <w:sz w:val="32"/>
          <w:szCs w:val="32"/>
          <w:lang w:val="en-US" w:eastAsia="zh-CN"/>
        </w:rPr>
        <w:t>负责统一管理全县检验检测工作。规范检验检测市场，完善检验检测体系，指导协调检验检测行业发展。</w:t>
      </w:r>
    </w:p>
    <w:p w14:paraId="52B126D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13.</w:t>
      </w:r>
      <w:r>
        <w:rPr>
          <w:rFonts w:hint="default" w:ascii="Times New Roman" w:hAnsi="Times New Roman" w:eastAsia="仿宋_GB2312" w:cs="仿宋_GB2312"/>
          <w:sz w:val="32"/>
          <w:szCs w:val="32"/>
          <w:lang w:val="en-US" w:eastAsia="zh-CN"/>
        </w:rPr>
        <w:t>负责统一管理全县认证认可工作。监督管理认证认可和合格评定工作。</w:t>
      </w:r>
    </w:p>
    <w:p w14:paraId="0FBB794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14.</w:t>
      </w:r>
      <w:r>
        <w:rPr>
          <w:rFonts w:hint="default" w:ascii="Times New Roman" w:hAnsi="Times New Roman" w:eastAsia="仿宋_GB2312" w:cs="仿宋_GB2312"/>
          <w:sz w:val="32"/>
          <w:szCs w:val="32"/>
          <w:lang w:val="en-US" w:eastAsia="zh-CN"/>
        </w:rPr>
        <w:t>负责市场监督管理科技和信息化建设、新闻宣传。</w:t>
      </w:r>
    </w:p>
    <w:p w14:paraId="2A3981A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15.</w:t>
      </w:r>
      <w:r>
        <w:rPr>
          <w:rFonts w:hint="default" w:ascii="Times New Roman" w:hAnsi="Times New Roman" w:eastAsia="仿宋_GB2312" w:cs="仿宋_GB2312"/>
          <w:sz w:val="32"/>
          <w:szCs w:val="32"/>
          <w:lang w:val="en-US" w:eastAsia="zh-CN"/>
        </w:rPr>
        <w:t>负责全县知识产权发展规划的制定，负责知识产权的保护，负责组织指导商标、专利执法工作。</w:t>
      </w:r>
    </w:p>
    <w:p w14:paraId="459DEC6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16.</w:t>
      </w:r>
      <w:r>
        <w:rPr>
          <w:rFonts w:hint="default" w:ascii="Times New Roman" w:hAnsi="Times New Roman" w:eastAsia="仿宋_GB2312" w:cs="仿宋_GB2312"/>
          <w:sz w:val="32"/>
          <w:szCs w:val="32"/>
          <w:lang w:val="en-US" w:eastAsia="zh-CN"/>
        </w:rPr>
        <w:t>在职责范围内负责促进全县民营经济发展。负责全县民营经济发展工作的任务制定、调查研究、统筹协调、督促落实及民营企业合法权益维护。</w:t>
      </w:r>
    </w:p>
    <w:p w14:paraId="36CDA2D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17.</w:t>
      </w:r>
      <w:r>
        <w:rPr>
          <w:rFonts w:hint="default" w:ascii="Times New Roman" w:hAnsi="Times New Roman" w:eastAsia="仿宋_GB2312" w:cs="仿宋_GB2312"/>
          <w:sz w:val="32"/>
          <w:szCs w:val="32"/>
          <w:lang w:val="en-US" w:eastAsia="zh-CN"/>
        </w:rPr>
        <w:t>负责全县药品(含中药、民族药)、医疗器械和化妆品安全监督管理，拟订全县监督管理政策规划。负责全县药品、医疗器械和化妆品标准管理。负责全县药品、医疗器械和化妆品质量管理。监督实施药品、医疗器械生产、经营、使用质量管理规范。</w:t>
      </w:r>
    </w:p>
    <w:p w14:paraId="055F797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18.</w:t>
      </w:r>
      <w:r>
        <w:rPr>
          <w:rFonts w:hint="default" w:ascii="Times New Roman" w:hAnsi="Times New Roman" w:eastAsia="仿宋_GB2312" w:cs="仿宋_GB2312"/>
          <w:sz w:val="32"/>
          <w:szCs w:val="32"/>
          <w:lang w:val="en-US" w:eastAsia="zh-CN"/>
        </w:rPr>
        <w:t>负责全县药品、医疗器械和化妆品注册管理。组织开展药品</w:t>
      </w:r>
      <w:r>
        <w:rPr>
          <w:rFonts w:hint="default" w:ascii="仿宋" w:hAnsi="仿宋" w:eastAsia="仿宋" w:cstheme="minorBidi"/>
          <w:kern w:val="2"/>
          <w:sz w:val="32"/>
          <w:szCs w:val="32"/>
          <w:lang w:val="en-US" w:eastAsia="zh-CN" w:bidi="ar-SA"/>
        </w:rPr>
        <w:t>不良反</w:t>
      </w:r>
      <w:r>
        <w:rPr>
          <w:rFonts w:hint="default" w:ascii="Times New Roman" w:hAnsi="Times New Roman" w:eastAsia="仿宋_GB2312" w:cs="仿宋_GB2312"/>
          <w:sz w:val="32"/>
          <w:szCs w:val="32"/>
          <w:lang w:val="en-US" w:eastAsia="zh-CN"/>
        </w:rPr>
        <w:t>应、医疗器械不良事件和化妆品不良反应的监测、 评价和处置工作。依法承担全县药品、医疗器械和化妆品安全应急管理。组织实施执业药师准入制度，指导监督执业药师注册。</w:t>
      </w:r>
    </w:p>
    <w:p w14:paraId="5CBF0EB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sectPr>
          <w:footerReference r:id="rId5" w:type="default"/>
          <w:pgSz w:w="11910" w:h="16840"/>
          <w:pgMar w:top="1580" w:right="1200" w:bottom="1300" w:left="1360" w:header="0" w:footer="1113" w:gutter="0"/>
          <w:pgNumType w:fmt="decimal"/>
          <w:cols w:space="720" w:num="1"/>
        </w:sectPr>
      </w:pPr>
      <w:r>
        <w:rPr>
          <w:rFonts w:hint="eastAsia" w:ascii="Times New Roman" w:hAnsi="Times New Roman" w:eastAsia="仿宋_GB2312" w:cs="仿宋_GB2312"/>
          <w:sz w:val="32"/>
          <w:szCs w:val="32"/>
          <w:lang w:val="en-US" w:eastAsia="zh-CN"/>
        </w:rPr>
        <w:t>19.</w:t>
      </w:r>
      <w:r>
        <w:rPr>
          <w:rFonts w:hint="default" w:ascii="Times New Roman" w:hAnsi="Times New Roman" w:eastAsia="仿宋_GB2312" w:cs="仿宋_GB2312"/>
          <w:sz w:val="32"/>
          <w:szCs w:val="32"/>
          <w:lang w:val="en-US" w:eastAsia="zh-CN"/>
        </w:rPr>
        <w:t>负责职责范围内的安全生产和职业健康、生态环境保护、服务便民化等工</w:t>
      </w:r>
      <w:r>
        <w:rPr>
          <w:rFonts w:hint="eastAsia" w:ascii="Times New Roman" w:hAnsi="Times New Roman" w:eastAsia="仿宋_GB2312" w:cs="仿宋_GB2312"/>
          <w:sz w:val="32"/>
          <w:szCs w:val="32"/>
          <w:lang w:val="en-US" w:eastAsia="zh-CN"/>
        </w:rPr>
        <w:t>作。</w:t>
      </w:r>
    </w:p>
    <w:p w14:paraId="4BB76678">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4F9B005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更大力度优化市场环境。按照《中共中央、国务院关于促进民营经济发展壮大的意见》《中共中央、国务院关于加快建设全国统一大市场的意见》及全市“节奏更快、效率更高、质量更优”主题实践活动部署要求，持续完善知识产权保护体系、完善监管执法体系、健全涉企收费长效监管机制，在健全统一市场监管规则、强化统一市场监管执法、全面提升市场监管能力等方面积极作为。组织开展“政银携手 共助小微”银企对接活动，强化惠企政策精准供给和梯次帮扶培育。二是全面推进“双随机、一公开”监管工作，动态调整《部门联合抽查事项清单》，组织召开峨边彝族自治县市场监管领域部门联席会。</w:t>
      </w:r>
    </w:p>
    <w:p w14:paraId="47479CF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更高站位规范公平竞争。一是强化公平竞争审查刚性约束，召开全县公平竞争审查联席会议，强化公平竞争审查业务培训，动态清理妨碍统一市场和公平竞争政策措施，积极服务全国统一大市场建设。二是聚焦加强价费监管和持续稳定市场价格秩序两条主线，针对民生热点领域、涉企收费行为开展专项收费检查，持续加大旅游、教育、物业、医疗等方面价格监管执法力度。</w:t>
      </w:r>
    </w:p>
    <w:p w14:paraId="1C54A81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更高标准抓实质量发展。深入实施质量强县和品牌战略，围绕儿童玩具、电动自行车等重点产品开展专项整治；持续开展重点用能单位能源计量审查，促进重点用能单位完善能源计量管理体系，强化主体责任。组织开展品牌工作推进专题培训，对市场主体商标申请注册进行指导，大力推进我县商标尤其是农产品商标的宣传、推广和注册工作，增强我县广大群众特别是市场主体的商标意识，积极鼓励企业高价值专利申报。</w:t>
      </w:r>
    </w:p>
    <w:p w14:paraId="46DFD4A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更严要求守牢安全底线。深入落实食品安全“两个责任”，定期召开县食安委专题会议，推进食品安全从田间地头到餐桌的全链条治理。二是深入开展药品安全巩固提升行动。三是依托特种设备综合管理系统，充分发挥大数据智慧监管的效能，坚持特种设备每月安全分析制度，梳理特种设备安全监管的发展规律，开展特种设备安全隐患排查和整治，进一步避免和减少特种设备各类事故的发生。</w:t>
      </w:r>
    </w:p>
    <w:p w14:paraId="50D8FAC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更实举措提升监管效能。一是深入推进民生领域案件查办“铁拳”行动等专项执法行动，严格落实“四个最严”要求，严厉查处各类违法违规行为。二是规范行政执法办案，定期分析研判消费投诉举报和市场监管相关舆情信息，形成梳理、反馈、闭环的长效机制。三是大力推动行风建设，同市“节奏更快、效率更高、质量更优”主题实践活动、党风廉政建设等相结合，坚决以市场监管“硬作风”保障经济社会高质量发展“软环境”。</w:t>
      </w:r>
    </w:p>
    <w:p w14:paraId="3240F7B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0E815A5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峨边彝族自治县市场监督管理局预算单位3个，其中：行政单位1个，参照公务员法管理事业单位1个，事业单位1个。</w:t>
      </w:r>
    </w:p>
    <w:p w14:paraId="79AC537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峨边彝族自治县市场监督管理局总编制49名，其中：行政编制16名，工勤编制5名，参公26名，事业2名。在职人员总数53名，其中：行政27名，机关工勤2名，参公22名，事业2名。离休0名。</w:t>
      </w:r>
    </w:p>
    <w:p w14:paraId="2F168E5C">
      <w:pPr>
        <w:spacing w:line="600" w:lineRule="exact"/>
        <w:ind w:firstLine="640" w:firstLineChars="200"/>
        <w:rPr>
          <w:rFonts w:hint="eastAsia" w:ascii="仿宋" w:hAnsi="仿宋" w:eastAsia="仿宋"/>
          <w:sz w:val="32"/>
          <w:szCs w:val="32"/>
        </w:rPr>
      </w:pPr>
    </w:p>
    <w:p w14:paraId="446E038F">
      <w:pPr>
        <w:spacing w:line="600" w:lineRule="exact"/>
        <w:ind w:firstLine="640" w:firstLineChars="200"/>
        <w:rPr>
          <w:rFonts w:hint="eastAsia" w:ascii="仿宋" w:hAnsi="仿宋" w:eastAsia="仿宋"/>
          <w:sz w:val="32"/>
          <w:szCs w:val="32"/>
        </w:rPr>
      </w:pPr>
    </w:p>
    <w:p w14:paraId="6578494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p>
    <w:p w14:paraId="4BD57CB0">
      <w:pPr>
        <w:spacing w:line="600" w:lineRule="exact"/>
        <w:ind w:firstLine="640" w:firstLineChars="200"/>
        <w:rPr>
          <w:rFonts w:hint="eastAsia" w:ascii="仿宋" w:hAnsi="仿宋" w:eastAsia="仿宋"/>
          <w:sz w:val="32"/>
          <w:szCs w:val="32"/>
        </w:rPr>
      </w:pPr>
    </w:p>
    <w:p w14:paraId="066FA45F">
      <w:pPr>
        <w:spacing w:line="600" w:lineRule="exact"/>
        <w:ind w:firstLine="640" w:firstLineChars="200"/>
        <w:rPr>
          <w:rFonts w:hint="eastAsia" w:ascii="仿宋" w:hAnsi="仿宋" w:eastAsia="仿宋"/>
          <w:sz w:val="32"/>
          <w:szCs w:val="32"/>
        </w:rPr>
      </w:pPr>
    </w:p>
    <w:p w14:paraId="4F890969">
      <w:pPr>
        <w:spacing w:line="600" w:lineRule="exact"/>
        <w:ind w:firstLine="640" w:firstLineChars="200"/>
        <w:rPr>
          <w:rFonts w:hint="eastAsia" w:ascii="仿宋" w:hAnsi="仿宋" w:eastAsia="仿宋"/>
          <w:sz w:val="32"/>
          <w:szCs w:val="32"/>
        </w:rPr>
      </w:pPr>
    </w:p>
    <w:p w14:paraId="4B6E009E">
      <w:pPr>
        <w:spacing w:line="600" w:lineRule="exact"/>
        <w:ind w:firstLine="640" w:firstLineChars="200"/>
        <w:rPr>
          <w:rFonts w:hint="eastAsia" w:ascii="仿宋" w:hAnsi="仿宋" w:eastAsia="仿宋"/>
          <w:sz w:val="32"/>
          <w:szCs w:val="32"/>
        </w:rPr>
      </w:pPr>
    </w:p>
    <w:p w14:paraId="0B280332">
      <w:pPr>
        <w:spacing w:line="600" w:lineRule="exact"/>
        <w:ind w:firstLine="640" w:firstLineChars="200"/>
        <w:rPr>
          <w:rFonts w:hint="eastAsia" w:ascii="仿宋" w:hAnsi="仿宋" w:eastAsia="仿宋"/>
          <w:sz w:val="32"/>
          <w:szCs w:val="32"/>
        </w:rPr>
      </w:pPr>
    </w:p>
    <w:p w14:paraId="3463F77B">
      <w:pPr>
        <w:spacing w:line="600" w:lineRule="exact"/>
        <w:ind w:firstLine="640" w:firstLineChars="200"/>
        <w:rPr>
          <w:rFonts w:hint="eastAsia" w:ascii="仿宋" w:hAnsi="仿宋" w:eastAsia="仿宋"/>
          <w:sz w:val="32"/>
          <w:szCs w:val="32"/>
        </w:rPr>
      </w:pPr>
    </w:p>
    <w:p w14:paraId="10078AAD">
      <w:pPr>
        <w:spacing w:line="600" w:lineRule="exact"/>
        <w:ind w:firstLine="640" w:firstLineChars="200"/>
        <w:rPr>
          <w:rFonts w:hint="eastAsia" w:ascii="仿宋" w:hAnsi="仿宋" w:eastAsia="仿宋"/>
          <w:sz w:val="32"/>
          <w:szCs w:val="32"/>
        </w:rPr>
      </w:pPr>
    </w:p>
    <w:p w14:paraId="5199C906">
      <w:pPr>
        <w:pStyle w:val="3"/>
        <w:numPr>
          <w:ilvl w:val="0"/>
          <w:numId w:val="0"/>
        </w:numPr>
        <w:bidi w:val="0"/>
        <w:jc w:val="both"/>
        <w:rPr>
          <w:rFonts w:hint="eastAsia"/>
          <w:lang w:val="en-US" w:eastAsia="zh-CN"/>
        </w:rPr>
      </w:pPr>
    </w:p>
    <w:p w14:paraId="1C4355BE">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峨边彝族自治县市场监督管      理局</w:t>
      </w:r>
      <w:r>
        <w:rPr>
          <w:rFonts w:hint="eastAsia" w:ascii="方正小标宋简体" w:hAnsi="方正小标宋简体" w:eastAsia="方正小标宋简体" w:cs="方正小标宋简体"/>
          <w:b w:val="0"/>
          <w:bCs/>
          <w:sz w:val="52"/>
          <w:szCs w:val="52"/>
          <w:lang w:val="en-US" w:eastAsia="zh-CN"/>
        </w:rPr>
        <w:t>2025年部门预算表</w:t>
      </w:r>
    </w:p>
    <w:p w14:paraId="1FF6B80C">
      <w:pPr>
        <w:spacing w:line="600" w:lineRule="exact"/>
        <w:rPr>
          <w:rFonts w:hint="default" w:ascii="仿宋" w:hAnsi="仿宋" w:eastAsia="仿宋" w:cs="Times New Roman"/>
          <w:sz w:val="32"/>
          <w:szCs w:val="32"/>
          <w:lang w:val="en-US" w:eastAsia="zh-CN"/>
        </w:rPr>
      </w:pPr>
    </w:p>
    <w:p w14:paraId="5F3B65B7">
      <w:pPr>
        <w:spacing w:line="600" w:lineRule="exact"/>
        <w:rPr>
          <w:rFonts w:hint="default" w:ascii="仿宋" w:hAnsi="仿宋" w:eastAsia="仿宋" w:cs="Times New Roman"/>
          <w:sz w:val="32"/>
          <w:szCs w:val="32"/>
          <w:lang w:val="en-US" w:eastAsia="zh-CN"/>
        </w:rPr>
      </w:pPr>
    </w:p>
    <w:p w14:paraId="4A0D949B">
      <w:pPr>
        <w:spacing w:line="600" w:lineRule="exact"/>
        <w:rPr>
          <w:rFonts w:hint="default" w:ascii="仿宋" w:hAnsi="仿宋" w:eastAsia="仿宋" w:cs="Times New Roman"/>
          <w:sz w:val="32"/>
          <w:szCs w:val="32"/>
          <w:lang w:val="en-US" w:eastAsia="zh-CN"/>
        </w:rPr>
      </w:pPr>
    </w:p>
    <w:p w14:paraId="143B31A0">
      <w:pPr>
        <w:spacing w:line="600" w:lineRule="exact"/>
        <w:rPr>
          <w:rFonts w:hint="default" w:ascii="仿宋" w:hAnsi="仿宋" w:eastAsia="仿宋" w:cs="Times New Roman"/>
          <w:sz w:val="32"/>
          <w:szCs w:val="32"/>
          <w:lang w:val="en-US" w:eastAsia="zh-CN"/>
        </w:rPr>
      </w:pPr>
    </w:p>
    <w:p w14:paraId="7F9BF99D">
      <w:pPr>
        <w:spacing w:line="600" w:lineRule="exact"/>
        <w:rPr>
          <w:rFonts w:hint="default" w:ascii="仿宋" w:hAnsi="仿宋" w:eastAsia="仿宋" w:cs="Times New Roman"/>
          <w:sz w:val="32"/>
          <w:szCs w:val="32"/>
          <w:lang w:val="en-US" w:eastAsia="zh-CN"/>
        </w:rPr>
      </w:pPr>
    </w:p>
    <w:p w14:paraId="5AF9E72A">
      <w:pPr>
        <w:spacing w:line="600" w:lineRule="exact"/>
        <w:rPr>
          <w:rFonts w:hint="default" w:ascii="仿宋" w:hAnsi="仿宋" w:eastAsia="仿宋" w:cs="Times New Roman"/>
          <w:sz w:val="32"/>
          <w:szCs w:val="32"/>
          <w:lang w:val="en-US" w:eastAsia="zh-CN"/>
        </w:rPr>
      </w:pPr>
    </w:p>
    <w:p w14:paraId="29353F69">
      <w:pPr>
        <w:spacing w:line="600" w:lineRule="exact"/>
        <w:rPr>
          <w:rFonts w:hint="default" w:ascii="仿宋" w:hAnsi="仿宋" w:eastAsia="仿宋" w:cs="Times New Roman"/>
          <w:sz w:val="32"/>
          <w:szCs w:val="32"/>
          <w:lang w:val="en-US" w:eastAsia="zh-CN"/>
        </w:rPr>
      </w:pPr>
    </w:p>
    <w:p w14:paraId="64BE28D2">
      <w:pPr>
        <w:spacing w:line="600" w:lineRule="exact"/>
        <w:rPr>
          <w:rFonts w:hint="default" w:ascii="仿宋" w:hAnsi="仿宋" w:eastAsia="仿宋" w:cs="Times New Roman"/>
          <w:sz w:val="32"/>
          <w:szCs w:val="32"/>
          <w:lang w:val="en-US" w:eastAsia="zh-CN"/>
        </w:rPr>
      </w:pPr>
    </w:p>
    <w:p w14:paraId="125D0BAB">
      <w:pPr>
        <w:spacing w:line="600" w:lineRule="exact"/>
        <w:ind w:left="0" w:leftChars="0" w:firstLine="0" w:firstLineChars="0"/>
        <w:rPr>
          <w:rFonts w:hint="eastAsia" w:ascii="仿宋_GB2312" w:hAnsi="仿宋_GB2312" w:eastAsia="仿宋_GB2312" w:cs="仿宋_GB2312"/>
          <w:sz w:val="32"/>
          <w:szCs w:val="32"/>
          <w:lang w:val="en-US" w:eastAsia="zh-CN"/>
        </w:rPr>
      </w:pPr>
    </w:p>
    <w:p w14:paraId="1BBD126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详见附件2：峨边彝族自治县市场监督管理局预算公开报表  </w:t>
      </w:r>
    </w:p>
    <w:p w14:paraId="53A8E12A">
      <w:pPr>
        <w:spacing w:line="600" w:lineRule="exact"/>
        <w:ind w:left="0" w:leftChars="0" w:firstLine="0" w:firstLineChars="0"/>
        <w:rPr>
          <w:rFonts w:hint="eastAsia" w:ascii="仿宋_GB2312" w:hAnsi="仿宋_GB2312" w:eastAsia="仿宋_GB2312" w:cs="仿宋_GB2312"/>
          <w:sz w:val="32"/>
          <w:szCs w:val="32"/>
          <w:lang w:val="en-US" w:eastAsia="zh-CN"/>
        </w:rPr>
      </w:pPr>
    </w:p>
    <w:p w14:paraId="54EF19A0">
      <w:pPr>
        <w:numPr>
          <w:ilvl w:val="0"/>
          <w:numId w:val="0"/>
        </w:numPr>
        <w:spacing w:line="600" w:lineRule="exact"/>
        <w:rPr>
          <w:rFonts w:hint="eastAsia" w:ascii="仿宋" w:hAnsi="仿宋" w:eastAsia="仿宋" w:cs="Times New Roman"/>
          <w:sz w:val="32"/>
          <w:szCs w:val="32"/>
          <w:lang w:val="en-US" w:eastAsia="zh-CN"/>
        </w:rPr>
      </w:pPr>
    </w:p>
    <w:p w14:paraId="7E5AB1E4">
      <w:pPr>
        <w:numPr>
          <w:ilvl w:val="0"/>
          <w:numId w:val="0"/>
        </w:numPr>
        <w:ind w:leftChars="0"/>
        <w:jc w:val="both"/>
        <w:rPr>
          <w:rFonts w:hint="eastAsia"/>
          <w:b/>
          <w:bCs/>
          <w:sz w:val="52"/>
          <w:szCs w:val="52"/>
          <w:lang w:val="en-US" w:eastAsia="zh-CN"/>
        </w:rPr>
      </w:pPr>
    </w:p>
    <w:p w14:paraId="684F1E7C">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峨边彝族自治县市场监督管理局</w:t>
      </w:r>
      <w:r>
        <w:rPr>
          <w:rFonts w:hint="eastAsia" w:ascii="方正小标宋简体" w:hAnsi="方正小标宋简体" w:eastAsia="方正小标宋简体" w:cs="方正小标宋简体"/>
          <w:b w:val="0"/>
          <w:bCs/>
          <w:sz w:val="52"/>
          <w:szCs w:val="52"/>
          <w:lang w:val="en-US" w:eastAsia="zh-CN"/>
        </w:rPr>
        <w:t>2025年部门预算情况说明</w:t>
      </w:r>
    </w:p>
    <w:p w14:paraId="57F445FA">
      <w:pPr>
        <w:numPr>
          <w:ilvl w:val="0"/>
          <w:numId w:val="0"/>
        </w:numPr>
        <w:jc w:val="center"/>
        <w:rPr>
          <w:rFonts w:hint="default"/>
          <w:b/>
          <w:bCs/>
          <w:sz w:val="52"/>
          <w:szCs w:val="52"/>
          <w:lang w:val="en-US" w:eastAsia="zh-CN"/>
        </w:rPr>
      </w:pPr>
    </w:p>
    <w:p w14:paraId="42ABDC43">
      <w:pPr>
        <w:numPr>
          <w:ilvl w:val="0"/>
          <w:numId w:val="0"/>
        </w:numPr>
        <w:spacing w:line="600" w:lineRule="exact"/>
        <w:rPr>
          <w:rFonts w:hint="eastAsia" w:ascii="仿宋" w:hAnsi="仿宋" w:eastAsia="仿宋" w:cs="Times New Roman"/>
          <w:sz w:val="32"/>
          <w:szCs w:val="32"/>
          <w:lang w:val="en-US" w:eastAsia="zh-CN"/>
        </w:rPr>
      </w:pPr>
    </w:p>
    <w:p w14:paraId="5E0460CC">
      <w:pPr>
        <w:numPr>
          <w:ilvl w:val="0"/>
          <w:numId w:val="0"/>
        </w:numPr>
        <w:spacing w:line="600" w:lineRule="exact"/>
        <w:rPr>
          <w:rFonts w:hint="eastAsia" w:ascii="仿宋" w:hAnsi="仿宋" w:eastAsia="仿宋" w:cs="Times New Roman"/>
          <w:sz w:val="32"/>
          <w:szCs w:val="32"/>
          <w:lang w:val="en-US" w:eastAsia="zh-CN"/>
        </w:rPr>
      </w:pPr>
    </w:p>
    <w:p w14:paraId="43A41D66">
      <w:pPr>
        <w:numPr>
          <w:ilvl w:val="0"/>
          <w:numId w:val="0"/>
        </w:numPr>
        <w:spacing w:line="600" w:lineRule="exact"/>
        <w:rPr>
          <w:rFonts w:hint="eastAsia" w:ascii="仿宋" w:hAnsi="仿宋" w:eastAsia="仿宋" w:cs="Times New Roman"/>
          <w:sz w:val="32"/>
          <w:szCs w:val="32"/>
          <w:lang w:val="en-US" w:eastAsia="zh-CN"/>
        </w:rPr>
      </w:pPr>
    </w:p>
    <w:p w14:paraId="7A16D5C7">
      <w:pPr>
        <w:pStyle w:val="2"/>
        <w:rPr>
          <w:rFonts w:hint="eastAsia"/>
          <w:lang w:val="en-US" w:eastAsia="zh-CN"/>
        </w:rPr>
      </w:pPr>
    </w:p>
    <w:p w14:paraId="2580199B">
      <w:pPr>
        <w:numPr>
          <w:ilvl w:val="0"/>
          <w:numId w:val="0"/>
        </w:numPr>
        <w:jc w:val="both"/>
        <w:rPr>
          <w:rFonts w:hint="default"/>
          <w:b/>
          <w:bCs/>
          <w:sz w:val="52"/>
          <w:szCs w:val="52"/>
          <w:lang w:val="en-US" w:eastAsia="zh-CN"/>
        </w:rPr>
      </w:pPr>
    </w:p>
    <w:p w14:paraId="5311AD22">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66D1D2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市场监督管理局所有收入和支出均纳入部门预算管理。收入包括：一般公共预算拨款收入；支出包括：一般公共服务支出、社会保障和就业支出、卫生健康支出、住房保障支出。</w:t>
      </w:r>
    </w:p>
    <w:p w14:paraId="1245E77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峨边彝族自治县市场监督管理局2025年收支总预算1099.84万元，比2024年收支预算总数增加21.91万元，主要原因是2025年人员比2024年多10个人，人员经费增加。</w:t>
      </w:r>
    </w:p>
    <w:p w14:paraId="2B39E38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（一）收入预算情况</w:t>
      </w:r>
    </w:p>
    <w:p w14:paraId="60EE3BD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峨边彝族自治县市场监督管理局2025年收入预算1099.84万元，其中：上年结转1.05万元，占0.1%；一般公共预算拨款收入1098.79万元，占99.9%；政府性基金预算拨款收入0万元，占0%；事业收入0万元，占0%。</w:t>
      </w:r>
    </w:p>
    <w:p w14:paraId="087FCE6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（二）支出预算情况</w:t>
      </w:r>
    </w:p>
    <w:p w14:paraId="2B83450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峨边彝族自治县市场监督管理局2025年支出预算1099.84万元，其中：基本支出1083.79万元，占98.54%；项目支出16.05万元，占1.46%。</w:t>
      </w:r>
    </w:p>
    <w:p w14:paraId="3B84D2EE">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0932C86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峨边彝族自治县市场监督管理局2025年财政拨款收支预算总数1099.84万元,比2024年财政拨款收支预算总数1079.66万元增加21.91万元，主要原因是2025年人员比2024年多10个人，人员经费增加。</w:t>
      </w:r>
    </w:p>
    <w:p w14:paraId="042C8BD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收入包括：本年一般公共预算拨款收入1098.79万元、上年结转一般公共预算拨款收入1.05万元、本年政府性基金预算拨款收入0万元；支出包括：一般公共服务支出840.46万元、社会保障和就业支出152.10万元、卫生健康支出28.78万元，住房保障支出78.50万元。</w:t>
      </w:r>
    </w:p>
    <w:p w14:paraId="3137A7C2">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7616C62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（一）一般公共预算当年拨款规模及变化情况。</w:t>
      </w:r>
    </w:p>
    <w:p w14:paraId="7441F35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峨边彝族自治县市场监督管理局2025年一般公共预算当年拨款1098.79万元，较上年预算数增加60.11万元。主要原因是</w:t>
      </w:r>
      <w:bookmarkStart w:id="0" w:name="_GoBack"/>
      <w:bookmarkEnd w:id="0"/>
      <w:r>
        <w:rPr>
          <w:rFonts w:hint="eastAsia" w:ascii="Times New Roman" w:hAnsi="Times New Roman" w:eastAsia="仿宋_GB2312" w:cs="仿宋_GB2312"/>
          <w:sz w:val="32"/>
          <w:szCs w:val="32"/>
          <w:lang w:val="en-US" w:eastAsia="zh-CN"/>
        </w:rPr>
        <w:t>2025年人员比2024年增加10人，所以对应的人员经费、五险一金预算都增加了。</w:t>
      </w:r>
    </w:p>
    <w:p w14:paraId="03C4B43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sz w:val="32"/>
          <w:szCs w:val="32"/>
          <w:lang w:val="en-US" w:eastAsia="zh-CN"/>
        </w:rPr>
        <w:t>二）一般公共预算当年拨款结构情况。</w:t>
      </w:r>
    </w:p>
    <w:p w14:paraId="4B4AFE0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一般公共服务支出839.41万元，占76.39%；社会保障和就业支出152.10万元，占13.84%；卫生健康支出28.78万元，占2.62%；住房保障支出78.50万元，占7.15%。</w:t>
      </w:r>
    </w:p>
    <w:p w14:paraId="08E31E4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（三）一般公共预算当年拨款具体使用情况</w:t>
      </w:r>
    </w:p>
    <w:p w14:paraId="59F0D96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一般公共服务（类）市场监督管理事务（款）行政运行（项）:2025年预算数为800.47万元，主要用于：机关及参公管理事业单位正常运转的基本支出，包括基本工资、津贴补贴等人员经费以及办公费、印刷费、水电费等日常公用经费。</w:t>
      </w:r>
    </w:p>
    <w:p w14:paraId="218FF3A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一般公共服务（类）市场监督管理事务（款）事业运行（项）:2025年预算数为23.94万元，主要用于：事业单位正常运转的基本支出，包括基本工资、津贴补贴等人员经费以及办公费、印刷费、水电费等日常公用经费。</w:t>
      </w:r>
    </w:p>
    <w:p w14:paraId="4D9694C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3.一般公共服务（类）市场监督管理事务（款）其他市场监督管理事务（项）:2025年预算数为15万元，主要用于：开展食品、质量安全监管等市场监督管理事务方面的工作的项目支出。</w:t>
      </w:r>
    </w:p>
    <w:p w14:paraId="65AF89A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4.社会保障和就业（类）行政事业单位养老（款）机关事业单位基本养老保险缴费支出（项）:2025年预算数为98.04万元，主要用于：实施养老保险制度后，部门按规定由单位缴纳的基本养老保险费支出。</w:t>
      </w:r>
    </w:p>
    <w:p w14:paraId="4343B3B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5.社会保障和就业（类）行政事业单位养老（款）机关事业单位职业年金缴费支出（项）:2025年预算数为49.02万元，主要用于：实施养老保险制度后，部门按规定由单位缴纳的职业年金支出。</w:t>
      </w:r>
    </w:p>
    <w:p w14:paraId="00811DA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6.社会保障和就业（类）其他社会保障和就业（款）其他社会保障和就业支出（项）:2025年预算数为5.04万元，主要用于：部门按规定单位缴纳的工伤、失业保险的支出。</w:t>
      </w:r>
    </w:p>
    <w:p w14:paraId="4DDE361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7.医疗卫生与计划生育（类）行政事业单位医疗（款）行政单位医疗（项）:2025年预算数为28.78万元，主要用于：机关及参公管理事业单位基本医疗保险缴费支出。</w:t>
      </w:r>
    </w:p>
    <w:p w14:paraId="5091F22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8.住房保障（类）住房改革（款）住房公积金（项）:2025年预算数为78.50万元，主要用于：部门按人力资源和社会保障部、财政部规定的基本工资和津贴补贴以及规定比例为职工缴纳的住房公积金支出。</w:t>
      </w:r>
    </w:p>
    <w:p w14:paraId="54EAF04F">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44B7FA9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峨边彝族自治县市场监督管理局2025年一般公共预算基本支出1083.79万元，其中：</w:t>
      </w:r>
    </w:p>
    <w:p w14:paraId="05A5296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人员经费903.66万元，主要包括：基本工资、津贴补贴、奖金、伙食补助费、绩效工资、机关事业单位基本养老保险缴费、职业年金缴费、职工基本医疗保险缴费、  其他社会保障缴费、住房公积金、其他对个人和家庭的补助支出。</w:t>
      </w:r>
    </w:p>
    <w:p w14:paraId="1BAA632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公用经费180.13万元，主要包括：办公费、印刷费、水费、电费、邮电费、差旅费、维修（护）费、公务接待费、劳务费、工会经费、福利费、公车运行维护费、其他交通费、其他商品和服务支出。</w:t>
      </w:r>
    </w:p>
    <w:p w14:paraId="2C8A40EF">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729079C3">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auto"/>
          <w:kern w:val="2"/>
          <w:sz w:val="32"/>
          <w:szCs w:val="32"/>
          <w:lang w:val="en-US" w:eastAsia="zh-CN" w:bidi="ar-SA"/>
        </w:rPr>
        <w:t>峨边彝族自治县市场监督管理局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3AE57DBA">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74401D1C">
      <w:pPr>
        <w:rPr>
          <w:rFonts w:hint="eastAsia" w:ascii="Times New Roman" w:hAnsi="Times New Roman" w:eastAsia="仿宋_GB2312" w:cs="仿宋_GB2312"/>
          <w:color w:val="FF0000"/>
          <w:kern w:val="0"/>
          <w:sz w:val="32"/>
          <w:szCs w:val="32"/>
          <w:lang w:eastAsia="zh-CN"/>
        </w:rPr>
      </w:pPr>
      <w:r>
        <w:rPr>
          <w:rFonts w:hint="eastAsia" w:ascii="仿宋_GB2312" w:hAnsi="仿宋_GB2312" w:eastAsia="仿宋_GB2312" w:cs="仿宋_GB2312"/>
          <w:color w:val="auto"/>
          <w:kern w:val="2"/>
          <w:sz w:val="32"/>
          <w:szCs w:val="32"/>
          <w:lang w:val="en-US" w:eastAsia="zh-CN" w:bidi="ar-SA"/>
        </w:rPr>
        <w:t>峨边彝族自治县市场监督管理局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5F1BA58D">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45A4E6C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kern w:val="2"/>
          <w:sz w:val="32"/>
          <w:szCs w:val="32"/>
          <w:lang w:val="en-US" w:eastAsia="zh-CN" w:bidi="ar-SA"/>
        </w:rPr>
        <w:t>峨边彝族自治县市场监督管理局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32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25</w:t>
      </w:r>
      <w:r>
        <w:rPr>
          <w:rFonts w:hint="eastAsia" w:ascii="Times New Roman" w:hAnsi="Times New Roman" w:eastAsia="仿宋_GB2312" w:cs="仿宋_GB2312"/>
          <w:color w:val="auto"/>
          <w:kern w:val="0"/>
          <w:sz w:val="32"/>
          <w:szCs w:val="32"/>
        </w:rPr>
        <w:t>万元。</w:t>
      </w:r>
    </w:p>
    <w:p w14:paraId="187D267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w:t>
      </w:r>
      <w:r>
        <w:rPr>
          <w:rFonts w:hint="eastAsia" w:ascii="仿宋_GB2312" w:hAnsi="仿宋_GB2312" w:eastAsia="仿宋_GB2312" w:cs="仿宋_GB2312"/>
          <w:color w:val="auto"/>
          <w:kern w:val="2"/>
          <w:sz w:val="32"/>
          <w:szCs w:val="32"/>
          <w:lang w:val="en-US" w:eastAsia="zh-CN" w:bidi="ar-SA"/>
        </w:rPr>
        <w:t>公出</w:t>
      </w:r>
      <w:r>
        <w:rPr>
          <w:rFonts w:hint="eastAsia" w:ascii="Times New Roman" w:hAnsi="Times New Roman" w:eastAsia="仿宋_GB2312" w:cs="仿宋_GB2312"/>
          <w:color w:val="auto"/>
          <w:kern w:val="0"/>
          <w:sz w:val="32"/>
          <w:szCs w:val="32"/>
        </w:rPr>
        <w:t>国（境）费用支出。</w:t>
      </w:r>
    </w:p>
    <w:p w14:paraId="0271402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1A73B009">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eastAsia="zh-CN"/>
        </w:rPr>
        <w:t>上级部门</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周边区县</w:t>
      </w:r>
      <w:r>
        <w:rPr>
          <w:rFonts w:hint="eastAsia" w:ascii="Times New Roman" w:hAnsi="Times New Roman" w:eastAsia="仿宋_GB2312" w:cs="仿宋_GB2312"/>
          <w:color w:val="auto"/>
          <w:kern w:val="0"/>
          <w:sz w:val="32"/>
          <w:szCs w:val="32"/>
        </w:rPr>
        <w:t>来我单位交流学习等。</w:t>
      </w:r>
    </w:p>
    <w:p w14:paraId="450B5F5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3.5</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12.28</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有一辆消委会下属车辆，待报废，未预算</w:t>
      </w:r>
      <w:r>
        <w:rPr>
          <w:rFonts w:hint="eastAsia" w:ascii="Times New Roman" w:hAnsi="Times New Roman" w:eastAsia="仿宋_GB2312" w:cs="仿宋_GB2312"/>
          <w:color w:val="auto"/>
          <w:kern w:val="0"/>
          <w:sz w:val="32"/>
          <w:szCs w:val="32"/>
        </w:rPr>
        <w:t>。</w:t>
      </w:r>
    </w:p>
    <w:p w14:paraId="2C84FDA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辆。</w:t>
      </w:r>
    </w:p>
    <w:p w14:paraId="2A1D8BD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02AA466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25</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5BFD3507">
      <w:pPr>
        <w:pStyle w:val="5"/>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4C184DF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3D4CFBCF">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仿宋_GB2312" w:hAnsi="仿宋_GB2312" w:eastAsia="仿宋_GB2312" w:cs="仿宋_GB2312"/>
          <w:color w:val="auto"/>
          <w:kern w:val="2"/>
          <w:sz w:val="32"/>
          <w:szCs w:val="32"/>
          <w:lang w:val="en-US" w:eastAsia="zh-CN" w:bidi="ar-SA"/>
        </w:rPr>
        <w:t>峨边彝族自治县市场监督管理局</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180.13</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21.37</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kern w:val="0"/>
          <w:sz w:val="32"/>
          <w:szCs w:val="32"/>
          <w:lang w:val="en-US" w:eastAsia="zh-CN"/>
        </w:rPr>
        <w:t>2025年人员比2024年增加10人，所以对应的运行经费财政拨款预算增加</w:t>
      </w:r>
      <w:r>
        <w:rPr>
          <w:rFonts w:hint="eastAsia" w:ascii="Times New Roman" w:hAnsi="Times New Roman" w:eastAsia="仿宋_GB2312" w:cs="仿宋_GB2312"/>
          <w:color w:val="auto"/>
          <w:sz w:val="32"/>
          <w:szCs w:val="32"/>
          <w:shd w:val="clear" w:color="auto" w:fill="FFFFFF"/>
        </w:rPr>
        <w:t>。</w:t>
      </w:r>
    </w:p>
    <w:p w14:paraId="1D1F879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25DB97C6">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仿宋_GB2312" w:hAnsi="仿宋_GB2312" w:eastAsia="仿宋_GB2312" w:cs="仿宋_GB2312"/>
          <w:color w:val="auto"/>
          <w:kern w:val="2"/>
          <w:sz w:val="32"/>
          <w:szCs w:val="32"/>
          <w:lang w:val="en-US" w:eastAsia="zh-CN" w:bidi="ar-SA"/>
        </w:rPr>
        <w:t>峨边彝族自治县市场监督管理局</w:t>
      </w:r>
      <w:r>
        <w:rPr>
          <w:rFonts w:hint="eastAsia" w:ascii="Times New Roman" w:hAnsi="Times New Roman" w:eastAsia="仿宋_GB2312" w:cs="仿宋_GB2312"/>
          <w:color w:val="000000"/>
          <w:kern w:val="0"/>
          <w:sz w:val="32"/>
          <w:szCs w:val="32"/>
          <w:lang w:eastAsia="zh-CN"/>
        </w:rPr>
        <w:t>安排政府采购预算</w:t>
      </w:r>
      <w:r>
        <w:rPr>
          <w:rFonts w:hint="eastAsia" w:ascii="Times New Roman" w:hAnsi="Times New Roman" w:eastAsia="仿宋_GB2312" w:cs="仿宋_GB2312"/>
          <w:color w:val="000000"/>
          <w:kern w:val="0"/>
          <w:sz w:val="32"/>
          <w:szCs w:val="32"/>
          <w:lang w:val="en-US" w:eastAsia="zh-CN"/>
        </w:rPr>
        <w:t>3.5万元</w:t>
      </w:r>
      <w:r>
        <w:rPr>
          <w:rFonts w:hint="eastAsia" w:ascii="Times New Roman" w:hAnsi="Times New Roman" w:eastAsia="仿宋_GB2312" w:cs="仿宋_GB2312"/>
          <w:color w:val="000000"/>
          <w:kern w:val="0"/>
          <w:sz w:val="32"/>
          <w:szCs w:val="32"/>
          <w:lang w:eastAsia="zh-CN"/>
        </w:rPr>
        <w:t>，其中，政府采购货物预算</w:t>
      </w:r>
      <w:r>
        <w:rPr>
          <w:rFonts w:hint="eastAsia" w:ascii="Times New Roman" w:hAnsi="Times New Roman" w:eastAsia="仿宋_GB2312" w:cs="仿宋_GB2312"/>
          <w:color w:val="000000"/>
          <w:kern w:val="0"/>
          <w:sz w:val="32"/>
          <w:szCs w:val="32"/>
          <w:lang w:val="en-US" w:eastAsia="zh-CN"/>
        </w:rPr>
        <w:t>3.5万元</w:t>
      </w:r>
      <w:r>
        <w:rPr>
          <w:rFonts w:hint="eastAsia" w:ascii="Times New Roman" w:hAnsi="Times New Roman" w:eastAsia="仿宋_GB2312" w:cs="仿宋_GB2312"/>
          <w:color w:val="000000"/>
          <w:kern w:val="0"/>
          <w:sz w:val="32"/>
          <w:szCs w:val="32"/>
          <w:lang w:eastAsia="zh-CN"/>
        </w:rPr>
        <w:t>。</w:t>
      </w:r>
    </w:p>
    <w:p w14:paraId="34542A5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5D2A054E">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仿宋_GB2312" w:hAnsi="仿宋_GB2312" w:eastAsia="仿宋_GB2312" w:cs="仿宋_GB2312"/>
          <w:color w:val="auto"/>
          <w:kern w:val="2"/>
          <w:sz w:val="32"/>
          <w:szCs w:val="32"/>
          <w:lang w:val="en-US" w:eastAsia="zh-CN" w:bidi="ar-SA"/>
        </w:rPr>
        <w:t>峨边彝族自治县市场监督管理局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56D2BD64">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年部门预算未安排购置车辆及单位价值200万元以上大型设备。</w:t>
      </w:r>
    </w:p>
    <w:p w14:paraId="7068AE8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50D6E0C5">
      <w:pPr>
        <w:rPr>
          <w:rFonts w:hint="eastAsia" w:ascii="Times New Roman" w:hAnsi="Times New Roman" w:eastAsia="仿宋_GB2312" w:cs="仿宋_GB2312"/>
          <w:color w:val="auto"/>
          <w:kern w:val="0"/>
          <w:lang w:eastAsia="zh-CN"/>
        </w:rPr>
      </w:pPr>
      <w:r>
        <w:rPr>
          <w:rFonts w:hint="eastAsia" w:ascii="Times New Roman" w:hAnsi="Times New Roman" w:eastAsia="仿宋_GB2312" w:cs="仿宋_GB2312"/>
          <w:color w:val="auto"/>
          <w:kern w:val="0"/>
          <w:lang w:eastAsia="zh-CN"/>
        </w:rPr>
        <w:t>2025年，</w:t>
      </w:r>
      <w:r>
        <w:rPr>
          <w:rFonts w:hint="eastAsia" w:ascii="Times New Roman" w:hAnsi="Times New Roman" w:eastAsia="仿宋_GB2312" w:cs="仿宋_GB2312"/>
          <w:color w:val="auto"/>
          <w:kern w:val="0"/>
          <w:lang w:val="en-US" w:eastAsia="zh-CN"/>
        </w:rPr>
        <w:t>峨边彝族自治县市场监督管理局</w:t>
      </w:r>
      <w:r>
        <w:rPr>
          <w:rFonts w:hint="eastAsia" w:ascii="Times New Roman" w:hAnsi="Times New Roman" w:eastAsia="仿宋_GB2312" w:cs="仿宋_GB2312"/>
          <w:color w:val="auto"/>
          <w:kern w:val="0"/>
          <w:lang w:eastAsia="zh-CN"/>
        </w:rPr>
        <w:t>开展绩效目标管理的项目</w:t>
      </w:r>
      <w:r>
        <w:rPr>
          <w:rFonts w:hint="eastAsia" w:ascii="Times New Roman" w:hAnsi="Times New Roman" w:eastAsia="仿宋_GB2312" w:cs="仿宋_GB2312"/>
          <w:color w:val="auto"/>
          <w:kern w:val="0"/>
          <w:lang w:val="en-US" w:eastAsia="zh-CN"/>
        </w:rPr>
        <w:t>1</w:t>
      </w:r>
      <w:r>
        <w:rPr>
          <w:rFonts w:hint="eastAsia" w:ascii="Times New Roman" w:hAnsi="Times New Roman" w:eastAsia="仿宋_GB2312" w:cs="仿宋_GB2312"/>
          <w:color w:val="auto"/>
          <w:kern w:val="0"/>
          <w:lang w:eastAsia="zh-CN"/>
        </w:rPr>
        <w:t>个，涉及预算</w:t>
      </w:r>
      <w:r>
        <w:rPr>
          <w:rFonts w:hint="eastAsia" w:ascii="Times New Roman" w:hAnsi="Times New Roman" w:eastAsia="仿宋_GB2312" w:cs="仿宋_GB2312"/>
          <w:color w:val="auto"/>
          <w:kern w:val="0"/>
          <w:lang w:val="en-US" w:eastAsia="zh-CN"/>
        </w:rPr>
        <w:t>15</w:t>
      </w:r>
      <w:r>
        <w:rPr>
          <w:rFonts w:hint="eastAsia" w:ascii="Times New Roman" w:hAnsi="Times New Roman" w:eastAsia="仿宋_GB2312" w:cs="仿宋_GB2312"/>
          <w:color w:val="auto"/>
          <w:kern w:val="0"/>
          <w:lang w:eastAsia="zh-CN"/>
        </w:rPr>
        <w:t>万元。其中：特定目标类项目</w:t>
      </w:r>
      <w:r>
        <w:rPr>
          <w:rFonts w:hint="eastAsia" w:ascii="Times New Roman" w:hAnsi="Times New Roman" w:eastAsia="仿宋_GB2312" w:cs="仿宋_GB2312"/>
          <w:color w:val="auto"/>
          <w:kern w:val="0"/>
          <w:lang w:val="en-US" w:eastAsia="zh-CN"/>
        </w:rPr>
        <w:t>1</w:t>
      </w:r>
      <w:r>
        <w:rPr>
          <w:rFonts w:hint="eastAsia" w:ascii="Times New Roman" w:hAnsi="Times New Roman" w:eastAsia="仿宋_GB2312" w:cs="仿宋_GB2312"/>
          <w:color w:val="auto"/>
          <w:kern w:val="0"/>
          <w:lang w:eastAsia="zh-CN"/>
        </w:rPr>
        <w:t>个，涉及预算</w:t>
      </w:r>
      <w:r>
        <w:rPr>
          <w:rFonts w:hint="eastAsia" w:ascii="Times New Roman" w:hAnsi="Times New Roman" w:eastAsia="仿宋_GB2312" w:cs="仿宋_GB2312"/>
          <w:color w:val="auto"/>
          <w:kern w:val="0"/>
          <w:lang w:val="en-US" w:eastAsia="zh-CN"/>
        </w:rPr>
        <w:t>15</w:t>
      </w:r>
      <w:r>
        <w:rPr>
          <w:rFonts w:hint="eastAsia" w:ascii="Times New Roman" w:hAnsi="Times New Roman" w:eastAsia="仿宋_GB2312" w:cs="仿宋_GB2312"/>
          <w:color w:val="auto"/>
          <w:kern w:val="0"/>
          <w:lang w:eastAsia="zh-CN"/>
        </w:rPr>
        <w:t>万元</w:t>
      </w:r>
      <w:r>
        <w:rPr>
          <w:rFonts w:hint="eastAsia" w:ascii="Times New Roman" w:hAnsi="Times New Roman" w:eastAsia="仿宋_GB2312" w:cs="仿宋_GB2312"/>
          <w:color w:val="auto"/>
          <w:kern w:val="0"/>
        </w:rPr>
        <w:t>。</w:t>
      </w:r>
    </w:p>
    <w:p w14:paraId="1EA9FAAD">
      <w:pPr>
        <w:ind w:left="0" w:leftChars="0" w:firstLine="0" w:firstLineChars="0"/>
        <w:rPr>
          <w:rFonts w:hint="eastAsia"/>
          <w:lang w:val="en-US" w:eastAsia="zh-CN"/>
        </w:rPr>
      </w:pPr>
    </w:p>
    <w:p w14:paraId="1B05C235">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3B0CF687">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937F285">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7FAF4C71">
      <w:pPr>
        <w:widowControl/>
        <w:numPr>
          <w:ilvl w:val="0"/>
          <w:numId w:val="0"/>
        </w:numPr>
        <w:shd w:val="clear" w:color="auto" w:fill="FFFFFF"/>
        <w:jc w:val="left"/>
        <w:rPr>
          <w:rFonts w:hint="eastAsia" w:ascii="仿宋" w:hAnsi="宋体" w:eastAsia="仿宋" w:cs="宋体"/>
          <w:color w:val="000000"/>
          <w:kern w:val="0"/>
          <w:sz w:val="32"/>
          <w:szCs w:val="32"/>
        </w:rPr>
      </w:pPr>
    </w:p>
    <w:p w14:paraId="5CBC74F9">
      <w:pPr>
        <w:widowControl/>
        <w:numPr>
          <w:ilvl w:val="0"/>
          <w:numId w:val="0"/>
        </w:numPr>
        <w:shd w:val="clear" w:color="auto" w:fill="FFFFFF"/>
        <w:jc w:val="left"/>
        <w:rPr>
          <w:rFonts w:hint="eastAsia" w:ascii="仿宋" w:hAnsi="宋体" w:eastAsia="仿宋" w:cs="宋体"/>
          <w:color w:val="000000"/>
          <w:kern w:val="0"/>
          <w:sz w:val="32"/>
          <w:szCs w:val="32"/>
        </w:rPr>
      </w:pPr>
    </w:p>
    <w:p w14:paraId="7D4BA426">
      <w:pPr>
        <w:widowControl/>
        <w:numPr>
          <w:ilvl w:val="0"/>
          <w:numId w:val="0"/>
        </w:numPr>
        <w:shd w:val="clear" w:color="auto" w:fill="FFFFFF"/>
        <w:jc w:val="left"/>
        <w:rPr>
          <w:rFonts w:hint="eastAsia" w:ascii="仿宋" w:hAnsi="宋体" w:eastAsia="仿宋" w:cs="宋体"/>
          <w:color w:val="000000"/>
          <w:kern w:val="0"/>
          <w:sz w:val="32"/>
          <w:szCs w:val="32"/>
        </w:rPr>
      </w:pPr>
    </w:p>
    <w:p w14:paraId="1269287F">
      <w:pPr>
        <w:widowControl/>
        <w:numPr>
          <w:ilvl w:val="0"/>
          <w:numId w:val="0"/>
        </w:numPr>
        <w:shd w:val="clear" w:color="auto" w:fill="FFFFFF"/>
        <w:jc w:val="left"/>
        <w:rPr>
          <w:rFonts w:hint="eastAsia" w:ascii="仿宋" w:hAnsi="宋体" w:eastAsia="仿宋" w:cs="宋体"/>
          <w:color w:val="000000"/>
          <w:kern w:val="0"/>
          <w:sz w:val="32"/>
          <w:szCs w:val="32"/>
        </w:rPr>
      </w:pPr>
    </w:p>
    <w:p w14:paraId="47433FCA">
      <w:pPr>
        <w:widowControl/>
        <w:numPr>
          <w:ilvl w:val="0"/>
          <w:numId w:val="0"/>
        </w:numPr>
        <w:shd w:val="clear" w:color="auto" w:fill="FFFFFF"/>
        <w:jc w:val="left"/>
        <w:rPr>
          <w:rFonts w:hint="eastAsia" w:ascii="仿宋" w:hAnsi="宋体" w:eastAsia="仿宋" w:cs="宋体"/>
          <w:color w:val="000000"/>
          <w:kern w:val="0"/>
          <w:sz w:val="32"/>
          <w:szCs w:val="32"/>
        </w:rPr>
      </w:pPr>
    </w:p>
    <w:p w14:paraId="651AA930">
      <w:pPr>
        <w:widowControl/>
        <w:numPr>
          <w:ilvl w:val="0"/>
          <w:numId w:val="0"/>
        </w:numPr>
        <w:shd w:val="clear" w:color="auto" w:fill="FFFFFF"/>
        <w:jc w:val="left"/>
        <w:rPr>
          <w:rFonts w:hint="eastAsia" w:ascii="仿宋" w:hAnsi="宋体" w:eastAsia="仿宋" w:cs="宋体"/>
          <w:color w:val="000000"/>
          <w:kern w:val="0"/>
          <w:sz w:val="32"/>
          <w:szCs w:val="32"/>
        </w:rPr>
      </w:pPr>
    </w:p>
    <w:p w14:paraId="0557FCDB">
      <w:pPr>
        <w:widowControl/>
        <w:numPr>
          <w:ilvl w:val="0"/>
          <w:numId w:val="0"/>
        </w:numPr>
        <w:shd w:val="clear" w:color="auto" w:fill="FFFFFF"/>
        <w:jc w:val="left"/>
        <w:rPr>
          <w:rFonts w:hint="eastAsia" w:ascii="仿宋" w:hAnsi="宋体" w:eastAsia="仿宋" w:cs="宋体"/>
          <w:color w:val="000000"/>
          <w:kern w:val="0"/>
          <w:sz w:val="32"/>
          <w:szCs w:val="32"/>
        </w:rPr>
      </w:pPr>
    </w:p>
    <w:p w14:paraId="62216A15">
      <w:pPr>
        <w:widowControl/>
        <w:numPr>
          <w:ilvl w:val="0"/>
          <w:numId w:val="0"/>
        </w:numPr>
        <w:shd w:val="clear" w:color="auto" w:fill="FFFFFF"/>
        <w:jc w:val="left"/>
        <w:rPr>
          <w:rFonts w:hint="eastAsia" w:ascii="仿宋" w:hAnsi="宋体" w:eastAsia="仿宋" w:cs="宋体"/>
          <w:color w:val="000000"/>
          <w:kern w:val="0"/>
          <w:sz w:val="32"/>
          <w:szCs w:val="32"/>
        </w:rPr>
      </w:pPr>
    </w:p>
    <w:p w14:paraId="07363C5C">
      <w:pPr>
        <w:widowControl/>
        <w:numPr>
          <w:ilvl w:val="0"/>
          <w:numId w:val="0"/>
        </w:numPr>
        <w:shd w:val="clear" w:color="auto" w:fill="FFFFFF"/>
        <w:jc w:val="left"/>
        <w:rPr>
          <w:rFonts w:hint="eastAsia" w:ascii="仿宋" w:hAnsi="宋体" w:eastAsia="仿宋" w:cs="宋体"/>
          <w:color w:val="000000"/>
          <w:kern w:val="0"/>
          <w:sz w:val="32"/>
          <w:szCs w:val="32"/>
        </w:rPr>
      </w:pPr>
    </w:p>
    <w:p w14:paraId="4DCF05AC">
      <w:pPr>
        <w:widowControl/>
        <w:numPr>
          <w:ilvl w:val="0"/>
          <w:numId w:val="0"/>
        </w:numPr>
        <w:shd w:val="clear" w:color="auto" w:fill="FFFFFF"/>
        <w:jc w:val="left"/>
        <w:rPr>
          <w:rFonts w:hint="eastAsia" w:ascii="仿宋" w:hAnsi="宋体" w:eastAsia="仿宋" w:cs="宋体"/>
          <w:color w:val="000000"/>
          <w:kern w:val="0"/>
          <w:sz w:val="32"/>
          <w:szCs w:val="32"/>
        </w:rPr>
      </w:pPr>
    </w:p>
    <w:p w14:paraId="6690BD18">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1F10C30A">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43858C5F">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03C7DE9C">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3AAB0F4">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3D371D2E">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0DB14BA">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0709C6DB">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3A8F666F">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7B34F960">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D82E805">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6944E999">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4A1C017">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5801A4CE">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0700F281">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54190D93">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0DC96566">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0AD004B2">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9DE9F2A">
      <w:pPr>
        <w:rPr>
          <w:rFonts w:hint="eastAsia"/>
        </w:rPr>
      </w:pPr>
    </w:p>
    <w:sectPr>
      <w:footerReference r:id="rId6"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0157E3-CD81-4E36-9C1B-8EEB2160B68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2855A739-806A-4B33-9E7B-62531FE47CF7}"/>
  </w:font>
  <w:font w:name="仿宋_GB2312">
    <w:panose1 w:val="02010609030101010101"/>
    <w:charset w:val="86"/>
    <w:family w:val="modern"/>
    <w:pitch w:val="default"/>
    <w:sig w:usb0="00000001" w:usb1="080E0000" w:usb2="00000000" w:usb3="00000000" w:csb0="00040000" w:csb1="00000000"/>
    <w:embedRegular r:id="rId3" w:fontKey="{2BF10868-2FBE-4EDA-8938-1064F658F691}"/>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13390422-BF99-48EA-9464-65FD960BFEF2}"/>
  </w:font>
  <w:font w:name="楷体">
    <w:panose1 w:val="02010609060101010101"/>
    <w:charset w:val="86"/>
    <w:family w:val="auto"/>
    <w:pitch w:val="default"/>
    <w:sig w:usb0="800002BF" w:usb1="38CF7CFA" w:usb2="00000016" w:usb3="00000000" w:csb0="00040001" w:csb1="00000000"/>
    <w:embedRegular r:id="rId5" w:fontKey="{600948AC-E1FD-4BCE-B314-D0C5DDC33710}"/>
  </w:font>
  <w:font w:name="楷体_GB2312">
    <w:panose1 w:val="02010609030101010101"/>
    <w:charset w:val="86"/>
    <w:family w:val="modern"/>
    <w:pitch w:val="default"/>
    <w:sig w:usb0="00000001" w:usb1="080E0000" w:usb2="00000000" w:usb3="00000000" w:csb0="00040000" w:csb1="00000000"/>
    <w:embedRegular r:id="rId6" w:fontKey="{37B3B6AF-7FCB-41D7-BA94-FE77F0A6F1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6CDE">
    <w:pPr>
      <w:pStyle w:val="6"/>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75994">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6B75994">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F838C">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DEDF34">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BDEDF34">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2701CD"/>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627B8A"/>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656C1A"/>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986B42"/>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51164D"/>
    <w:rsid w:val="18827941"/>
    <w:rsid w:val="18BD2FFF"/>
    <w:rsid w:val="18FC06F1"/>
    <w:rsid w:val="19007EC3"/>
    <w:rsid w:val="191E07B4"/>
    <w:rsid w:val="1969002C"/>
    <w:rsid w:val="19F7360C"/>
    <w:rsid w:val="1A045C10"/>
    <w:rsid w:val="1A577820"/>
    <w:rsid w:val="1A5E7EFB"/>
    <w:rsid w:val="1A7D5B0F"/>
    <w:rsid w:val="1A9C7E2B"/>
    <w:rsid w:val="1AE807BA"/>
    <w:rsid w:val="1AEF7DCF"/>
    <w:rsid w:val="1AFF4785"/>
    <w:rsid w:val="1B2E6628"/>
    <w:rsid w:val="1B57460D"/>
    <w:rsid w:val="1B5F7D27"/>
    <w:rsid w:val="1BF33119"/>
    <w:rsid w:val="1C22777B"/>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2A5CEC"/>
    <w:rsid w:val="264A6FA2"/>
    <w:rsid w:val="265A431A"/>
    <w:rsid w:val="266B2A66"/>
    <w:rsid w:val="26710FF0"/>
    <w:rsid w:val="26B732BD"/>
    <w:rsid w:val="27104C6C"/>
    <w:rsid w:val="27263D7B"/>
    <w:rsid w:val="272D4172"/>
    <w:rsid w:val="279168B5"/>
    <w:rsid w:val="27A0205E"/>
    <w:rsid w:val="27CA2B49"/>
    <w:rsid w:val="27CB754F"/>
    <w:rsid w:val="280223C0"/>
    <w:rsid w:val="28115DC0"/>
    <w:rsid w:val="28A21C19"/>
    <w:rsid w:val="28DC4AA0"/>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9C0EC6"/>
    <w:rsid w:val="2DEF169F"/>
    <w:rsid w:val="2E2A4CEC"/>
    <w:rsid w:val="2E395AB2"/>
    <w:rsid w:val="2E3E712E"/>
    <w:rsid w:val="2E68418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0E1494"/>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4F241E"/>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4B53A5"/>
    <w:rsid w:val="425C545A"/>
    <w:rsid w:val="42636FB6"/>
    <w:rsid w:val="42811BC4"/>
    <w:rsid w:val="42B60B92"/>
    <w:rsid w:val="42D650B2"/>
    <w:rsid w:val="42DD34D6"/>
    <w:rsid w:val="43137D99"/>
    <w:rsid w:val="43475BB2"/>
    <w:rsid w:val="44090B96"/>
    <w:rsid w:val="44906B29"/>
    <w:rsid w:val="44B452A6"/>
    <w:rsid w:val="44D407CC"/>
    <w:rsid w:val="45560CD4"/>
    <w:rsid w:val="459509CB"/>
    <w:rsid w:val="45F4689A"/>
    <w:rsid w:val="45FB4649"/>
    <w:rsid w:val="46074EE8"/>
    <w:rsid w:val="4637542D"/>
    <w:rsid w:val="46731EEB"/>
    <w:rsid w:val="46875D06"/>
    <w:rsid w:val="46BD4700"/>
    <w:rsid w:val="46CD28E5"/>
    <w:rsid w:val="47770CCA"/>
    <w:rsid w:val="477A2AB4"/>
    <w:rsid w:val="47D3114B"/>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A942BA"/>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EF210EF"/>
    <w:rsid w:val="4F011EB4"/>
    <w:rsid w:val="4F156DD1"/>
    <w:rsid w:val="4F270107"/>
    <w:rsid w:val="4F5E0589"/>
    <w:rsid w:val="4F82145C"/>
    <w:rsid w:val="4FB627BF"/>
    <w:rsid w:val="504B7277"/>
    <w:rsid w:val="50765CB0"/>
    <w:rsid w:val="50801331"/>
    <w:rsid w:val="50924CFB"/>
    <w:rsid w:val="50DC614F"/>
    <w:rsid w:val="50E0282D"/>
    <w:rsid w:val="51050BFE"/>
    <w:rsid w:val="51073841"/>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EC400F2"/>
    <w:rsid w:val="5F5C2EFA"/>
    <w:rsid w:val="5F7255C6"/>
    <w:rsid w:val="5F785834"/>
    <w:rsid w:val="5FB13C1C"/>
    <w:rsid w:val="5FC75282"/>
    <w:rsid w:val="5FE1567A"/>
    <w:rsid w:val="5FEC1BF5"/>
    <w:rsid w:val="5FF56FCB"/>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76003E"/>
    <w:rsid w:val="67DE101C"/>
    <w:rsid w:val="67FC099D"/>
    <w:rsid w:val="683A42B9"/>
    <w:rsid w:val="68413617"/>
    <w:rsid w:val="68FA5E7F"/>
    <w:rsid w:val="69206FE6"/>
    <w:rsid w:val="69275944"/>
    <w:rsid w:val="69A56796"/>
    <w:rsid w:val="69A67CDD"/>
    <w:rsid w:val="69AA25B9"/>
    <w:rsid w:val="6A16118A"/>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811456"/>
    <w:rsid w:val="70A231E6"/>
    <w:rsid w:val="70F463B4"/>
    <w:rsid w:val="70FB6077"/>
    <w:rsid w:val="712D20D3"/>
    <w:rsid w:val="7131157C"/>
    <w:rsid w:val="713548F2"/>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DB05089"/>
    <w:rsid w:val="7E5768E9"/>
    <w:rsid w:val="7EBF1A58"/>
    <w:rsid w:val="7EC3202A"/>
    <w:rsid w:val="7ED02DDB"/>
    <w:rsid w:val="7F380CA6"/>
    <w:rsid w:val="7F626766"/>
    <w:rsid w:val="7F73305A"/>
    <w:rsid w:val="7FE45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qFormat/>
    <w:uiPriority w:val="99"/>
    <w:pPr>
      <w:suppressAutoHyphens w:val="0"/>
      <w:jc w:val="left"/>
      <w:outlineLvl w:val="0"/>
    </w:pPr>
    <w:rPr>
      <w:rFonts w:ascii="Arial" w:hAnsi="Arial" w:eastAsia="宋体" w:cs="Times New Roman"/>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4"/>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6998</Words>
  <Characters>7423</Characters>
  <Lines>1</Lines>
  <Paragraphs>1</Paragraphs>
  <TotalTime>3</TotalTime>
  <ScaleCrop>false</ScaleCrop>
  <LinksUpToDate>false</LinksUpToDate>
  <CharactersWithSpaces>7456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2025-05-15T02:12:30Z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CB707DB1593B4748B09FFEC64EDEE2E9_13</vt:lpwstr>
  </property>
  <property fmtid="{D5CDD505-2E9C-101B-9397-08002B2CF9AE}" pid="4" name="KSOTemplateDocerSaveRecord">
    <vt:lpwstr>eyJoZGlkIjoiNzI2ZGI0OGUzMDAzMzk0YmE1OTYyMDVlZGMwMmYyODYiLCJ1c2VySWQiOiIzNjIzMDEzMzQifQ==</vt:lpwstr>
  </property>
</Properties>
</file>