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keepNext w:val="0"/>
        <w:keepLines w:val="0"/>
        <w:pageBreakBefore w:val="0"/>
        <w:widowControl/>
        <w:kinsoku/>
        <w:wordWrap/>
        <w:overflowPunct/>
        <w:topLinePunct w:val="0"/>
        <w:autoSpaceDE/>
        <w:autoSpaceDN/>
        <w:bidi w:val="0"/>
        <w:adjustRightInd/>
        <w:snapToGrid/>
        <w:spacing w:line="700" w:lineRule="exact"/>
        <w:contextualSpacing/>
        <w:jc w:val="center"/>
        <w:textAlignment w:val="auto"/>
        <w:outlineLvl w:val="9"/>
        <w:rPr>
          <w:rFonts w:hint="eastAsia" w:ascii="方正小标宋简体" w:hAnsi="宋体" w:eastAsia="方正小标宋简体"/>
          <w:sz w:val="44"/>
          <w:szCs w:val="44"/>
          <w:shd w:val="clear" w:color="auto" w:fill="FFFFFF"/>
          <w:lang w:val="en-US" w:eastAsia="zh-CN"/>
        </w:rPr>
      </w:pPr>
      <w:r>
        <w:rPr>
          <w:rFonts w:hint="eastAsia" w:ascii="方正小标宋简体" w:hAnsi="宋体" w:eastAsia="方正小标宋简体"/>
          <w:sz w:val="44"/>
          <w:szCs w:val="44"/>
          <w:shd w:val="clear" w:color="auto" w:fill="FFFFFF"/>
          <w:lang w:val="en-US" w:eastAsia="zh-CN"/>
        </w:rPr>
        <w:t>峨边彝族自治县市场监督管理局</w:t>
      </w:r>
    </w:p>
    <w:p>
      <w:pPr>
        <w:keepNext w:val="0"/>
        <w:keepLines w:val="0"/>
        <w:pageBreakBefore w:val="0"/>
        <w:widowControl/>
        <w:kinsoku/>
        <w:wordWrap/>
        <w:overflowPunct/>
        <w:topLinePunct w:val="0"/>
        <w:autoSpaceDE/>
        <w:autoSpaceDN/>
        <w:bidi w:val="0"/>
        <w:adjustRightInd/>
        <w:snapToGrid/>
        <w:spacing w:line="700" w:lineRule="exact"/>
        <w:contextualSpacing/>
        <w:jc w:val="center"/>
        <w:textAlignment w:val="auto"/>
        <w:outlineLvl w:val="9"/>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zh-CN"/>
        </w:rPr>
        <w:t>峨边彝族自治县市场监督管理局是峨边彝族自治县人民政府工作部门，内设办公室、</w:t>
      </w:r>
      <w:r>
        <w:rPr>
          <w:rFonts w:hint="eastAsia" w:ascii="仿宋" w:hAnsi="仿宋" w:eastAsia="仿宋"/>
          <w:color w:val="auto"/>
          <w:sz w:val="32"/>
          <w:szCs w:val="32"/>
          <w:lang w:val="en-US" w:eastAsia="zh-CN"/>
        </w:rPr>
        <w:t>8个股室（</w:t>
      </w:r>
      <w:r>
        <w:rPr>
          <w:rFonts w:hint="eastAsia" w:ascii="仿宋" w:hAnsi="仿宋" w:eastAsia="仿宋"/>
          <w:color w:val="auto"/>
          <w:sz w:val="32"/>
          <w:szCs w:val="32"/>
          <w:lang w:val="zh-CN"/>
        </w:rPr>
        <w:t>登记注册股、质量计量标准化监督管理股、食品安全监督管理股、药品化妆品医疗器械监督管理股、特种设备安全监督管理股、市场秩序监督管理股、消费者权益保护股、政策法规股）、</w:t>
      </w:r>
      <w:r>
        <w:rPr>
          <w:rFonts w:hint="eastAsia" w:ascii="仿宋" w:hAnsi="仿宋" w:eastAsia="仿宋"/>
          <w:color w:val="auto"/>
          <w:sz w:val="32"/>
          <w:szCs w:val="32"/>
          <w:lang w:val="en-US" w:eastAsia="zh-CN"/>
        </w:rPr>
        <w:t>4个片区所（沙坪片区监管所、大堡片区监管所、五渡片区监管所、黑竹沟片区监管所）。</w:t>
      </w:r>
      <w:r>
        <w:rPr>
          <w:rFonts w:hint="eastAsia" w:ascii="仿宋" w:hAnsi="仿宋" w:eastAsia="仿宋"/>
          <w:color w:val="auto"/>
          <w:sz w:val="32"/>
          <w:szCs w:val="32"/>
          <w:lang w:val="zh-CN"/>
        </w:rPr>
        <w:t>下属二级单位</w:t>
      </w:r>
      <w:r>
        <w:rPr>
          <w:rFonts w:hint="eastAsia" w:ascii="仿宋" w:hAnsi="仿宋" w:eastAsia="仿宋"/>
          <w:color w:val="auto"/>
          <w:sz w:val="32"/>
          <w:szCs w:val="32"/>
          <w:lang w:val="en-US" w:eastAsia="zh-CN"/>
        </w:rPr>
        <w:t>2</w:t>
      </w:r>
      <w:r>
        <w:rPr>
          <w:rFonts w:hint="eastAsia" w:ascii="仿宋" w:hAnsi="仿宋" w:eastAsia="仿宋"/>
          <w:color w:val="auto"/>
          <w:sz w:val="32"/>
          <w:szCs w:val="32"/>
          <w:lang w:val="zh-CN"/>
        </w:rPr>
        <w:t>个，其中参照公务员法管理的事业单位</w:t>
      </w:r>
      <w:r>
        <w:rPr>
          <w:rFonts w:hint="eastAsia" w:ascii="仿宋" w:hAnsi="仿宋" w:eastAsia="仿宋"/>
          <w:color w:val="auto"/>
          <w:sz w:val="32"/>
          <w:szCs w:val="32"/>
          <w:lang w:val="en-US" w:eastAsia="zh-CN"/>
        </w:rPr>
        <w:t>1</w:t>
      </w:r>
      <w:r>
        <w:rPr>
          <w:rFonts w:hint="eastAsia" w:ascii="仿宋" w:hAnsi="仿宋" w:eastAsia="仿宋"/>
          <w:color w:val="auto"/>
          <w:sz w:val="32"/>
          <w:szCs w:val="32"/>
          <w:lang w:val="zh-CN"/>
        </w:rPr>
        <w:t>个</w:t>
      </w:r>
      <w:r>
        <w:rPr>
          <w:rFonts w:hint="eastAsia" w:ascii="仿宋" w:hAnsi="仿宋" w:eastAsia="仿宋"/>
          <w:color w:val="auto"/>
          <w:sz w:val="32"/>
          <w:szCs w:val="32"/>
          <w:lang w:val="en-US" w:eastAsia="zh-CN"/>
        </w:rPr>
        <w:t>（峨边彝族自治县市场监管综合执法大队）</w:t>
      </w:r>
      <w:r>
        <w:rPr>
          <w:rFonts w:hint="eastAsia" w:ascii="仿宋" w:hAnsi="仿宋" w:eastAsia="仿宋"/>
          <w:color w:val="auto"/>
          <w:sz w:val="32"/>
          <w:szCs w:val="32"/>
          <w:lang w:val="zh-CN"/>
        </w:rPr>
        <w:t>，其他事业单位</w:t>
      </w:r>
      <w:r>
        <w:rPr>
          <w:rFonts w:hint="eastAsia" w:ascii="仿宋" w:hAnsi="仿宋" w:eastAsia="仿宋"/>
          <w:color w:val="auto"/>
          <w:sz w:val="32"/>
          <w:szCs w:val="32"/>
          <w:lang w:val="en-US" w:eastAsia="zh-CN"/>
        </w:rPr>
        <w:t>1</w:t>
      </w:r>
      <w:r>
        <w:rPr>
          <w:rFonts w:hint="eastAsia" w:ascii="仿宋" w:hAnsi="仿宋" w:eastAsia="仿宋"/>
          <w:color w:val="auto"/>
          <w:sz w:val="32"/>
          <w:szCs w:val="32"/>
          <w:lang w:val="zh-CN"/>
        </w:rPr>
        <w:t>个</w:t>
      </w:r>
      <w:r>
        <w:rPr>
          <w:rFonts w:hint="eastAsia" w:ascii="仿宋" w:hAnsi="仿宋" w:eastAsia="仿宋"/>
          <w:color w:val="auto"/>
          <w:sz w:val="32"/>
          <w:szCs w:val="32"/>
          <w:lang w:val="zh-CN" w:eastAsia="zh-CN"/>
        </w:rPr>
        <w:t>（保护消费者权益委员会秘书组）</w:t>
      </w:r>
      <w:r>
        <w:rPr>
          <w:rFonts w:hint="eastAsia" w:ascii="仿宋" w:hAnsi="仿宋" w:eastAsia="仿宋"/>
          <w:color w:val="auto"/>
          <w:sz w:val="32"/>
          <w:szCs w:val="32"/>
          <w:lang w:val="zh-CN"/>
        </w:rPr>
        <w:t>。</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w:t>
      </w:r>
      <w:r>
        <w:rPr>
          <w:rFonts w:hint="eastAsia" w:ascii="仿宋" w:hAnsi="仿宋" w:eastAsia="仿宋"/>
          <w:color w:val="auto"/>
          <w:sz w:val="32"/>
          <w:szCs w:val="32"/>
          <w:lang w:val="zh-CN"/>
        </w:rPr>
        <w:t>负责全县市场综合监督管理工作。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2.</w:t>
      </w:r>
      <w:r>
        <w:rPr>
          <w:rFonts w:hint="eastAsia" w:ascii="仿宋" w:hAnsi="仿宋" w:eastAsia="仿宋"/>
          <w:color w:val="auto"/>
          <w:sz w:val="32"/>
          <w:szCs w:val="32"/>
          <w:lang w:val="zh-CN"/>
        </w:rPr>
        <w:t>负责全县市场主体统一登记注册工作。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3.</w:t>
      </w:r>
      <w:r>
        <w:rPr>
          <w:rFonts w:hint="eastAsia" w:ascii="仿宋" w:hAnsi="仿宋" w:eastAsia="仿宋"/>
          <w:color w:val="auto"/>
          <w:sz w:val="32"/>
          <w:szCs w:val="32"/>
          <w:lang w:val="zh-CN"/>
        </w:rPr>
        <w:t>负责组织和指导全县市场监督管理综合执法工作。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4.</w:t>
      </w:r>
      <w:r>
        <w:rPr>
          <w:rFonts w:hint="eastAsia" w:ascii="仿宋" w:hAnsi="仿宋" w:eastAsia="仿宋"/>
          <w:color w:val="auto"/>
          <w:sz w:val="32"/>
          <w:szCs w:val="32"/>
          <w:lang w:val="zh-CN"/>
        </w:rPr>
        <w:t>负责监督管理全县市场秩序。</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5.</w:t>
      </w:r>
      <w:r>
        <w:rPr>
          <w:rFonts w:hint="eastAsia" w:ascii="仿宋" w:hAnsi="仿宋" w:eastAsia="仿宋"/>
          <w:color w:val="auto"/>
          <w:sz w:val="32"/>
          <w:szCs w:val="32"/>
          <w:lang w:val="zh-CN"/>
        </w:rPr>
        <w:t>负责全县宏观质量管理。</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6.</w:t>
      </w:r>
      <w:r>
        <w:rPr>
          <w:rFonts w:hint="eastAsia" w:ascii="仿宋" w:hAnsi="仿宋" w:eastAsia="仿宋"/>
          <w:color w:val="auto"/>
          <w:sz w:val="32"/>
          <w:szCs w:val="32"/>
          <w:lang w:val="zh-CN"/>
        </w:rPr>
        <w:t>负责全县产品质量安全监督管理。</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7.</w:t>
      </w:r>
      <w:r>
        <w:rPr>
          <w:rFonts w:hint="eastAsia" w:ascii="仿宋" w:hAnsi="仿宋" w:eastAsia="仿宋"/>
          <w:color w:val="auto"/>
          <w:sz w:val="32"/>
          <w:szCs w:val="32"/>
          <w:lang w:val="zh-CN"/>
        </w:rPr>
        <w:t>负责全县特种设备安全监督管理。</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8.</w:t>
      </w:r>
      <w:r>
        <w:rPr>
          <w:rFonts w:hint="eastAsia" w:ascii="仿宋" w:hAnsi="仿宋" w:eastAsia="仿宋"/>
          <w:color w:val="auto"/>
          <w:sz w:val="32"/>
          <w:szCs w:val="32"/>
          <w:lang w:val="zh-CN"/>
        </w:rPr>
        <w:t>负责全县食品安全监督管理综合协调。</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9.</w:t>
      </w:r>
      <w:r>
        <w:rPr>
          <w:rFonts w:hint="eastAsia" w:ascii="仿宋" w:hAnsi="仿宋" w:eastAsia="仿宋"/>
          <w:color w:val="auto"/>
          <w:sz w:val="32"/>
          <w:szCs w:val="32"/>
          <w:lang w:val="zh-CN"/>
        </w:rPr>
        <w:t>负责全县食品安全监督管理。</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10.</w:t>
      </w:r>
      <w:r>
        <w:rPr>
          <w:rFonts w:hint="eastAsia" w:ascii="仿宋" w:hAnsi="仿宋" w:eastAsia="仿宋"/>
          <w:color w:val="auto"/>
          <w:sz w:val="32"/>
          <w:szCs w:val="32"/>
          <w:lang w:val="zh-CN"/>
        </w:rPr>
        <w:t>负责统一管理全县计量工作。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11.</w:t>
      </w:r>
      <w:r>
        <w:rPr>
          <w:rFonts w:hint="eastAsia" w:ascii="仿宋" w:hAnsi="仿宋" w:eastAsia="仿宋"/>
          <w:color w:val="auto"/>
          <w:sz w:val="32"/>
          <w:szCs w:val="32"/>
          <w:lang w:val="zh-CN"/>
        </w:rPr>
        <w:t>负责统一管理全县标准化工作，指导企业标准制定工作。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12.</w:t>
      </w:r>
      <w:r>
        <w:rPr>
          <w:rFonts w:hint="eastAsia" w:ascii="仿宋" w:hAnsi="仿宋" w:eastAsia="仿宋"/>
          <w:color w:val="auto"/>
          <w:sz w:val="32"/>
          <w:szCs w:val="32"/>
          <w:lang w:val="zh-CN"/>
        </w:rPr>
        <w:t>负责统一管理全县检验检测工作。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13.</w:t>
      </w:r>
      <w:r>
        <w:rPr>
          <w:rFonts w:hint="eastAsia" w:ascii="仿宋" w:hAnsi="仿宋" w:eastAsia="仿宋"/>
          <w:color w:val="auto"/>
          <w:sz w:val="32"/>
          <w:szCs w:val="32"/>
          <w:lang w:val="zh-CN"/>
        </w:rPr>
        <w:t>负责统一管理全县认证认可工作。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14.</w:t>
      </w:r>
      <w:r>
        <w:rPr>
          <w:rFonts w:hint="eastAsia" w:ascii="仿宋" w:hAnsi="仿宋" w:eastAsia="仿宋"/>
          <w:color w:val="auto"/>
          <w:sz w:val="32"/>
          <w:szCs w:val="32"/>
          <w:lang w:val="zh-CN"/>
        </w:rPr>
        <w:t>负责市场监督管理科技和信息化建设、新闻宣传。</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15.</w:t>
      </w:r>
      <w:r>
        <w:rPr>
          <w:rFonts w:hint="eastAsia" w:ascii="仿宋" w:hAnsi="仿宋" w:eastAsia="仿宋"/>
          <w:color w:val="auto"/>
          <w:sz w:val="32"/>
          <w:szCs w:val="32"/>
          <w:lang w:val="zh-CN"/>
        </w:rPr>
        <w:t>负责全县知识产权发展规划的制定，负责知识产权的保护，负责组织指导商标、专利执法工作。</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16.</w:t>
      </w:r>
      <w:r>
        <w:rPr>
          <w:rFonts w:hint="eastAsia" w:ascii="仿宋" w:hAnsi="仿宋" w:eastAsia="仿宋"/>
          <w:color w:val="auto"/>
          <w:sz w:val="32"/>
          <w:szCs w:val="32"/>
          <w:lang w:val="zh-CN"/>
        </w:rPr>
        <w:t>在职责范围内负责促进全县民营经济发展。</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17.</w:t>
      </w:r>
      <w:r>
        <w:rPr>
          <w:rFonts w:hint="eastAsia" w:ascii="仿宋" w:hAnsi="仿宋" w:eastAsia="仿宋"/>
          <w:color w:val="auto"/>
          <w:sz w:val="32"/>
          <w:szCs w:val="32"/>
          <w:lang w:val="zh-CN"/>
        </w:rPr>
        <w:t>负责全县药品（含中药、民族药）、医疗器械和化妆品安全监督管理，拟订全县监督管理政策规划。</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18.</w:t>
      </w:r>
      <w:r>
        <w:rPr>
          <w:rFonts w:hint="eastAsia" w:ascii="仿宋" w:hAnsi="仿宋" w:eastAsia="仿宋"/>
          <w:color w:val="auto"/>
          <w:sz w:val="32"/>
          <w:szCs w:val="32"/>
          <w:lang w:val="zh-CN"/>
        </w:rPr>
        <w:t>负责全县药品、医疗器械和化妆品注册管理。</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zh-CN"/>
        </w:rPr>
      </w:pPr>
      <w:r>
        <w:rPr>
          <w:rFonts w:hint="eastAsia" w:ascii="仿宋" w:hAnsi="仿宋" w:eastAsia="仿宋"/>
          <w:color w:val="auto"/>
          <w:sz w:val="32"/>
          <w:szCs w:val="32"/>
          <w:lang w:val="en-US" w:eastAsia="zh-CN"/>
        </w:rPr>
        <w:t>19.</w:t>
      </w:r>
      <w:r>
        <w:rPr>
          <w:rFonts w:hint="eastAsia" w:ascii="仿宋" w:hAnsi="仿宋" w:eastAsia="仿宋"/>
          <w:color w:val="auto"/>
          <w:sz w:val="32"/>
          <w:szCs w:val="32"/>
          <w:lang w:val="zh-CN"/>
        </w:rPr>
        <w:t>负责职责范围内的安全生产和职业健康、生态环境保护、服务便民化等工作。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r>
        <w:rPr>
          <w:rFonts w:hint="eastAsia" w:ascii="仿宋" w:hAnsi="仿宋" w:eastAsia="仿宋" w:cs="Times New Roman"/>
          <w:color w:val="auto"/>
          <w:kern w:val="2"/>
          <w:sz w:val="32"/>
          <w:szCs w:val="32"/>
          <w:shd w:val="clear" w:color="auto" w:fill="auto"/>
          <w:lang w:val="en-US" w:eastAsia="zh-CN"/>
        </w:rPr>
        <w:t>我局2022年度</w:t>
      </w:r>
      <w:r>
        <w:rPr>
          <w:rFonts w:hint="eastAsia" w:ascii="仿宋" w:hAnsi="仿宋" w:eastAsia="仿宋"/>
          <w:color w:val="auto"/>
          <w:sz w:val="32"/>
          <w:szCs w:val="32"/>
          <w:lang w:val="en-US" w:eastAsia="zh-CN"/>
        </w:rPr>
        <w:t>总编制49名，其中：行政编制16名，参公编制26名，事业编制2名，机关工勤5名。在职人员总数46名，其中：行政29名，参公12人，事业2名，机关工勤3名。</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楷体_GB2312" w:hAnsi="宋体" w:eastAsia="楷体_GB2312" w:cs="宋体"/>
          <w:color w:val="000000"/>
          <w:kern w:val="0"/>
          <w:szCs w:val="32"/>
          <w:shd w:val="clear" w:color="auto" w:fill="FFFFFF"/>
          <w:lang w:val="zh-CN" w:eastAsia="zh-CN"/>
        </w:rPr>
      </w:pPr>
      <w:r>
        <w:rPr>
          <w:rFonts w:hint="eastAsia" w:ascii="楷体_GB2312" w:hAnsi="宋体" w:eastAsia="楷体_GB2312" w:cs="宋体"/>
          <w:color w:val="000000"/>
          <w:kern w:val="0"/>
          <w:szCs w:val="32"/>
          <w:shd w:val="clear" w:color="auto" w:fill="FFFFFF"/>
          <w:lang w:val="zh-CN" w:eastAsia="zh-CN"/>
        </w:rPr>
        <w:t>（三）年度主要工作任务。</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常态化开展疫情防控工作。强化对冷链食品、冻库、餐饮店、药店、茶楼、集贸市场等重点场所、重点行业的监督管理，严格落实冷链食品监管和冷库库长制，积极做好进口冷链食品监管仓相关工作，落实重点人群防护，会同县疾控中心、人民医院开展农贸市场、外卖平台、冷链食品经营单位工作场所环境和从业人员核酸检测工作。做好新冠等疫苗全链条质量监管工作，确保群众疫苗使用安全。</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2.扎实开展“春雷行动 2022”执法行动。严格按照省市局安排部署，积极开展以“铁拳出击护民生 铁腕治乱促发展”专项执法行动。针对我县市场秩序中的突出问题和短板弱项，以冷链食品为重点，严厉打击食品安全领域违法行为；以燃气领域整治为重点，着力排除特种设备风险隐患，强化工业产品质量安全；以加强未成年人保护工作为重点，严厉打击损害未成年人合法权益或身心健康的违法行为；以整治经营活动中乱评比乱排序为重点，严厉打击虚假违法广告、不正当竞争行为；以保障农村地区药品质量安全为重点，从严从快查处违法行为；以学科类校外培训机构、公立医疗机构和重点景区收费价格行为为重点，严厉打击虚假宣传、价格欺诈等违法行为，始终保持监管执法高压态势，确保在短期内取得较大实效。</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3.严守食品、药品、特种设备三大安全底线。抓好食品安全监管。一是</w:t>
      </w:r>
      <w:r>
        <w:rPr>
          <w:rFonts w:hint="eastAsia" w:ascii="仿宋" w:hAnsi="仿宋" w:eastAsia="仿宋"/>
          <w:color w:val="auto"/>
          <w:sz w:val="32"/>
          <w:szCs w:val="32"/>
          <w:lang w:val="zh-CN"/>
        </w:rPr>
        <w:t>加强食品安全工作的领导</w:t>
      </w:r>
      <w:r>
        <w:rPr>
          <w:rFonts w:hint="eastAsia" w:ascii="仿宋" w:hAnsi="仿宋" w:eastAsia="仿宋"/>
          <w:color w:val="auto"/>
          <w:sz w:val="32"/>
          <w:szCs w:val="32"/>
          <w:lang w:val="zh-CN" w:eastAsia="zh-CN"/>
        </w:rPr>
        <w:t>。贯彻落实《地方党政领导干部食品安全责任制规定》和《关于深化改革加强食品安全工作的意见》， 把食品安全工作作为一项重大政治任务，自觉履行组织领导和食品安全属地管理责任，压紧靠实各级各部门食品安全工作责任， 确保不发生食品安全事故。</w:t>
      </w:r>
      <w:r>
        <w:rPr>
          <w:rFonts w:hint="eastAsia" w:ascii="仿宋" w:hAnsi="仿宋" w:eastAsia="仿宋"/>
          <w:color w:val="auto"/>
          <w:sz w:val="32"/>
          <w:szCs w:val="32"/>
          <w:lang w:val="en-US" w:eastAsia="zh-CN"/>
        </w:rPr>
        <w:t>二是加强食品生产经营全过程监管。对全县食品生产企业、小作坊、餐饮单位、超市副食店、农贸市场开展全面检查，强化食品生产经营单位主体责任意识三是加大食品抽检监测力度。坚持问题导向，突出重点企业、重点品种抽检监测，市场监管环节食品安全抽检量达到 3.2 批次/千人，不合格年度核查处置完成率达100%，按时完成率达 100%，信息公示率达100%。强化药品、医疗器械、化妆品市场监管，规范经营秩序。持续强化对全县药品经营企业、化妆品经营企业和医疗机构的日常监督检查；积极指导督促医疗机构、经营企业按时填报药械化不良反应，按需开展业务指导培训会，提升填报质量，完成上级下达的任务目标；强化药品抽检工作，坚持问题为导向，找准药品质量风险点，提高抽检的针对性、覆盖面和不合格药品的检出率。</w:t>
      </w:r>
      <w:r>
        <w:rPr>
          <w:rFonts w:hint="eastAsia" w:ascii="仿宋" w:hAnsi="仿宋" w:eastAsia="仿宋"/>
          <w:color w:val="auto"/>
          <w:sz w:val="32"/>
          <w:szCs w:val="32"/>
          <w:lang w:val="zh-CN"/>
        </w:rPr>
        <w:t>强化特种设备安全监察，</w:t>
      </w:r>
      <w:r>
        <w:rPr>
          <w:rFonts w:hint="eastAsia" w:ascii="仿宋" w:hAnsi="仿宋" w:eastAsia="仿宋"/>
          <w:color w:val="auto"/>
          <w:sz w:val="32"/>
          <w:szCs w:val="32"/>
          <w:lang w:val="en-US" w:eastAsia="zh-CN"/>
        </w:rPr>
        <w:t>对一般性特种设备使用单位全年按不低于30％抽查，我县特种设备使用单位87家，按照比例抽查40家。根据《</w:t>
      </w:r>
      <w:r>
        <w:rPr>
          <w:rFonts w:hint="eastAsia" w:ascii="仿宋" w:hAnsi="仿宋" w:eastAsia="仿宋"/>
          <w:color w:val="auto"/>
          <w:sz w:val="32"/>
          <w:szCs w:val="32"/>
          <w:lang w:val="zh-CN" w:eastAsia="zh-CN"/>
        </w:rPr>
        <w:t>特种设备现场安全监督检查规则</w:t>
      </w:r>
      <w:r>
        <w:rPr>
          <w:rFonts w:hint="eastAsia" w:ascii="仿宋" w:hAnsi="仿宋" w:eastAsia="仿宋"/>
          <w:color w:val="auto"/>
          <w:sz w:val="32"/>
          <w:szCs w:val="32"/>
          <w:lang w:val="en-US" w:eastAsia="zh-CN"/>
        </w:rPr>
        <w:t>》将其中20家列为今年重点检查对象，每年日常监督检查不少于1次。</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4.积极推进质量强县工作。按照市局2022年质量工作考核目标的要求，完成考核细则年度工作任务。制定县级行动计划，开展质量提升行动；组织召开2022年质量强县工作领导小组联系会议，加强日常工作督导检查，对2022年质量强县工作要求和考核目标进行传达，要求各成员单位按照文件要求扎实开展质量提升行动。</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5.</w:t>
      </w:r>
      <w:r>
        <w:rPr>
          <w:rFonts w:hint="eastAsia" w:ascii="仿宋" w:hAnsi="仿宋" w:eastAsia="仿宋"/>
          <w:color w:val="auto"/>
          <w:sz w:val="32"/>
          <w:szCs w:val="32"/>
          <w:lang w:val="zh-CN"/>
        </w:rPr>
        <w:t>优化服务促进地方经济发展，</w:t>
      </w:r>
      <w:r>
        <w:rPr>
          <w:rFonts w:hint="eastAsia" w:ascii="仿宋" w:hAnsi="仿宋" w:eastAsia="仿宋"/>
          <w:color w:val="auto"/>
          <w:sz w:val="32"/>
          <w:szCs w:val="32"/>
          <w:lang w:val="en-US" w:eastAsia="zh-CN"/>
        </w:rPr>
        <w:t>积极实施商标品牌战略、强化商标专用权的保护。充分发挥知识产权工作领导小组作用，助推我县经济高质量发展，开展知识产权工作领导小组暨商标工作专题培训会议，对全县高新技术企业、涉农企业、农专社等进行培训，积极对接第三方代理机构，对市场主体商标申请注册进行指导，大力推进我县商标尤其是农产品商标的宣传、推广和注册工作，增强我县广大群众特别是市场主体的商标意识。强化事中事后监管，一是积极推行部门“双随机、一公开”工作；二是巩固提升“一网通办”，持续推进“互联网+监管”工作；三是加快推进联合激励惩戒机制，开展行政处罚信息公示及企业年报工作。营造放心舒心消费环境</w:t>
      </w:r>
    </w:p>
    <w:p>
      <w:pPr>
        <w:keepNext w:val="0"/>
        <w:keepLines w:val="0"/>
        <w:pageBreakBefore w:val="0"/>
        <w:kinsoku/>
        <w:wordWrap/>
        <w:overflowPunct/>
        <w:topLinePunct w:val="0"/>
        <w:autoSpaceDE/>
        <w:autoSpaceDN/>
        <w:bidi w:val="0"/>
        <w:spacing w:line="600" w:lineRule="exact"/>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紧紧围绕放心舒心消费城市创建工作主线，提升创建质量，扎实开展示范商场、示范农家乐、示范行业、示范景区和一店一码的创建工作，计划明年完成一店一码100户，示范街1条，示范农家乐1个）《以市局创建办下发文件为准》。</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6.</w:t>
      </w:r>
      <w:r>
        <w:rPr>
          <w:rFonts w:hint="eastAsia" w:ascii="仿宋" w:hAnsi="仿宋" w:eastAsia="仿宋"/>
          <w:color w:val="auto"/>
          <w:sz w:val="32"/>
          <w:szCs w:val="32"/>
          <w:lang w:val="zh-CN"/>
        </w:rPr>
        <w:t>全力维护消费者合法权益充分利用12315、12345、现场受理等</w:t>
      </w:r>
      <w:r>
        <w:rPr>
          <w:rFonts w:hint="eastAsia" w:ascii="仿宋" w:hAnsi="仿宋" w:eastAsia="仿宋"/>
          <w:color w:val="auto"/>
          <w:sz w:val="32"/>
          <w:szCs w:val="32"/>
          <w:lang w:val="zh-CN" w:eastAsia="zh-CN"/>
        </w:rPr>
        <w:t>，</w:t>
      </w:r>
      <w:r>
        <w:rPr>
          <w:rFonts w:hint="eastAsia" w:ascii="仿宋" w:hAnsi="仿宋" w:eastAsia="仿宋"/>
          <w:color w:val="auto"/>
          <w:sz w:val="32"/>
          <w:szCs w:val="32"/>
          <w:lang w:val="zh-CN"/>
        </w:rPr>
        <w:t>受理消费投诉，为消费者挽回经济损失</w:t>
      </w:r>
      <w:r>
        <w:rPr>
          <w:rFonts w:hint="eastAsia" w:ascii="仿宋" w:hAnsi="仿宋" w:eastAsia="仿宋"/>
          <w:color w:val="auto"/>
          <w:sz w:val="32"/>
          <w:szCs w:val="32"/>
          <w:lang w:val="zh-CN" w:eastAsia="zh-CN"/>
        </w:rPr>
        <w:t>，</w:t>
      </w:r>
      <w:r>
        <w:rPr>
          <w:rFonts w:hint="eastAsia" w:ascii="仿宋" w:hAnsi="仿宋" w:eastAsia="仿宋"/>
          <w:color w:val="auto"/>
          <w:sz w:val="32"/>
          <w:szCs w:val="32"/>
          <w:lang w:val="en-US" w:eastAsia="zh-CN"/>
        </w:rPr>
        <w:t>全力保障消费者合法权益。</w:t>
      </w:r>
    </w:p>
    <w:p>
      <w:pPr>
        <w:keepNext w:val="0"/>
        <w:keepLines w:val="0"/>
        <w:pageBreakBefore w:val="0"/>
        <w:kinsoku/>
        <w:wordWrap/>
        <w:overflowPunct/>
        <w:topLinePunct w:val="0"/>
        <w:autoSpaceDE/>
        <w:autoSpaceDN/>
        <w:bidi w:val="0"/>
        <w:spacing w:line="600" w:lineRule="exact"/>
        <w:ind w:firstLine="320" w:firstLineChars="100"/>
        <w:textAlignment w:val="auto"/>
        <w:outlineLvl w:val="9"/>
        <w:rPr>
          <w:rFonts w:hint="eastAsia" w:ascii="仿宋" w:hAnsi="仿宋" w:eastAsia="仿宋" w:cs="Times New Roman"/>
          <w:color w:val="auto"/>
          <w:sz w:val="32"/>
          <w:szCs w:val="32"/>
          <w:lang w:val="en-US" w:eastAsia="zh-CN"/>
        </w:rPr>
      </w:pPr>
      <w:r>
        <w:rPr>
          <w:rFonts w:hint="eastAsia" w:ascii="楷体_GB2312" w:hAnsi="宋体" w:eastAsia="楷体_GB2312" w:cs="宋体"/>
          <w:color w:val="000000"/>
          <w:kern w:val="0"/>
          <w:szCs w:val="32"/>
          <w:shd w:val="clear" w:color="auto" w:fill="FFFFFF"/>
          <w:lang w:val="zh-CN"/>
        </w:rPr>
        <w:t>（四）部门整体支出绩效目标。</w:t>
      </w:r>
      <w:r>
        <w:rPr>
          <w:rFonts w:hint="eastAsia" w:ascii="仿宋" w:hAnsi="仿宋" w:eastAsia="仿宋" w:cs="Times New Roman"/>
          <w:color w:val="auto"/>
          <w:sz w:val="32"/>
          <w:szCs w:val="32"/>
          <w:lang w:val="en-US" w:eastAsia="zh-CN"/>
        </w:rPr>
        <w:t>我单位结合实际，年初制订了可行的绩效目标。其中：按照年度主要任务分：1.基本支出经费。主要用于职工工资、保险以及保障单位运转等。2.知识产权</w:t>
      </w:r>
      <w:r>
        <w:rPr>
          <w:rFonts w:hint="default" w:ascii="仿宋" w:hAnsi="仿宋" w:eastAsia="仿宋" w:cs="Times New Roman"/>
          <w:color w:val="auto"/>
          <w:sz w:val="32"/>
          <w:szCs w:val="32"/>
          <w:lang w:val="en-US" w:eastAsia="zh-CN"/>
        </w:rPr>
        <w:t>经费</w:t>
      </w:r>
      <w:r>
        <w:rPr>
          <w:rFonts w:hint="eastAsia" w:ascii="仿宋" w:hAnsi="仿宋" w:eastAsia="仿宋" w:cs="Times New Roman"/>
          <w:color w:val="auto"/>
          <w:sz w:val="32"/>
          <w:szCs w:val="32"/>
          <w:lang w:val="en-US" w:eastAsia="zh-CN"/>
        </w:rPr>
        <w:t>。开展知识产权宣传、印刷资料等费用；对企业、本单位干部参加各类培训等支出，据实列支。3.食品安全抽检。主要是为切实提高食品安全、保障全县人民“舌尖上的安全”而开展的抽检，据实列支。4.质量强县</w:t>
      </w:r>
      <w:r>
        <w:rPr>
          <w:rFonts w:hint="default" w:ascii="仿宋" w:hAnsi="仿宋" w:eastAsia="仿宋" w:cs="Times New Roman"/>
          <w:color w:val="auto"/>
          <w:sz w:val="32"/>
          <w:szCs w:val="32"/>
          <w:lang w:val="en-US" w:eastAsia="zh-CN"/>
        </w:rPr>
        <w:t>经费</w:t>
      </w:r>
      <w:r>
        <w:rPr>
          <w:rFonts w:hint="eastAsia" w:ascii="仿宋" w:hAnsi="仿宋" w:eastAsia="仿宋" w:cs="Times New Roman"/>
          <w:color w:val="auto"/>
          <w:sz w:val="32"/>
          <w:szCs w:val="32"/>
          <w:lang w:val="en-US" w:eastAsia="zh-CN"/>
        </w:rPr>
        <w:t>。做好区域内质量监督和标准化工作，依法监督管理计量器具、市场计量行为，对工业产品进行抽检等，据实列支。</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按照年度总体目标分：1、依照“三定方案”的规定及上级监管部门的安排部署，完成职责范围内的监督管理、执法、投诉举报处理等工作；2、完成县委、县政府交办的其它事项。</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ascii="楷体_GB2312" w:hAnsi="宋体" w:eastAsia="楷体_GB2312" w:cs="宋体"/>
          <w:color w:val="auto"/>
          <w:kern w:val="0"/>
          <w:szCs w:val="32"/>
          <w:shd w:val="clear" w:color="auto" w:fill="FFFFFF"/>
          <w:lang w:val="zh-CN"/>
        </w:rPr>
      </w:pPr>
      <w:r>
        <w:rPr>
          <w:rFonts w:hint="eastAsia" w:ascii="仿宋" w:hAnsi="仿宋" w:eastAsia="仿宋" w:cs="Times New Roman"/>
          <w:color w:val="auto"/>
          <w:sz w:val="32"/>
          <w:szCs w:val="32"/>
          <w:lang w:val="en-US" w:eastAsia="zh-CN"/>
        </w:rPr>
        <w:t>按照年度绩效指标分：1.数量指标。开展工业产品抽检44批次，开展食品、农产品抽检400批次，开展知识产权培训1次、知识产权宣传1次。2.质量指标。抽检不合格处置率100%，实际支出与预算安排的吻合度，严格按照预算安排各项支出，无超范围，超额度支出。3.时效指标。本年度内，按时序进度安排各项支出。4.成本指标。据实保障人员工资、保险、住房公积金、三公经费等基本支出；按需据实开展食品安全抽检、知识产权、质量强县等项目支出。5.社会效益指标。食品、质量安全等监管水平逐步提升。6.满意度指标。群众、监管服务对象满意度大于90%。</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r>
        <w:rPr>
          <w:rFonts w:hint="eastAsia" w:ascii="仿宋_GB2312" w:hAnsi="仿宋" w:eastAsia="仿宋_GB2312"/>
          <w:sz w:val="32"/>
          <w:szCs w:val="32"/>
          <w:lang w:val="en-US" w:eastAsia="zh-CN"/>
        </w:rPr>
        <w:t>本年度我单位财政拨款收入1172.40万元。一般公共预算财政拨款预算收入1172.40万元。</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仿宋" w:eastAsia="仿宋_GB2312"/>
          <w:sz w:val="32"/>
          <w:szCs w:val="32"/>
          <w:lang w:val="en-US" w:eastAsia="zh-CN"/>
        </w:rPr>
      </w:pPr>
      <w:r>
        <w:rPr>
          <w:rFonts w:hint="eastAsia" w:ascii="楷体_GB2312" w:hAnsi="宋体" w:eastAsia="楷体_GB2312" w:cs="宋体"/>
          <w:color w:val="000000"/>
          <w:kern w:val="0"/>
          <w:szCs w:val="32"/>
          <w:shd w:val="clear" w:color="auto" w:fill="FFFFFF"/>
          <w:lang w:val="zh-CN"/>
        </w:rPr>
        <w:t>（二）部门财政资金支出情况。</w:t>
      </w:r>
      <w:r>
        <w:rPr>
          <w:rFonts w:hint="eastAsia" w:ascii="仿宋_GB2312" w:hAnsi="仿宋" w:eastAsia="仿宋_GB2312"/>
          <w:sz w:val="32"/>
          <w:szCs w:val="32"/>
          <w:lang w:val="en-US" w:eastAsia="zh-CN"/>
        </w:rPr>
        <w:t>本年度我单位财政拨款支出1172.40万元，其中基本支出1131.89万元、项目支出40.51万元。</w:t>
      </w:r>
    </w:p>
    <w:p>
      <w:pPr>
        <w:keepNext w:val="0"/>
        <w:keepLines w:val="0"/>
        <w:pageBreakBefore w:val="0"/>
        <w:kinsoku/>
        <w:wordWrap/>
        <w:overflowPunct/>
        <w:topLinePunct w:val="0"/>
        <w:autoSpaceDE/>
        <w:autoSpaceDN/>
        <w:bidi w:val="0"/>
        <w:snapToGrid w:val="0"/>
        <w:spacing w:line="600" w:lineRule="exact"/>
        <w:ind w:firstLine="640" w:firstLineChars="200"/>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keepNext w:val="0"/>
        <w:keepLines w:val="0"/>
        <w:pageBreakBefore w:val="0"/>
        <w:kinsoku/>
        <w:wordWrap/>
        <w:overflowPunct/>
        <w:topLinePunct w:val="0"/>
        <w:autoSpaceDE/>
        <w:autoSpaceDN/>
        <w:bidi w:val="0"/>
        <w:snapToGrid w:val="0"/>
        <w:spacing w:line="600" w:lineRule="exact"/>
        <w:ind w:firstLine="640" w:firstLineChars="200"/>
        <w:textAlignment w:val="auto"/>
        <w:outlineLvl w:val="9"/>
        <w:rPr>
          <w:rFonts w:ascii="楷体_GB2312" w:hAnsi="宋体" w:eastAsia="楷体_GB2312" w:cs="宋体"/>
          <w:color w:val="auto"/>
          <w:kern w:val="0"/>
          <w:szCs w:val="32"/>
          <w:shd w:val="clear" w:color="auto" w:fill="FFFFFF"/>
          <w:lang w:val="zh-CN"/>
        </w:rPr>
      </w:pPr>
      <w:r>
        <w:rPr>
          <w:rFonts w:hint="eastAsia" w:ascii="仿宋_GB2312" w:hAnsi="仿宋" w:eastAsia="仿宋_GB2312"/>
          <w:color w:val="auto"/>
          <w:sz w:val="32"/>
          <w:szCs w:val="32"/>
          <w:lang w:val="en-US" w:eastAsia="zh-CN"/>
        </w:rPr>
        <w:t>本年度无年末结转和结余。</w:t>
      </w:r>
      <w:bookmarkStart w:id="0" w:name="_GoBack"/>
      <w:bookmarkEnd w:id="0"/>
    </w:p>
    <w:p>
      <w:pPr>
        <w:keepNext w:val="0"/>
        <w:keepLines w:val="0"/>
        <w:pageBreakBefore w:val="0"/>
        <w:widowControl/>
        <w:numPr>
          <w:ilvl w:val="0"/>
          <w:numId w:val="2"/>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部门整体绩效管理情况</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b w:val="0"/>
          <w:bCs w:val="0"/>
          <w:color w:val="000000"/>
          <w:kern w:val="0"/>
          <w:szCs w:val="32"/>
          <w:shd w:val="clear" w:color="auto" w:fill="FFFFFF"/>
          <w:lang w:val="zh-CN"/>
        </w:rPr>
        <w:t>部门整体绩效目标完成情况</w:t>
      </w:r>
      <w:r>
        <w:rPr>
          <w:rFonts w:hint="eastAsia" w:ascii="仿宋_GB2312" w:hAnsi="宋体" w:eastAsia="仿宋_GB2312" w:cs="宋体"/>
          <w:b w:val="0"/>
          <w:bCs w:val="0"/>
          <w:color w:val="000000"/>
          <w:kern w:val="0"/>
          <w:szCs w:val="32"/>
          <w:shd w:val="clear" w:color="auto" w:fill="FFFFFF"/>
          <w:lang w:val="en-US" w:eastAsia="zh-CN"/>
        </w:rPr>
        <w:t>和</w:t>
      </w:r>
      <w:r>
        <w:rPr>
          <w:rFonts w:hint="eastAsia" w:ascii="仿宋_GB2312" w:hAnsi="宋体" w:eastAsia="仿宋_GB2312" w:cs="宋体"/>
          <w:b w:val="0"/>
          <w:bCs w:val="0"/>
          <w:color w:val="000000"/>
          <w:kern w:val="0"/>
          <w:szCs w:val="32"/>
          <w:shd w:val="clear" w:color="auto" w:fill="FFFFFF"/>
          <w:lang w:val="zh-CN"/>
        </w:rPr>
        <w:t>部门履职情况。</w:t>
      </w:r>
    </w:p>
    <w:p>
      <w:pPr>
        <w:pStyle w:val="4"/>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outlineLvl w:val="9"/>
        <w:rPr>
          <w:rFonts w:hint="eastAsia" w:ascii="仿宋_GB2312" w:hAnsi="宋体" w:eastAsia="仿宋_GB2312" w:cs="宋体"/>
          <w:kern w:val="2"/>
          <w:sz w:val="32"/>
          <w:szCs w:val="32"/>
          <w:lang w:val="en-US" w:eastAsia="zh-CN" w:bidi="ar-SA"/>
        </w:rPr>
      </w:pPr>
      <w:r>
        <w:rPr>
          <w:rFonts w:hint="eastAsia" w:ascii="仿宋_GB2312" w:hAnsi="仿宋" w:eastAsia="仿宋_GB2312" w:cs="Times New Roman"/>
          <w:kern w:val="2"/>
          <w:sz w:val="32"/>
          <w:szCs w:val="32"/>
          <w:shd w:val="clear" w:color="auto" w:fill="auto"/>
          <w:lang w:val="en-US" w:eastAsia="zh-CN"/>
        </w:rPr>
        <w:t>1.维持单位基本运转，保障人员工资、保险、住房公积金、三公经费等基本支出，据实列支。2.完成本年度职责范围内的食品、药品、特种设备、知识产权和质量安全监管等工作和县委、县政府交办的其它事项。3.</w:t>
      </w:r>
      <w:r>
        <w:rPr>
          <w:rFonts w:hint="default" w:ascii="Times New Roman" w:hAnsi="Times New Roman" w:eastAsia="仿宋_GB2312" w:cs="Times New Roman"/>
          <w:color w:val="auto"/>
          <w:sz w:val="32"/>
          <w:szCs w:val="32"/>
          <w:lang w:eastAsia="zh-CN"/>
        </w:rPr>
        <w:t>开展涉企违</w:t>
      </w:r>
      <w:r>
        <w:rPr>
          <w:rFonts w:hint="default" w:ascii="Times New Roman" w:hAnsi="Times New Roman" w:eastAsia="仿宋_GB2312" w:cs="Times New Roman"/>
          <w:sz w:val="32"/>
          <w:szCs w:val="32"/>
          <w:lang w:eastAsia="zh-CN"/>
        </w:rPr>
        <w:t>规收费专项整治</w:t>
      </w:r>
      <w:r>
        <w:rPr>
          <w:rFonts w:hint="eastAsia" w:ascii="仿宋_GB2312" w:hAnsi="宋体" w:eastAsia="仿宋_GB2312" w:cs="宋体"/>
          <w:sz w:val="32"/>
          <w:szCs w:val="32"/>
        </w:rPr>
        <w:t>。</w:t>
      </w:r>
      <w:r>
        <w:rPr>
          <w:rFonts w:hint="default" w:ascii="Times New Roman" w:hAnsi="Times New Roman" w:eastAsia="仿宋_GB2312" w:cs="Times New Roman"/>
          <w:b w:val="0"/>
          <w:bCs w:val="0"/>
          <w:i w:val="0"/>
          <w:caps w:val="0"/>
          <w:color w:val="auto"/>
          <w:spacing w:val="0"/>
          <w:w w:val="100"/>
          <w:sz w:val="32"/>
          <w:szCs w:val="32"/>
          <w:lang w:val="en-US" w:eastAsia="zh-CN"/>
        </w:rPr>
        <w:t>完成“个转企”</w:t>
      </w:r>
      <w:r>
        <w:rPr>
          <w:rFonts w:hint="eastAsia" w:ascii="Times New Roman" w:hAnsi="Times New Roman" w:eastAsia="仿宋_GB2312" w:cs="Times New Roman"/>
          <w:b w:val="0"/>
          <w:bCs w:val="0"/>
          <w:i w:val="0"/>
          <w:caps w:val="0"/>
          <w:color w:val="auto"/>
          <w:spacing w:val="0"/>
          <w:w w:val="100"/>
          <w:sz w:val="32"/>
          <w:szCs w:val="32"/>
          <w:lang w:val="en-US" w:eastAsia="zh-CN"/>
        </w:rPr>
        <w:t>14</w:t>
      </w:r>
      <w:r>
        <w:rPr>
          <w:rFonts w:hint="default" w:ascii="Times New Roman" w:hAnsi="Times New Roman" w:eastAsia="仿宋_GB2312" w:cs="Times New Roman"/>
          <w:b w:val="0"/>
          <w:bCs w:val="0"/>
          <w:i w:val="0"/>
          <w:caps w:val="0"/>
          <w:color w:val="auto"/>
          <w:spacing w:val="0"/>
          <w:w w:val="100"/>
          <w:sz w:val="32"/>
          <w:szCs w:val="32"/>
          <w:lang w:val="en-US" w:eastAsia="zh-CN"/>
        </w:rPr>
        <w:t>户</w:t>
      </w:r>
      <w:r>
        <w:rPr>
          <w:rFonts w:hint="eastAsia" w:ascii="仿宋_GB2312" w:hAnsi="仿宋_GB2312" w:eastAsia="仿宋_GB2312" w:cs="仿宋_GB2312"/>
          <w:i w:val="0"/>
          <w:iCs w:val="0"/>
          <w:caps w:val="0"/>
          <w:color w:val="000000"/>
          <w:spacing w:val="0"/>
          <w:sz w:val="32"/>
          <w:szCs w:val="32"/>
          <w:shd w:val="clear" w:color="auto" w:fill="FFFFFF"/>
          <w:lang w:val="en-US" w:eastAsia="zh-CN"/>
        </w:rPr>
        <w:t>。4.</w:t>
      </w:r>
      <w:r>
        <w:rPr>
          <w:rFonts w:hint="eastAsia" w:ascii="仿宋_GB2312" w:hAnsi="仿宋_GB2312" w:eastAsia="仿宋_GB2312" w:cs="仿宋_GB2312"/>
          <w:sz w:val="32"/>
          <w:szCs w:val="32"/>
          <w:lang w:eastAsia="zh-CN"/>
        </w:rPr>
        <w:t>积极推动</w:t>
      </w:r>
      <w:r>
        <w:rPr>
          <w:rFonts w:hint="eastAsia" w:ascii="仿宋_GB2312" w:hAnsi="仿宋_GB2312" w:eastAsia="仿宋_GB2312" w:cs="仿宋_GB2312"/>
          <w:sz w:val="32"/>
          <w:szCs w:val="32"/>
          <w:lang w:val="en-US" w:eastAsia="zh-CN"/>
        </w:rPr>
        <w:t>峨边县</w:t>
      </w:r>
      <w:r>
        <w:rPr>
          <w:rFonts w:hint="eastAsia" w:ascii="仿宋_GB2312" w:hAnsi="仿宋_GB2312" w:eastAsia="仿宋_GB2312" w:cs="仿宋_GB2312"/>
          <w:sz w:val="32"/>
          <w:szCs w:val="32"/>
          <w:lang w:eastAsia="zh-CN"/>
        </w:rPr>
        <w:t>知识产权</w:t>
      </w:r>
      <w:r>
        <w:rPr>
          <w:rFonts w:hint="eastAsia" w:ascii="仿宋_GB2312" w:hAnsi="仿宋_GB2312" w:eastAsia="仿宋_GB2312" w:cs="仿宋_GB2312"/>
          <w:sz w:val="32"/>
          <w:szCs w:val="32"/>
          <w:lang w:val="en-US" w:eastAsia="zh-CN"/>
        </w:rPr>
        <w:t>维</w:t>
      </w:r>
      <w:r>
        <w:rPr>
          <w:rFonts w:hint="eastAsia" w:ascii="仿宋_GB2312" w:hAnsi="仿宋_GB2312" w:eastAsia="仿宋_GB2312" w:cs="仿宋_GB2312"/>
          <w:sz w:val="32"/>
          <w:szCs w:val="32"/>
          <w:lang w:eastAsia="zh-CN"/>
        </w:rPr>
        <w:t>权援助工作，</w:t>
      </w:r>
      <w:r>
        <w:rPr>
          <w:rFonts w:hint="default" w:ascii="Times New Roman" w:hAnsi="Times New Roman" w:eastAsia="仿宋_GB2312" w:cs="Times New Roman"/>
          <w:b w:val="0"/>
          <w:bCs w:val="0"/>
          <w:sz w:val="32"/>
          <w:szCs w:val="32"/>
          <w:lang w:eastAsia="zh-CN"/>
        </w:rPr>
        <w:t>设</w:t>
      </w:r>
      <w:r>
        <w:rPr>
          <w:rFonts w:hint="eastAsia" w:ascii="Times New Roman" w:hAnsi="Times New Roman" w:eastAsia="仿宋_GB2312" w:cs="Times New Roman"/>
          <w:b w:val="0"/>
          <w:bCs w:val="0"/>
          <w:sz w:val="32"/>
          <w:szCs w:val="32"/>
          <w:lang w:val="en-US" w:eastAsia="zh-CN"/>
        </w:rPr>
        <w:t>立</w:t>
      </w:r>
      <w:r>
        <w:rPr>
          <w:rFonts w:hint="default" w:ascii="Times New Roman" w:hAnsi="Times New Roman" w:eastAsia="仿宋_GB2312" w:cs="Times New Roman"/>
          <w:b w:val="0"/>
          <w:bCs w:val="0"/>
          <w:sz w:val="32"/>
          <w:szCs w:val="32"/>
          <w:lang w:eastAsia="zh-CN"/>
        </w:rPr>
        <w:t>知识产权维权援助工作站1个</w:t>
      </w:r>
      <w:r>
        <w:rPr>
          <w:rFonts w:hint="eastAsia" w:ascii="Times New Roman" w:hAnsi="Times New Roman" w:eastAsia="仿宋_GB2312" w:cs="Times New Roman"/>
          <w:b w:val="0"/>
          <w:bCs w:val="0"/>
          <w:sz w:val="32"/>
          <w:szCs w:val="32"/>
          <w:lang w:eastAsia="zh-CN"/>
        </w:rPr>
        <w:t>，</w:t>
      </w:r>
      <w:r>
        <w:rPr>
          <w:rFonts w:hint="eastAsia" w:ascii="Times New Roman" w:hAnsi="Times New Roman" w:eastAsia="仿宋_GB2312" w:cs="Times New Roman"/>
          <w:b w:val="0"/>
          <w:bCs w:val="0"/>
          <w:sz w:val="32"/>
          <w:szCs w:val="32"/>
          <w:lang w:val="en-US" w:eastAsia="zh-CN"/>
        </w:rPr>
        <w:t>同时，联合公安等部门</w:t>
      </w:r>
      <w:r>
        <w:rPr>
          <w:rFonts w:hint="default" w:ascii="仿宋_GB2312" w:hAnsi="仿宋_GB2312" w:eastAsia="仿宋_GB2312" w:cs="仿宋_GB2312"/>
          <w:sz w:val="32"/>
          <w:szCs w:val="32"/>
          <w:lang w:val="en-US" w:eastAsia="zh-CN"/>
        </w:rPr>
        <w:t>开展知识产权</w:t>
      </w:r>
      <w:r>
        <w:rPr>
          <w:rFonts w:hint="eastAsia" w:ascii="仿宋_GB2312" w:hAnsi="仿宋_GB2312" w:eastAsia="仿宋_GB2312" w:cs="仿宋_GB2312"/>
          <w:sz w:val="32"/>
          <w:szCs w:val="32"/>
          <w:lang w:val="en-US" w:eastAsia="zh-CN"/>
        </w:rPr>
        <w:t>联合</w:t>
      </w:r>
      <w:r>
        <w:rPr>
          <w:rFonts w:hint="default" w:ascii="仿宋_GB2312" w:hAnsi="仿宋_GB2312" w:eastAsia="仿宋_GB2312" w:cs="仿宋_GB2312"/>
          <w:sz w:val="32"/>
          <w:szCs w:val="32"/>
          <w:lang w:val="en-US" w:eastAsia="zh-CN"/>
        </w:rPr>
        <w:t>执法</w:t>
      </w:r>
      <w:r>
        <w:rPr>
          <w:rFonts w:hint="eastAsia" w:ascii="仿宋_GB2312" w:hAnsi="仿宋_GB2312" w:eastAsia="仿宋_GB2312" w:cs="仿宋_GB2312"/>
          <w:sz w:val="32"/>
          <w:szCs w:val="32"/>
          <w:lang w:val="en-US" w:eastAsia="zh-CN"/>
        </w:rPr>
        <w:t>维权行动。</w:t>
      </w:r>
      <w:r>
        <w:rPr>
          <w:rFonts w:hint="eastAsia" w:ascii="仿宋_GB2312" w:hAnsi="仿宋_GB2312" w:eastAsia="仿宋_GB2312" w:cs="仿宋_GB2312"/>
          <w:b w:val="0"/>
          <w:bCs w:val="0"/>
          <w:kern w:val="2"/>
          <w:sz w:val="32"/>
          <w:szCs w:val="32"/>
          <w:lang w:val="en-US" w:eastAsia="zh-CN" w:bidi="ar-SA"/>
        </w:rPr>
        <w:t>积极开展知识产权进企业、进社区、进校园、进基层等宣传活动，营造浓厚的知识产权氛围；为企业做好知识产权政策宣传、商标注册指导，知识产权创造、运用、促进、保护等服务，对重点企业开展高价值专利宣传，帮助企业开展高价值发明专利申请与培育</w:t>
      </w:r>
      <w:r>
        <w:rPr>
          <w:rFonts w:hint="eastAsia" w:ascii="Times New Roman" w:hAnsi="Times New Roman" w:eastAsia="仿宋_GB2312" w:cs="Times New Roman"/>
          <w:b w:val="0"/>
          <w:bCs w:val="0"/>
          <w:sz w:val="32"/>
          <w:szCs w:val="32"/>
          <w:lang w:eastAsia="zh-CN"/>
        </w:rPr>
        <w:t>。</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守好</w:t>
      </w:r>
      <w:r>
        <w:rPr>
          <w:rFonts w:hint="default" w:ascii="Times New Roman" w:hAnsi="Times New Roman" w:eastAsia="仿宋_GB2312" w:cs="Times New Roman"/>
          <w:b w:val="0"/>
          <w:bCs w:val="0"/>
          <w:color w:val="auto"/>
          <w:kern w:val="2"/>
          <w:sz w:val="32"/>
          <w:szCs w:val="32"/>
          <w:lang w:val="en-US" w:eastAsia="zh-CN" w:bidi="ar-SA"/>
        </w:rPr>
        <w:t>“三品</w:t>
      </w:r>
      <w:r>
        <w:rPr>
          <w:rFonts w:hint="eastAsia" w:ascii="Times New Roman" w:hAnsi="Times New Roman" w:eastAsia="仿宋_GB2312" w:cs="Times New Roman"/>
          <w:b w:val="0"/>
          <w:bCs w:val="0"/>
          <w:color w:val="auto"/>
          <w:kern w:val="2"/>
          <w:sz w:val="32"/>
          <w:szCs w:val="32"/>
          <w:lang w:val="en-US" w:eastAsia="zh-CN" w:bidi="ar-SA"/>
        </w:rPr>
        <w:t>一</w:t>
      </w:r>
      <w:r>
        <w:rPr>
          <w:rFonts w:hint="default" w:ascii="Times New Roman" w:hAnsi="Times New Roman" w:eastAsia="仿宋_GB2312" w:cs="Times New Roman"/>
          <w:b w:val="0"/>
          <w:bCs w:val="0"/>
          <w:color w:val="auto"/>
          <w:kern w:val="2"/>
          <w:sz w:val="32"/>
          <w:szCs w:val="32"/>
          <w:lang w:val="en-US" w:eastAsia="zh-CN" w:bidi="ar-SA"/>
        </w:rPr>
        <w:t>特”（食品、药品、重要工业产品、特种设备）安全底线，年度内无安全事故发生。</w:t>
      </w:r>
      <w:r>
        <w:rPr>
          <w:rFonts w:hint="eastAsia" w:ascii="仿宋_GB2312" w:hAnsi="仿宋_GB2312" w:eastAsia="仿宋_GB2312" w:cs="仿宋_GB2312"/>
          <w:sz w:val="32"/>
          <w:szCs w:val="32"/>
          <w:lang w:eastAsia="zh-CN"/>
        </w:rPr>
        <w:t>修订完善《峨边彝族自治县食品安全突发事件应急预案》，组织开展</w:t>
      </w:r>
      <w:r>
        <w:rPr>
          <w:rFonts w:hint="eastAsia" w:ascii="仿宋_GB2312" w:hAnsi="仿宋_GB2312" w:eastAsia="仿宋_GB2312" w:cs="仿宋_GB2312"/>
          <w:sz w:val="32"/>
          <w:szCs w:val="32"/>
          <w:lang w:val="en-US" w:eastAsia="zh-CN"/>
        </w:rPr>
        <w:t>2022年食品安全应急演练；</w:t>
      </w:r>
      <w:r>
        <w:rPr>
          <w:rFonts w:hint="eastAsia" w:ascii="仿宋_GB2312" w:hAnsi="仿宋_GB2312" w:eastAsia="仿宋_GB2312" w:cs="仿宋_GB2312"/>
          <w:color w:val="000000"/>
          <w:kern w:val="0"/>
          <w:sz w:val="32"/>
          <w:szCs w:val="32"/>
          <w:lang w:val="en-US" w:eastAsia="zh-CN"/>
        </w:rPr>
        <w:t>完成峨边农产品交易市场A级农贸市场规范化建设任务，积极推进AA级农贸市场创建；</w:t>
      </w:r>
      <w:r>
        <w:rPr>
          <w:rFonts w:hint="eastAsia" w:ascii="仿宋_GB2312" w:hAnsi="仿宋_GB2312" w:eastAsia="仿宋_GB2312" w:cs="仿宋_GB2312"/>
          <w:color w:val="000000"/>
          <w:kern w:val="0"/>
          <w:sz w:val="32"/>
          <w:szCs w:val="32"/>
          <w:lang w:val="en-US" w:eastAsia="zh-CN" w:bidi="ar-SA"/>
        </w:rPr>
        <w:t>强化食品安全宣传培训；</w:t>
      </w:r>
      <w:r>
        <w:rPr>
          <w:rFonts w:hint="eastAsia" w:ascii="仿宋_GB2312" w:hAnsi="仿宋_GB2312" w:eastAsia="仿宋_GB2312" w:cs="仿宋_GB2312"/>
          <w:sz w:val="32"/>
          <w:szCs w:val="32"/>
          <w:lang w:val="en-US" w:eastAsia="zh-CN"/>
        </w:rPr>
        <w:t>认真打击违法犯罪行为，</w:t>
      </w:r>
      <w:r>
        <w:rPr>
          <w:rFonts w:hint="eastAsia" w:ascii="仿宋_GB2312" w:hAnsi="仿宋_GB2312" w:eastAsia="仿宋_GB2312" w:cs="仿宋_GB2312"/>
          <w:bCs/>
          <w:sz w:val="32"/>
          <w:szCs w:val="32"/>
          <w:lang w:eastAsia="zh-CN"/>
        </w:rPr>
        <w:t>累计查处食品违法案件</w:t>
      </w:r>
      <w:r>
        <w:rPr>
          <w:rFonts w:hint="eastAsia" w:ascii="仿宋_GB2312" w:hAnsi="仿宋_GB2312" w:eastAsia="仿宋_GB2312" w:cs="仿宋_GB2312"/>
          <w:bCs/>
          <w:sz w:val="32"/>
          <w:szCs w:val="32"/>
          <w:lang w:val="en-US" w:eastAsia="zh-CN"/>
        </w:rPr>
        <w:t>48</w:t>
      </w:r>
      <w:r>
        <w:rPr>
          <w:rFonts w:hint="eastAsia" w:ascii="仿宋_GB2312" w:hAnsi="仿宋_GB2312" w:eastAsia="仿宋_GB2312" w:cs="仿宋_GB2312"/>
          <w:bCs/>
          <w:sz w:val="32"/>
          <w:szCs w:val="32"/>
          <w:lang w:eastAsia="zh-CN"/>
        </w:rPr>
        <w:t>件，移送公安机关案件</w:t>
      </w:r>
      <w:r>
        <w:rPr>
          <w:rFonts w:hint="eastAsia" w:ascii="仿宋_GB2312" w:hAnsi="仿宋_GB2312" w:eastAsia="仿宋_GB2312" w:cs="仿宋_GB2312"/>
          <w:bCs/>
          <w:sz w:val="32"/>
          <w:szCs w:val="32"/>
          <w:lang w:val="en-US" w:eastAsia="zh-CN"/>
        </w:rPr>
        <w:t>1件，</w:t>
      </w:r>
      <w:r>
        <w:rPr>
          <w:rFonts w:hint="eastAsia" w:ascii="仿宋_GB2312" w:hAnsi="仿宋_GB2312" w:eastAsia="仿宋_GB2312" w:cs="仿宋_GB2312"/>
          <w:bCs/>
          <w:sz w:val="32"/>
          <w:szCs w:val="32"/>
          <w:lang w:eastAsia="zh-CN"/>
        </w:rPr>
        <w:t>处罚到人案件</w:t>
      </w:r>
      <w:r>
        <w:rPr>
          <w:rFonts w:hint="eastAsia" w:ascii="仿宋_GB2312" w:hAnsi="仿宋_GB2312" w:eastAsia="仿宋_GB2312" w:cs="仿宋_GB2312"/>
          <w:bCs/>
          <w:sz w:val="32"/>
          <w:szCs w:val="32"/>
          <w:lang w:val="en-US" w:eastAsia="zh-CN"/>
        </w:rPr>
        <w:t>1件，有力遏制了食品犯罪的势头，保持了食品安全稳定向好的态势。</w:t>
      </w:r>
      <w:r>
        <w:rPr>
          <w:rFonts w:hint="eastAsia" w:ascii="仿宋_GB2312" w:hAnsi="仿宋_GB2312" w:eastAsia="仿宋_GB2312" w:cs="仿宋_GB2312"/>
          <w:color w:val="000000"/>
          <w:kern w:val="0"/>
          <w:sz w:val="32"/>
          <w:szCs w:val="32"/>
          <w:lang w:val="en-US" w:eastAsia="zh-CN" w:bidi="ar-SA"/>
        </w:rPr>
        <w:t>6.强化药械化监管。开展药品、疫苗、化妆品、医疗器械经营、使用环节日常监管，同时结合各类专项整治，从严从快查处违法违规行为，严把产品质量关，强化风险处置，确保人民群众药械化使用安全。</w:t>
      </w:r>
      <w:r>
        <w:rPr>
          <w:rFonts w:hint="eastAsia" w:ascii="仿宋_GB2312" w:hAnsi="宋体" w:eastAsia="仿宋_GB2312" w:cs="宋体"/>
          <w:sz w:val="32"/>
          <w:szCs w:val="32"/>
          <w:lang w:val="en-US" w:eastAsia="zh-CN"/>
        </w:rPr>
        <w:t>7.严守特种设备安全监管。</w:t>
      </w:r>
      <w:r>
        <w:rPr>
          <w:rFonts w:hint="eastAsia" w:ascii="仿宋_GB2312" w:hAnsi="宋体" w:eastAsia="仿宋_GB2312" w:cs="宋体"/>
          <w:sz w:val="32"/>
          <w:szCs w:val="32"/>
        </w:rPr>
        <w:t>坚持以“安全大检查”为主线，全面履行特种设备安全监察职能职责，</w:t>
      </w:r>
      <w:r>
        <w:rPr>
          <w:rFonts w:hint="eastAsia" w:ascii="仿宋_GB2312" w:hAnsi="宋体" w:eastAsia="仿宋_GB2312" w:cs="宋体"/>
          <w:sz w:val="32"/>
          <w:szCs w:val="32"/>
          <w:lang w:val="en-US" w:eastAsia="zh-CN"/>
        </w:rPr>
        <w:t>扎实开展</w:t>
      </w:r>
      <w:r>
        <w:rPr>
          <w:rFonts w:hint="eastAsia" w:ascii="仿宋_GB2312" w:hAnsi="宋体" w:eastAsia="仿宋_GB2312" w:cs="宋体"/>
          <w:sz w:val="32"/>
          <w:szCs w:val="32"/>
        </w:rPr>
        <w:t>城镇燃气专项整治、电梯安全质量提升等专项整治行动</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全年未发生特种设备安全事故</w:t>
      </w:r>
      <w:r>
        <w:rPr>
          <w:rFonts w:hint="eastAsia" w:ascii="仿宋_GB2312" w:hAnsi="宋体" w:eastAsia="仿宋_GB2312" w:cs="宋体"/>
          <w:sz w:val="32"/>
          <w:szCs w:val="32"/>
          <w:lang w:eastAsia="zh-CN"/>
        </w:rPr>
        <w:t>。</w:t>
      </w:r>
      <w:r>
        <w:rPr>
          <w:rFonts w:hint="eastAsia" w:ascii="仿宋_GB2312" w:hAnsi="宋体" w:eastAsia="仿宋_GB2312" w:cs="宋体"/>
          <w:kern w:val="2"/>
          <w:sz w:val="32"/>
          <w:szCs w:val="32"/>
          <w:lang w:val="en-US" w:eastAsia="zh-CN" w:bidi="ar-SA"/>
        </w:rPr>
        <w:t>8.强化重要产品监管。常态化对1家获证企业、2家危化品生产企业进行监督检查，重点检查生产企业质量把控、原材料检验、成品出厂检验及计量器具检定情况。开展工业产品质量安全抽检，共抽检15批次产品，配合省市完成22批次产品，立案查处2起销售不合格产品案件。</w:t>
      </w:r>
      <w:r>
        <w:rPr>
          <w:rFonts w:hint="eastAsia" w:ascii="仿宋_GB2312" w:hAnsi="仿宋_GB2312" w:eastAsia="仿宋_GB2312" w:cs="仿宋_GB2312"/>
          <w:kern w:val="2"/>
          <w:sz w:val="32"/>
          <w:szCs w:val="32"/>
          <w:lang w:val="en-US" w:eastAsia="zh-CN" w:bidi="ar-SA"/>
        </w:rPr>
        <w:t>9.积极推进放心舒心消费城市创建工作。紧紧围绕“巩固提质”工作主线，积极发动引导我县旅游、食品、药品等重点领域放心舒心消费示范单元的创建工作，</w:t>
      </w:r>
      <w:r>
        <w:rPr>
          <w:rFonts w:hint="eastAsia" w:ascii="仿宋_GB2312" w:hAnsi="仿宋_GB2312" w:eastAsia="仿宋_GB2312" w:cs="仿宋_GB2312"/>
          <w:color w:val="000000"/>
          <w:sz w:val="32"/>
          <w:szCs w:val="32"/>
          <w:u w:val="none"/>
          <w:lang w:val="en-US" w:eastAsia="zh-CN"/>
        </w:rPr>
        <w:t>全面</w:t>
      </w:r>
      <w:r>
        <w:rPr>
          <w:rFonts w:hint="eastAsia" w:ascii="仿宋_GB2312" w:hAnsi="仿宋_GB2312" w:eastAsia="仿宋_GB2312" w:cs="仿宋_GB2312"/>
          <w:sz w:val="32"/>
          <w:szCs w:val="32"/>
          <w:lang w:val="en-US" w:eastAsia="zh-CN"/>
        </w:rPr>
        <w:t>完成41户商家“一店一码”，</w:t>
      </w:r>
      <w:r>
        <w:rPr>
          <w:rFonts w:hint="eastAsia" w:ascii="仿宋_GB2312" w:hAnsi="仿宋_GB2312" w:eastAsia="仿宋_GB2312" w:cs="仿宋_GB2312"/>
          <w:color w:val="000000"/>
          <w:sz w:val="32"/>
          <w:szCs w:val="32"/>
          <w:u w:val="none"/>
          <w:lang w:val="en-US" w:eastAsia="zh-CN"/>
        </w:rPr>
        <w:t>完成</w:t>
      </w:r>
      <w:r>
        <w:rPr>
          <w:rFonts w:hint="eastAsia" w:ascii="仿宋_GB2312" w:hAnsi="仿宋_GB2312" w:eastAsia="仿宋_GB2312" w:cs="仿宋_GB2312"/>
          <w:sz w:val="32"/>
          <w:szCs w:val="32"/>
          <w:lang w:val="en-US" w:eastAsia="zh-CN"/>
        </w:rPr>
        <w:t>“参创单位”培育培养41户，</w:t>
      </w:r>
      <w:r>
        <w:rPr>
          <w:rFonts w:hint="eastAsia" w:ascii="仿宋_GB2312" w:hAnsi="仿宋_GB2312" w:eastAsia="仿宋_GB2312" w:cs="仿宋_GB2312"/>
          <w:color w:val="000000"/>
          <w:sz w:val="32"/>
          <w:szCs w:val="32"/>
          <w:u w:val="none"/>
          <w:lang w:val="en-US" w:eastAsia="zh-CN"/>
        </w:rPr>
        <w:t>增幅达6.25%；超额完成</w:t>
      </w:r>
      <w:r>
        <w:rPr>
          <w:rFonts w:hint="eastAsia" w:ascii="仿宋_GB2312" w:hAnsi="仿宋_GB2312" w:eastAsia="仿宋_GB2312" w:cs="仿宋_GB2312"/>
          <w:sz w:val="32"/>
          <w:szCs w:val="32"/>
          <w:lang w:val="en-US" w:eastAsia="zh-CN"/>
        </w:rPr>
        <w:t>市下放心舒心消费示范单元创建任务数（任务数为8户，实际完成数为19户，超额完成数11户）；指导示范单元依法履行首问责任，推动9户市场主体作出消费环节赔偿先付、线下购物无理由退货承诺</w:t>
      </w:r>
      <w:r>
        <w:rPr>
          <w:rFonts w:hint="eastAsia" w:ascii="仿宋_GB2312" w:hAnsi="仿宋_GB2312" w:eastAsia="仿宋_GB2312" w:cs="仿宋_GB2312"/>
          <w:kern w:val="2"/>
          <w:sz w:val="32"/>
          <w:szCs w:val="32"/>
          <w:lang w:val="en-US" w:eastAsia="zh-CN" w:bidi="ar-SA"/>
        </w:rPr>
        <w:t>。积极解决消费纠纷。充分发挥12315、12345投诉举报平台作用，</w:t>
      </w:r>
      <w:r>
        <w:rPr>
          <w:rFonts w:hint="eastAsia" w:ascii="仿宋_GB2312" w:hAnsi="宋体" w:eastAsia="仿宋_GB2312" w:cs="宋体"/>
          <w:sz w:val="32"/>
          <w:szCs w:val="32"/>
        </w:rPr>
        <w:t>共受理消费者投诉举报2</w:t>
      </w:r>
      <w:r>
        <w:rPr>
          <w:rFonts w:hint="eastAsia" w:ascii="仿宋_GB2312" w:hAnsi="宋体" w:eastAsia="仿宋_GB2312" w:cs="宋体"/>
          <w:sz w:val="32"/>
          <w:szCs w:val="32"/>
          <w:lang w:val="en-US" w:eastAsia="zh-CN"/>
        </w:rPr>
        <w:t>32</w:t>
      </w:r>
      <w:r>
        <w:rPr>
          <w:rFonts w:hint="eastAsia" w:ascii="仿宋_GB2312" w:hAnsi="宋体" w:eastAsia="仿宋_GB2312" w:cs="宋体"/>
          <w:sz w:val="32"/>
          <w:szCs w:val="32"/>
        </w:rPr>
        <w:t>件，挽回经济损失2</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rPr>
        <w:t>.8余万元，调解率100%。</w:t>
      </w:r>
      <w:r>
        <w:rPr>
          <w:rFonts w:hint="eastAsia" w:ascii="仿宋_GB2312" w:hAnsi="宋体" w:eastAsia="仿宋_GB2312" w:cs="宋体"/>
          <w:sz w:val="32"/>
          <w:szCs w:val="32"/>
          <w:lang w:val="en-US" w:eastAsia="zh-CN"/>
        </w:rPr>
        <w:t>2022年，</w:t>
      </w:r>
      <w:r>
        <w:rPr>
          <w:rFonts w:hint="eastAsia" w:ascii="仿宋_GB2312" w:hAnsi="宋体" w:eastAsia="仿宋_GB2312" w:cs="宋体"/>
          <w:sz w:val="32"/>
          <w:szCs w:val="32"/>
        </w:rPr>
        <w:t>我县一起消费维权案例被评</w:t>
      </w:r>
      <w:r>
        <w:rPr>
          <w:rFonts w:hint="eastAsia" w:ascii="仿宋_GB2312" w:hAnsi="宋体" w:eastAsia="仿宋_GB2312" w:cs="宋体"/>
          <w:sz w:val="32"/>
          <w:szCs w:val="32"/>
          <w:lang w:val="en-US" w:eastAsia="zh-CN"/>
        </w:rPr>
        <w:t>为</w:t>
      </w:r>
      <w:r>
        <w:rPr>
          <w:rFonts w:hint="eastAsia" w:ascii="仿宋_GB2312" w:hAnsi="宋体" w:eastAsia="仿宋_GB2312" w:cs="宋体"/>
          <w:sz w:val="32"/>
          <w:szCs w:val="32"/>
        </w:rPr>
        <w:t>四川省2021年度十大维权典型案例</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三起消费维权案例被评</w:t>
      </w:r>
      <w:r>
        <w:rPr>
          <w:rFonts w:hint="eastAsia" w:ascii="仿宋_GB2312" w:hAnsi="宋体" w:eastAsia="仿宋_GB2312" w:cs="宋体"/>
          <w:sz w:val="32"/>
          <w:szCs w:val="32"/>
          <w:lang w:val="en-US" w:eastAsia="zh-CN"/>
        </w:rPr>
        <w:t>为</w:t>
      </w:r>
      <w:r>
        <w:rPr>
          <w:rFonts w:hint="eastAsia" w:ascii="仿宋_GB2312" w:hAnsi="宋体" w:eastAsia="仿宋_GB2312" w:cs="宋体"/>
          <w:sz w:val="32"/>
          <w:szCs w:val="32"/>
        </w:rPr>
        <w:t>为乐山市2021年度十大维权典型案例</w:t>
      </w:r>
      <w:r>
        <w:rPr>
          <w:rFonts w:hint="eastAsia" w:ascii="仿宋_GB2312" w:hAnsi="宋体" w:eastAsia="仿宋_GB2312" w:cs="宋体"/>
          <w:sz w:val="32"/>
          <w:szCs w:val="32"/>
          <w:lang w:val="en-US" w:eastAsia="zh-CN"/>
        </w:rPr>
        <w:t>并</w:t>
      </w:r>
      <w:r>
        <w:rPr>
          <w:rFonts w:hint="eastAsia" w:ascii="仿宋_GB2312" w:hAnsi="宋体" w:eastAsia="仿宋_GB2312" w:cs="宋体"/>
          <w:sz w:val="32"/>
          <w:szCs w:val="32"/>
        </w:rPr>
        <w:t>进行推广学习，一起案例在川渝两地消费维权案列评选中获得优秀奖</w:t>
      </w:r>
      <w:r>
        <w:rPr>
          <w:rFonts w:hint="eastAsia" w:ascii="仿宋_GB2312" w:hAnsi="宋体" w:eastAsia="仿宋_GB2312" w:cs="宋体"/>
          <w:sz w:val="32"/>
          <w:szCs w:val="32"/>
          <w:lang w:eastAsia="zh-CN"/>
        </w:rPr>
        <w:t>。</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维护市场秩序</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强化公平竞争审查制度机制建设，及时清理、废除妨碍统一市场和公平竞争的政策措施</w:t>
      </w:r>
      <w:r>
        <w:rPr>
          <w:rFonts w:hint="eastAsia" w:ascii="仿宋" w:hAnsi="仿宋" w:eastAsia="仿宋"/>
          <w:sz w:val="32"/>
          <w:szCs w:val="32"/>
        </w:rPr>
        <w:t>；</w:t>
      </w:r>
      <w:r>
        <w:rPr>
          <w:rFonts w:hint="default" w:ascii="Times New Roman" w:hAnsi="Times New Roman" w:eastAsia="仿宋_GB2312" w:cs="Times New Roman"/>
          <w:sz w:val="32"/>
          <w:szCs w:val="32"/>
          <w:lang w:val="en-US" w:eastAsia="zh-CN"/>
        </w:rPr>
        <w:t>全面实施市场监管领域部门联合“双随机、一公开”监管方式，</w:t>
      </w:r>
      <w:r>
        <w:rPr>
          <w:rFonts w:hint="eastAsia" w:ascii="仿宋_GB2312" w:hAnsi="仿宋_GB2312" w:eastAsia="仿宋_GB2312" w:cs="仿宋_GB2312"/>
          <w:kern w:val="2"/>
          <w:sz w:val="32"/>
          <w:szCs w:val="32"/>
          <w:lang w:val="en-US" w:eastAsia="zh-CN" w:bidi="ar-SA"/>
        </w:rPr>
        <w:t>今年以来，开展联合双随机检查6次，抽查主体共42家，完成2022年度企业“双随机、一公开”分级分类抽</w:t>
      </w:r>
      <w:r>
        <w:rPr>
          <w:rFonts w:hint="eastAsia" w:ascii="仿宋_GB2312" w:hAnsi="宋体" w:eastAsia="仿宋_GB2312" w:cs="宋体"/>
          <w:kern w:val="2"/>
          <w:sz w:val="32"/>
          <w:szCs w:val="32"/>
          <w:lang w:val="en-US" w:eastAsia="zh-CN" w:bidi="ar-SA"/>
        </w:rPr>
        <w:t>查工作任务6次，共抽查主体54家。积极推进推进市场主体信用体系建设，营造公平诚信市场和环境，三类市场主体年报率均超额完成；</w:t>
      </w:r>
      <w:r>
        <w:rPr>
          <w:rFonts w:hint="eastAsia" w:ascii="仿宋_GB2312" w:hAnsi="仿宋_GB2312" w:eastAsia="仿宋_GB2312" w:cs="仿宋_GB2312"/>
          <w:b w:val="0"/>
          <w:bCs w:val="0"/>
          <w:sz w:val="32"/>
          <w:szCs w:val="32"/>
          <w:lang w:val="en-US" w:eastAsia="zh-CN"/>
        </w:rPr>
        <w:t>建立日常监管与执法办案有效衔接工作机制，强化线索通报、信息反馈、协同会商等各项机制，推动履职到位，今年以来，开展“春雷行动2022”、民生领域案件查办“铁拳”行动、药品安全专项整治、打击整治养老诈骗专项行动等各类专项整治，目前共立案141件，累计罚款24余万元，其中处罚金额1万以上的案件9件,10万1件，1件药品案件、1件食品移送公安机关，案件质量有所提升。经综合考评，我局被乐山市市场监督管理局评为“春雷行动2022”执法行动先进集体。</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知识产权</w:t>
      </w:r>
      <w:r>
        <w:rPr>
          <w:rFonts w:hint="default" w:ascii="仿宋" w:hAnsi="仿宋" w:eastAsia="仿宋" w:cs="Times New Roman"/>
          <w:color w:val="auto"/>
          <w:sz w:val="32"/>
          <w:szCs w:val="32"/>
          <w:lang w:val="en-US" w:eastAsia="zh-CN"/>
        </w:rPr>
        <w:t>经费</w:t>
      </w:r>
      <w:r>
        <w:rPr>
          <w:rFonts w:hint="eastAsia" w:ascii="仿宋" w:hAnsi="仿宋" w:eastAsia="仿宋" w:cs="Times New Roman"/>
          <w:color w:val="auto"/>
          <w:sz w:val="32"/>
          <w:szCs w:val="32"/>
          <w:lang w:val="en-US" w:eastAsia="zh-CN"/>
        </w:rPr>
        <w:t>。开展知识产权宣传、印刷资料等费用；对企业、本单位干部参加各类培训等支出，据实列支。3.食品安全抽检。主要是为切实提高食品安全、保障全县人民“舌尖上的安全”而开展的抽检，据实列支。4.质量强县</w:t>
      </w:r>
      <w:r>
        <w:rPr>
          <w:rFonts w:hint="default" w:ascii="仿宋" w:hAnsi="仿宋" w:eastAsia="仿宋" w:cs="Times New Roman"/>
          <w:color w:val="auto"/>
          <w:sz w:val="32"/>
          <w:szCs w:val="32"/>
          <w:lang w:val="en-US" w:eastAsia="zh-CN"/>
        </w:rPr>
        <w:t>经费</w:t>
      </w:r>
      <w:r>
        <w:rPr>
          <w:rFonts w:hint="eastAsia" w:ascii="仿宋" w:hAnsi="仿宋" w:eastAsia="仿宋" w:cs="Times New Roman"/>
          <w:color w:val="auto"/>
          <w:sz w:val="32"/>
          <w:szCs w:val="32"/>
          <w:lang w:val="en-US" w:eastAsia="zh-CN"/>
        </w:rPr>
        <w:t>。做好区域内质量监督和标准化工作，依法监督管理计量器具、市场计量行为，对工业产品进行抽检等，据实列支。</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(1)信息公开。部门整体绩效自评情况和自行组织的评价情况均按财政要求及时将向社会公开。</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(2)自评质量。我单位严格按照预算管理和支付时效要求，执行进度100%，整体绩效</w:t>
      </w:r>
      <w:r>
        <w:rPr>
          <w:rFonts w:hint="eastAsia" w:ascii="仿宋" w:hAnsi="仿宋" w:eastAsia="仿宋" w:cs="Times New Roman"/>
          <w:color w:val="auto"/>
          <w:sz w:val="32"/>
          <w:szCs w:val="32"/>
          <w:lang w:val="zh-CN" w:eastAsia="zh-CN"/>
        </w:rPr>
        <w:t>自评</w:t>
      </w:r>
      <w:r>
        <w:rPr>
          <w:rFonts w:hint="eastAsia" w:ascii="仿宋" w:hAnsi="仿宋" w:eastAsia="仿宋" w:cs="Times New Roman"/>
          <w:color w:val="auto"/>
          <w:sz w:val="32"/>
          <w:szCs w:val="32"/>
          <w:lang w:val="en-US" w:eastAsia="zh-CN"/>
        </w:rPr>
        <w:t>得分为96分。</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default"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(3)整改反馈。</w:t>
      </w:r>
      <w:r>
        <w:rPr>
          <w:rFonts w:hint="eastAsia" w:ascii="仿宋" w:hAnsi="仿宋" w:eastAsia="仿宋" w:cs="Times New Roman"/>
          <w:color w:val="auto"/>
          <w:sz w:val="32"/>
          <w:szCs w:val="32"/>
          <w:lang w:val="zh-CN" w:eastAsia="zh-CN"/>
        </w:rPr>
        <w:t>评价结果整改和应用结果反馈</w:t>
      </w:r>
      <w:r>
        <w:rPr>
          <w:rFonts w:hint="eastAsia" w:ascii="仿宋" w:hAnsi="仿宋" w:eastAsia="仿宋" w:cs="Times New Roman"/>
          <w:color w:val="auto"/>
          <w:sz w:val="32"/>
          <w:szCs w:val="32"/>
          <w:lang w:val="en-US" w:eastAsia="zh-CN"/>
        </w:rPr>
        <w:t>结合实际进行应用</w:t>
      </w:r>
      <w:r>
        <w:rPr>
          <w:rFonts w:hint="eastAsia" w:ascii="仿宋" w:hAnsi="仿宋" w:eastAsia="仿宋" w:cs="Times New Roman"/>
          <w:color w:val="auto"/>
          <w:sz w:val="32"/>
          <w:szCs w:val="32"/>
          <w:lang w:val="zh-CN" w:eastAsia="zh-CN"/>
        </w:rPr>
        <w:t>。</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 w:hAnsi="仿宋" w:eastAsia="仿宋" w:cs="Times New Roman"/>
          <w:color w:val="auto"/>
          <w:kern w:val="2"/>
          <w:sz w:val="32"/>
          <w:szCs w:val="32"/>
          <w:lang w:val="zh-CN" w:eastAsia="zh-CN" w:bidi="ar-SA"/>
        </w:rPr>
      </w:pPr>
      <w:r>
        <w:rPr>
          <w:rFonts w:hint="eastAsia" w:ascii="楷体_GB2312" w:hAnsi="宋体" w:eastAsia="楷体_GB2312" w:cs="宋体"/>
          <w:color w:val="000000"/>
          <w:kern w:val="0"/>
          <w:szCs w:val="32"/>
          <w:shd w:val="clear" w:color="auto" w:fill="FFFFFF"/>
          <w:lang w:val="zh-CN"/>
        </w:rPr>
        <w:t>（一）评价结论。</w:t>
      </w:r>
      <w:r>
        <w:rPr>
          <w:rFonts w:hint="eastAsia" w:ascii="仿宋" w:hAnsi="仿宋" w:eastAsia="仿宋" w:cs="Times New Roman"/>
          <w:color w:val="auto"/>
          <w:kern w:val="2"/>
          <w:sz w:val="32"/>
          <w:szCs w:val="32"/>
          <w:lang w:val="zh-CN" w:eastAsia="zh-CN" w:bidi="ar-SA"/>
        </w:rPr>
        <w:t>根据《峨边彝族自治县财政局 关于开展20</w:t>
      </w:r>
      <w:r>
        <w:rPr>
          <w:rFonts w:hint="eastAsia" w:ascii="仿宋" w:hAnsi="仿宋" w:eastAsia="仿宋" w:cs="Times New Roman"/>
          <w:color w:val="auto"/>
          <w:kern w:val="2"/>
          <w:sz w:val="32"/>
          <w:szCs w:val="32"/>
          <w:lang w:val="en-US" w:eastAsia="zh-CN" w:bidi="ar-SA"/>
        </w:rPr>
        <w:t>22</w:t>
      </w:r>
      <w:r>
        <w:rPr>
          <w:rFonts w:hint="eastAsia" w:ascii="仿宋" w:hAnsi="仿宋" w:eastAsia="仿宋" w:cs="Times New Roman"/>
          <w:color w:val="auto"/>
          <w:kern w:val="2"/>
          <w:sz w:val="32"/>
          <w:szCs w:val="32"/>
          <w:lang w:val="zh-CN" w:eastAsia="zh-CN" w:bidi="ar-SA"/>
        </w:rPr>
        <w:t>年</w:t>
      </w:r>
      <w:r>
        <w:rPr>
          <w:rFonts w:hint="eastAsia" w:ascii="仿宋" w:hAnsi="仿宋" w:eastAsia="仿宋" w:cs="Times New Roman"/>
          <w:color w:val="auto"/>
          <w:kern w:val="2"/>
          <w:sz w:val="32"/>
          <w:szCs w:val="32"/>
          <w:lang w:val="en-US" w:eastAsia="zh-CN" w:bidi="ar-SA"/>
        </w:rPr>
        <w:t>度部门整体、项目支出预算绩效评价</w:t>
      </w:r>
      <w:r>
        <w:rPr>
          <w:rFonts w:hint="eastAsia" w:ascii="仿宋" w:hAnsi="仿宋" w:eastAsia="仿宋" w:cs="Times New Roman"/>
          <w:color w:val="auto"/>
          <w:kern w:val="2"/>
          <w:sz w:val="32"/>
          <w:szCs w:val="32"/>
          <w:lang w:val="zh-CN" w:eastAsia="zh-CN" w:bidi="ar-SA"/>
        </w:rPr>
        <w:t>工作的通知》文件精神，</w:t>
      </w:r>
      <w:r>
        <w:rPr>
          <w:rFonts w:hint="eastAsia" w:ascii="仿宋" w:hAnsi="仿宋" w:eastAsia="仿宋" w:cs="Times New Roman"/>
          <w:color w:val="auto"/>
          <w:kern w:val="2"/>
          <w:sz w:val="32"/>
          <w:szCs w:val="32"/>
          <w:lang w:val="en-US" w:eastAsia="zh-CN" w:bidi="ar-SA"/>
        </w:rPr>
        <w:t>我单位认真组织开展了部门整体绩效自评工作，绩效评价</w:t>
      </w:r>
      <w:r>
        <w:rPr>
          <w:rFonts w:hint="eastAsia" w:ascii="仿宋" w:hAnsi="仿宋" w:eastAsia="仿宋" w:cs="Times New Roman"/>
          <w:color w:val="auto"/>
          <w:kern w:val="2"/>
          <w:sz w:val="32"/>
          <w:szCs w:val="32"/>
          <w:lang w:val="zh-CN" w:eastAsia="zh-CN" w:bidi="ar-SA"/>
        </w:rPr>
        <w:t>得分：</w:t>
      </w:r>
      <w:r>
        <w:rPr>
          <w:rFonts w:hint="eastAsia" w:ascii="仿宋" w:hAnsi="仿宋" w:eastAsia="仿宋" w:cs="Times New Roman"/>
          <w:color w:val="auto"/>
          <w:kern w:val="2"/>
          <w:sz w:val="32"/>
          <w:szCs w:val="32"/>
          <w:lang w:val="en-US" w:eastAsia="zh-CN" w:bidi="ar-SA"/>
        </w:rPr>
        <w:t>96</w:t>
      </w:r>
      <w:r>
        <w:rPr>
          <w:rFonts w:hint="eastAsia" w:ascii="仿宋" w:hAnsi="仿宋" w:eastAsia="仿宋" w:cs="Times New Roman"/>
          <w:color w:val="auto"/>
          <w:kern w:val="2"/>
          <w:sz w:val="32"/>
          <w:szCs w:val="32"/>
          <w:lang w:val="zh-CN" w:eastAsia="zh-CN" w:bidi="ar-SA"/>
        </w:rPr>
        <w:t>分。</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r>
        <w:rPr>
          <w:rFonts w:hint="eastAsia" w:ascii="仿宋" w:hAnsi="仿宋" w:eastAsia="仿宋" w:cs="Times New Roman"/>
          <w:color w:val="auto"/>
          <w:sz w:val="32"/>
          <w:szCs w:val="32"/>
          <w:lang w:val="en-US" w:eastAsia="zh-CN"/>
        </w:rPr>
        <w:t>内部控制制度建设的完整性需进一步完善。</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 w:hAnsi="仿宋" w:eastAsia="仿宋" w:cs="Times New Roman"/>
          <w:color w:val="auto"/>
          <w:sz w:val="32"/>
          <w:szCs w:val="32"/>
          <w:lang w:val="zh-CN" w:eastAsia="zh-CN"/>
        </w:rPr>
      </w:pPr>
      <w:r>
        <w:rPr>
          <w:rFonts w:hint="eastAsia" w:ascii="楷体_GB2312" w:hAnsi="宋体" w:eastAsia="楷体_GB2312" w:cs="宋体"/>
          <w:color w:val="000000"/>
          <w:kern w:val="0"/>
          <w:szCs w:val="32"/>
          <w:shd w:val="clear" w:color="auto" w:fill="FFFFFF"/>
          <w:lang w:val="zh-CN"/>
        </w:rPr>
        <w:t>（三）改进建议。</w:t>
      </w:r>
      <w:r>
        <w:rPr>
          <w:rFonts w:hint="eastAsia" w:ascii="仿宋" w:hAnsi="仿宋" w:eastAsia="仿宋" w:cs="Times New Roman"/>
          <w:color w:val="auto"/>
          <w:sz w:val="32"/>
          <w:szCs w:val="32"/>
          <w:lang w:val="en-US" w:eastAsia="zh-CN"/>
        </w:rPr>
        <w:t>严格按照制度规定，建立完善好内部控制制度。</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9"/>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11C564"/>
    <w:multiLevelType w:val="singleLevel"/>
    <w:tmpl w:val="C111C564"/>
    <w:lvl w:ilvl="0" w:tentative="0">
      <w:start w:val="2"/>
      <w:numFmt w:val="chineseCounting"/>
      <w:suff w:val="nothing"/>
      <w:lvlText w:val="（%1）"/>
      <w:lvlJc w:val="left"/>
      <w:rPr>
        <w:rFonts w:hint="eastAsia"/>
      </w:rPr>
    </w:lvl>
  </w:abstractNum>
  <w:abstractNum w:abstractNumId="1">
    <w:nsid w:val="66FA12CB"/>
    <w:multiLevelType w:val="singleLevel"/>
    <w:tmpl w:val="66FA12CB"/>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7968A6"/>
    <w:rsid w:val="037E2287"/>
    <w:rsid w:val="03946B2A"/>
    <w:rsid w:val="18D17537"/>
    <w:rsid w:val="19927F78"/>
    <w:rsid w:val="21AE59D8"/>
    <w:rsid w:val="2445713A"/>
    <w:rsid w:val="286F56EA"/>
    <w:rsid w:val="2D527252"/>
    <w:rsid w:val="2DC1174E"/>
    <w:rsid w:val="2E2C3101"/>
    <w:rsid w:val="329102D6"/>
    <w:rsid w:val="387F53FE"/>
    <w:rsid w:val="3A212CC9"/>
    <w:rsid w:val="3A9520B3"/>
    <w:rsid w:val="3DE562B7"/>
    <w:rsid w:val="3E6507EA"/>
    <w:rsid w:val="3FED2AEE"/>
    <w:rsid w:val="40BC6A06"/>
    <w:rsid w:val="47550EBA"/>
    <w:rsid w:val="49B42F86"/>
    <w:rsid w:val="50BB3388"/>
    <w:rsid w:val="60336F6B"/>
    <w:rsid w:val="61FE79B0"/>
    <w:rsid w:val="622D5D26"/>
    <w:rsid w:val="6636451A"/>
    <w:rsid w:val="6BE94116"/>
    <w:rsid w:val="6C843D44"/>
    <w:rsid w:val="78916378"/>
    <w:rsid w:val="7975758B"/>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99"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qFormat="1" w:unhideWhenUsed="0" w:uiPriority="0"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0" w:semiHidden="0"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qFormat="1" w:uiPriority="99"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locked/>
    <w:uiPriority w:val="99"/>
    <w:rPr>
      <w:rFonts w:ascii="宋体" w:hAnsi="Courier New" w:cs="Courier New"/>
      <w:sz w:val="21"/>
      <w:szCs w:val="21"/>
    </w:rPr>
  </w:style>
  <w:style w:type="paragraph" w:styleId="3">
    <w:name w:val="Body Text First Indent"/>
    <w:basedOn w:val="4"/>
    <w:qFormat/>
    <w:locked/>
    <w:uiPriority w:val="0"/>
    <w:pPr>
      <w:ind w:firstLine="420" w:firstLineChars="100"/>
    </w:pPr>
  </w:style>
  <w:style w:type="paragraph" w:styleId="4">
    <w:name w:val="Body Text"/>
    <w:basedOn w:val="1"/>
    <w:qFormat/>
    <w:locked/>
    <w:uiPriority w:val="0"/>
    <w:rPr>
      <w:sz w:val="24"/>
    </w:rPr>
  </w:style>
  <w:style w:type="paragraph" w:styleId="5">
    <w:name w:val="Normal Indent"/>
    <w:basedOn w:val="1"/>
    <w:unhideWhenUsed/>
    <w:qFormat/>
    <w:locked/>
    <w:uiPriority w:val="99"/>
    <w:pPr>
      <w:autoSpaceDE/>
      <w:autoSpaceDN/>
      <w:ind w:firstLine="420" w:firstLineChars="200"/>
      <w:jc w:val="both"/>
    </w:pPr>
    <w:rPr>
      <w:rFonts w:ascii="Calibri" w:hAnsi="Calibri" w:eastAsia="宋体" w:cs="Times New Roman"/>
      <w:kern w:val="2"/>
      <w:sz w:val="24"/>
      <w:szCs w:val="24"/>
      <w:lang w:eastAsia="zh-CN"/>
    </w:rPr>
  </w:style>
  <w:style w:type="paragraph" w:styleId="6">
    <w:name w:val="Document Map"/>
    <w:basedOn w:val="1"/>
    <w:link w:val="16"/>
    <w:qFormat/>
    <w:uiPriority w:val="99"/>
    <w:rPr>
      <w:rFonts w:ascii="宋体"/>
      <w:sz w:val="18"/>
      <w:szCs w:val="18"/>
    </w:rPr>
  </w:style>
  <w:style w:type="paragraph" w:styleId="7">
    <w:name w:val="Body Text Indent 2"/>
    <w:next w:val="1"/>
    <w:qFormat/>
    <w:locked/>
    <w:uiPriority w:val="0"/>
    <w:pPr>
      <w:widowControl w:val="0"/>
      <w:spacing w:beforeAutospacing="1" w:line="480" w:lineRule="auto"/>
      <w:ind w:left="420" w:leftChars="200"/>
      <w:jc w:val="both"/>
    </w:pPr>
    <w:rPr>
      <w:rFonts w:ascii="Calibri" w:hAnsi="Calibri" w:eastAsia="宋体" w:cs="Times New Roman"/>
      <w:kern w:val="2"/>
      <w:sz w:val="21"/>
      <w:szCs w:val="24"/>
      <w:lang w:val="en-US" w:eastAsia="zh-CN" w:bidi="ar-SA"/>
    </w:rPr>
  </w:style>
  <w:style w:type="paragraph" w:styleId="8">
    <w:name w:val="Balloon Text"/>
    <w:basedOn w:val="1"/>
    <w:link w:val="17"/>
    <w:semiHidden/>
    <w:qFormat/>
    <w:uiPriority w:val="99"/>
    <w:rPr>
      <w:sz w:val="18"/>
      <w:szCs w:val="18"/>
    </w:rPr>
  </w:style>
  <w:style w:type="paragraph" w:styleId="9">
    <w:name w:val="footer"/>
    <w:basedOn w:val="1"/>
    <w:link w:val="18"/>
    <w:qFormat/>
    <w:uiPriority w:val="99"/>
    <w:pPr>
      <w:tabs>
        <w:tab w:val="center" w:pos="4153"/>
        <w:tab w:val="right" w:pos="8306"/>
      </w:tabs>
      <w:snapToGrid w:val="0"/>
      <w:jc w:val="left"/>
    </w:pPr>
    <w:rPr>
      <w:sz w:val="18"/>
      <w:szCs w:val="18"/>
    </w:rPr>
  </w:style>
  <w:style w:type="paragraph" w:styleId="10">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locked/>
    <w:uiPriority w:val="10"/>
    <w:pPr>
      <w:spacing w:line="600" w:lineRule="exact"/>
      <w:jc w:val="center"/>
      <w:outlineLvl w:val="0"/>
    </w:pPr>
    <w:rPr>
      <w:rFonts w:eastAsia="方正小标宋_GBK"/>
      <w:bCs/>
      <w:sz w:val="44"/>
      <w:szCs w:val="32"/>
    </w:rPr>
  </w:style>
  <w:style w:type="character" w:styleId="13">
    <w:name w:val="page number"/>
    <w:qFormat/>
    <w:uiPriority w:val="99"/>
    <w:rPr>
      <w:rFonts w:cs="Times New Roman"/>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文档结构图 Char"/>
    <w:link w:val="6"/>
    <w:qFormat/>
    <w:locked/>
    <w:uiPriority w:val="99"/>
    <w:rPr>
      <w:rFonts w:ascii="宋体" w:cs="Times New Roman"/>
      <w:kern w:val="2"/>
      <w:sz w:val="18"/>
      <w:szCs w:val="18"/>
    </w:rPr>
  </w:style>
  <w:style w:type="character" w:customStyle="1" w:styleId="17">
    <w:name w:val="批注框文本 Char"/>
    <w:link w:val="8"/>
    <w:semiHidden/>
    <w:qFormat/>
    <w:locked/>
    <w:uiPriority w:val="99"/>
    <w:rPr>
      <w:rFonts w:cs="Times New Roman"/>
      <w:sz w:val="2"/>
    </w:rPr>
  </w:style>
  <w:style w:type="character" w:customStyle="1" w:styleId="18">
    <w:name w:val="页脚 Char"/>
    <w:link w:val="9"/>
    <w:qFormat/>
    <w:locked/>
    <w:uiPriority w:val="99"/>
    <w:rPr>
      <w:rFonts w:cs="Times New Roman"/>
      <w:kern w:val="2"/>
      <w:sz w:val="18"/>
      <w:szCs w:val="18"/>
    </w:rPr>
  </w:style>
  <w:style w:type="character" w:customStyle="1" w:styleId="19">
    <w:name w:val="页眉 Char"/>
    <w:link w:val="10"/>
    <w:semiHidden/>
    <w:qFormat/>
    <w:locked/>
    <w:uiPriority w:val="99"/>
    <w:rPr>
      <w:rFonts w:cs="Times New Roman"/>
      <w:sz w:val="18"/>
      <w:szCs w:val="18"/>
    </w:rPr>
  </w:style>
  <w:style w:type="paragraph" w:customStyle="1" w:styleId="20">
    <w:name w:val="四号正文"/>
    <w:basedOn w:val="1"/>
    <w:link w:val="21"/>
    <w:qFormat/>
    <w:uiPriority w:val="99"/>
    <w:pPr>
      <w:spacing w:line="360" w:lineRule="auto"/>
    </w:pPr>
    <w:rPr>
      <w:rFonts w:ascii="??" w:hAnsi="??" w:cs="宋体"/>
      <w:color w:val="000000"/>
      <w:kern w:val="0"/>
      <w:sz w:val="28"/>
      <w:szCs w:val="21"/>
    </w:rPr>
  </w:style>
  <w:style w:type="character" w:customStyle="1" w:styleId="21">
    <w:name w:val="四号正文 Char"/>
    <w:link w:val="20"/>
    <w:qFormat/>
    <w:locked/>
    <w:uiPriority w:val="99"/>
    <w:rPr>
      <w:rFonts w:ascii="??" w:hAnsi="??" w:eastAsia="宋体" w:cs="宋体"/>
      <w:color w:val="000000"/>
      <w:sz w:val="21"/>
      <w:szCs w:val="21"/>
      <w:lang w:val="en-US" w:eastAsia="zh-CN" w:bidi="ar-SA"/>
    </w:rPr>
  </w:style>
  <w:style w:type="paragraph" w:customStyle="1" w:styleId="22">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11</TotalTime>
  <ScaleCrop>false</ScaleCrop>
  <LinksUpToDate>false</LinksUpToDate>
  <CharactersWithSpaces>423</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EBliyl</cp:lastModifiedBy>
  <cp:lastPrinted>2022-03-15T02:17:00Z</cp:lastPrinted>
  <dcterms:modified xsi:type="dcterms:W3CDTF">2023-07-21T06:02:34Z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y fmtid="{D5CDD505-2E9C-101B-9397-08002B2CF9AE}" pid="3" name="ICV">
    <vt:lpwstr>53B7F86B27C64309879EEE75FFE498EF</vt:lpwstr>
  </property>
</Properties>
</file>