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9AE8D">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14A7442">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峨边彝族自治县社会保险事务中心</w:t>
      </w:r>
    </w:p>
    <w:p w14:paraId="521B469E">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3FAF3212">
      <w:pPr>
        <w:jc w:val="center"/>
        <w:rPr>
          <w:rFonts w:hint="eastAsia" w:ascii="方正小标宋简体" w:hAnsi="方正小标宋简体" w:eastAsia="方正小标宋简体" w:cs="方正小标宋简体"/>
          <w:b w:val="0"/>
          <w:bCs/>
          <w:sz w:val="52"/>
          <w:szCs w:val="52"/>
          <w:lang w:val="en-US" w:eastAsia="zh-CN"/>
        </w:rPr>
      </w:pPr>
    </w:p>
    <w:p w14:paraId="63241742">
      <w:pPr>
        <w:jc w:val="both"/>
        <w:rPr>
          <w:rFonts w:hint="default"/>
          <w:b/>
          <w:bCs/>
          <w:sz w:val="52"/>
          <w:szCs w:val="52"/>
          <w:lang w:val="en-US" w:eastAsia="zh-CN"/>
        </w:rPr>
      </w:pPr>
    </w:p>
    <w:p w14:paraId="199AA7FA">
      <w:pPr>
        <w:jc w:val="both"/>
        <w:rPr>
          <w:rFonts w:hint="default"/>
          <w:b/>
          <w:bCs/>
          <w:sz w:val="52"/>
          <w:szCs w:val="52"/>
          <w:lang w:val="en-US" w:eastAsia="zh-CN"/>
        </w:rPr>
      </w:pPr>
    </w:p>
    <w:p w14:paraId="32321D9F">
      <w:pPr>
        <w:jc w:val="both"/>
        <w:rPr>
          <w:rFonts w:hint="default"/>
          <w:b/>
          <w:bCs/>
          <w:sz w:val="52"/>
          <w:szCs w:val="52"/>
          <w:lang w:val="en-US" w:eastAsia="zh-CN"/>
        </w:rPr>
      </w:pPr>
    </w:p>
    <w:p w14:paraId="3585B3B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单位(签章)：峨边彝族自治县社会保险事务中心</w:t>
      </w:r>
    </w:p>
    <w:p w14:paraId="5CB4FFA4">
      <w:pPr>
        <w:ind w:left="0" w:leftChars="0" w:firstLine="0" w:firstLineChars="0"/>
        <w:jc w:val="both"/>
        <w:rPr>
          <w:rFonts w:hint="default"/>
          <w:b/>
          <w:bCs/>
          <w:sz w:val="32"/>
          <w:szCs w:val="32"/>
          <w:lang w:val="en-US" w:eastAsia="zh-CN"/>
        </w:rPr>
      </w:pPr>
    </w:p>
    <w:p w14:paraId="33C88A01">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 月 12 日</w:t>
      </w:r>
    </w:p>
    <w:p w14:paraId="6999A819">
      <w:pPr>
        <w:jc w:val="both"/>
        <w:rPr>
          <w:rFonts w:hint="eastAsia"/>
          <w:b/>
          <w:bCs/>
          <w:sz w:val="32"/>
          <w:szCs w:val="32"/>
          <w:lang w:val="en-US" w:eastAsia="zh-CN"/>
        </w:rPr>
      </w:pPr>
    </w:p>
    <w:p w14:paraId="0E20DCE0">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24E73B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color w:val="auto"/>
          <w:sz w:val="32"/>
          <w:szCs w:val="32"/>
          <w:lang w:val="en-US" w:eastAsia="zh-CN"/>
        </w:rPr>
        <w:t>峨边彝族自治县社会保险事务中心概</w:t>
      </w:r>
      <w:r>
        <w:rPr>
          <w:rFonts w:hint="eastAsia" w:ascii="黑体" w:hAnsi="黑体" w:eastAsia="黑体" w:cs="黑体"/>
          <w:b w:val="0"/>
          <w:bCs w:val="0"/>
          <w:sz w:val="32"/>
          <w:szCs w:val="32"/>
          <w:lang w:val="en-US" w:eastAsia="zh-CN"/>
        </w:rPr>
        <w:t>况</w:t>
      </w:r>
    </w:p>
    <w:p w14:paraId="05F30B8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26E1B53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08C5F75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color w:val="auto"/>
          <w:sz w:val="32"/>
          <w:szCs w:val="32"/>
          <w:lang w:val="en-US" w:eastAsia="zh-CN"/>
        </w:rPr>
        <w:t>峨边彝族自治县社会保险事务中心</w:t>
      </w:r>
      <w:r>
        <w:rPr>
          <w:rFonts w:hint="eastAsia" w:ascii="黑体" w:hAnsi="黑体" w:eastAsia="黑体" w:cs="黑体"/>
          <w:b w:val="0"/>
          <w:bCs w:val="0"/>
          <w:sz w:val="32"/>
          <w:szCs w:val="32"/>
          <w:lang w:val="en-US" w:eastAsia="zh-CN"/>
        </w:rPr>
        <w:t>2025年部门预算表</w:t>
      </w:r>
    </w:p>
    <w:p w14:paraId="530400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6E111C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01FEA1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6B4BFAB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2E4BE53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80F3FD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3C16B0F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394C54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4201520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02850A0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37C7A9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BDBBE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1B893A1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42E45C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39607FF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3EF41F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color w:val="auto"/>
          <w:sz w:val="32"/>
          <w:szCs w:val="32"/>
          <w:lang w:val="en-US" w:eastAsia="zh-CN"/>
        </w:rPr>
        <w:t>峨边彝族自治县社会保险事务中心</w:t>
      </w:r>
      <w:r>
        <w:rPr>
          <w:rFonts w:hint="eastAsia" w:ascii="黑体" w:hAnsi="黑体" w:eastAsia="黑体" w:cs="黑体"/>
          <w:b w:val="0"/>
          <w:bCs w:val="0"/>
          <w:sz w:val="32"/>
          <w:szCs w:val="32"/>
          <w:lang w:val="en-US" w:eastAsia="zh-CN"/>
        </w:rPr>
        <w:t>2025年部门预算情况说明</w:t>
      </w:r>
    </w:p>
    <w:p w14:paraId="2B3BFE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38B1D08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br w:type="page"/>
      </w:r>
    </w:p>
    <w:p w14:paraId="53E89C5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2F8F2228">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峨边彝族自治县社会保险事务中心概况</w:t>
      </w:r>
    </w:p>
    <w:p w14:paraId="0428C4E6">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br w:type="page"/>
      </w:r>
    </w:p>
    <w:p w14:paraId="506B0308">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623CE3C4">
      <w:pPr>
        <w:tabs>
          <w:tab w:val="left" w:pos="0"/>
        </w:tabs>
        <w:snapToGrid w:val="0"/>
        <w:spacing w:line="600" w:lineRule="exact"/>
        <w:ind w:left="-304" w:leftChars="-95" w:firstLine="640" w:firstLineChars="200"/>
        <w:textAlignment w:val="baseline"/>
        <w:rPr>
          <w:rFonts w:hint="eastAsia" w:ascii="仿宋_GB2312" w:hAnsi="仿宋_GB2312" w:eastAsia="仿宋_GB2312" w:cs="仿宋_GB2312"/>
          <w:color w:val="auto"/>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rPr>
        <w:t>1.宣传并贯彻执行国家、省、市有关社会保险制度的方针政策和法律法规，并按照县人力资源和社会保障局的安排组织实施，参与拟定相关实施办法。</w:t>
      </w:r>
    </w:p>
    <w:p w14:paraId="0AE57EB2">
      <w:pPr>
        <w:snapToGrid w:val="0"/>
        <w:spacing w:line="600" w:lineRule="exact"/>
        <w:ind w:left="-304" w:leftChars="-95"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2.负责贯彻落实全县社会保险事业发展规划、计划。组织开展社会保险经办管理服务工作；负责</w:t>
      </w:r>
      <w:r>
        <w:rPr>
          <w:rFonts w:hint="eastAsia" w:ascii="仿宋_GB2312" w:hAnsi="仿宋_GB2312" w:eastAsia="仿宋_GB2312" w:cs="仿宋_GB2312"/>
          <w:color w:val="auto"/>
          <w:sz w:val="32"/>
          <w:szCs w:val="32"/>
          <w:lang w:eastAsia="zh-CN"/>
        </w:rPr>
        <w:t>县级社会保险经办服务工作，指导乡镇社会保险经办管理服务工作</w:t>
      </w:r>
      <w:r>
        <w:rPr>
          <w:rFonts w:hint="eastAsia" w:ascii="仿宋_GB2312" w:hAnsi="仿宋_GB2312" w:eastAsia="仿宋_GB2312" w:cs="仿宋_GB2312"/>
          <w:color w:val="auto"/>
          <w:sz w:val="32"/>
          <w:szCs w:val="32"/>
        </w:rPr>
        <w:t>。</w:t>
      </w:r>
    </w:p>
    <w:p w14:paraId="5181A75C">
      <w:pPr>
        <w:snapToGrid w:val="0"/>
        <w:spacing w:line="600" w:lineRule="exact"/>
        <w:ind w:left="-304" w:leftChars="-95"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3.负责全县社会保险的扩面、基金征缴工作，</w:t>
      </w:r>
      <w:r>
        <w:rPr>
          <w:rFonts w:hint="eastAsia" w:ascii="仿宋_GB2312" w:hAnsi="仿宋_GB2312" w:eastAsia="仿宋_GB2312" w:cs="仿宋_GB2312"/>
          <w:color w:val="auto"/>
          <w:sz w:val="32"/>
          <w:szCs w:val="32"/>
          <w:lang w:eastAsia="zh-CN"/>
        </w:rPr>
        <w:t>受理社会保险费缴费申报，</w:t>
      </w:r>
      <w:r>
        <w:rPr>
          <w:rFonts w:hint="eastAsia" w:ascii="仿宋_GB2312" w:hAnsi="仿宋_GB2312" w:eastAsia="仿宋_GB2312" w:cs="仿宋_GB2312"/>
          <w:color w:val="auto"/>
          <w:sz w:val="32"/>
          <w:szCs w:val="32"/>
        </w:rPr>
        <w:t>对各类社会保险参保单位的参保、缴费情况进行稽核检查。</w:t>
      </w:r>
    </w:p>
    <w:p w14:paraId="1A093372">
      <w:pPr>
        <w:snapToGrid w:val="0"/>
        <w:spacing w:line="600" w:lineRule="exact"/>
        <w:ind w:left="-304" w:leftChars="-95" w:firstLine="640" w:firstLineChars="200"/>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eastAsia="仿宋_GB2312"/>
          <w:color w:val="auto"/>
          <w:sz w:val="33"/>
          <w:szCs w:val="32"/>
        </w:rPr>
        <w:t>组织全</w:t>
      </w:r>
      <w:r>
        <w:rPr>
          <w:rFonts w:hint="eastAsia" w:ascii="仿宋_GB2312" w:eastAsia="仿宋_GB2312"/>
          <w:color w:val="auto"/>
          <w:sz w:val="33"/>
          <w:szCs w:val="32"/>
          <w:lang w:eastAsia="zh-CN"/>
        </w:rPr>
        <w:t>县</w:t>
      </w:r>
      <w:r>
        <w:rPr>
          <w:rFonts w:hint="eastAsia" w:ascii="仿宋_GB2312" w:eastAsia="仿宋_GB2312"/>
          <w:color w:val="auto"/>
          <w:sz w:val="33"/>
          <w:szCs w:val="32"/>
        </w:rPr>
        <w:t>社会保险</w:t>
      </w:r>
      <w:bookmarkStart w:id="0" w:name="OLE_LINK2"/>
      <w:r>
        <w:rPr>
          <w:rFonts w:hint="eastAsia" w:ascii="仿宋_GB2312" w:eastAsia="仿宋_GB2312"/>
          <w:color w:val="auto"/>
          <w:sz w:val="33"/>
          <w:szCs w:val="32"/>
        </w:rPr>
        <w:t>经办风险防控工作</w:t>
      </w:r>
      <w:bookmarkEnd w:id="0"/>
      <w:r>
        <w:rPr>
          <w:rFonts w:hint="eastAsia" w:ascii="仿宋_GB2312" w:eastAsia="仿宋_GB2312"/>
          <w:color w:val="auto"/>
          <w:sz w:val="33"/>
          <w:szCs w:val="32"/>
        </w:rPr>
        <w:t>，负责</w:t>
      </w:r>
      <w:r>
        <w:rPr>
          <w:rFonts w:hint="eastAsia" w:ascii="仿宋_GB2312" w:eastAsia="仿宋_GB2312"/>
          <w:color w:val="auto"/>
          <w:sz w:val="33"/>
          <w:szCs w:val="32"/>
          <w:lang w:eastAsia="zh-CN"/>
        </w:rPr>
        <w:t>县</w:t>
      </w:r>
      <w:r>
        <w:rPr>
          <w:rFonts w:hint="eastAsia" w:ascii="仿宋_GB2312" w:eastAsia="仿宋_GB2312"/>
          <w:color w:val="auto"/>
          <w:sz w:val="33"/>
          <w:szCs w:val="32"/>
        </w:rPr>
        <w:t>级社保经办风险防控</w:t>
      </w:r>
      <w:r>
        <w:rPr>
          <w:rFonts w:hint="eastAsia" w:ascii="仿宋_GB2312" w:eastAsia="仿宋_GB2312"/>
          <w:color w:val="auto"/>
          <w:sz w:val="33"/>
          <w:szCs w:val="32"/>
          <w:lang w:eastAsia="zh-CN"/>
        </w:rPr>
        <w:t>工作</w:t>
      </w:r>
      <w:r>
        <w:rPr>
          <w:rFonts w:hint="eastAsia" w:ascii="仿宋_GB2312" w:eastAsia="仿宋_GB2312"/>
          <w:color w:val="auto"/>
          <w:sz w:val="33"/>
          <w:szCs w:val="32"/>
        </w:rPr>
        <w:t>，指导</w:t>
      </w:r>
      <w:r>
        <w:rPr>
          <w:rFonts w:hint="eastAsia" w:ascii="仿宋_GB2312" w:eastAsia="仿宋_GB2312"/>
          <w:color w:val="auto"/>
          <w:sz w:val="33"/>
          <w:szCs w:val="32"/>
          <w:lang w:eastAsia="zh-CN"/>
        </w:rPr>
        <w:t>乡镇</w:t>
      </w:r>
      <w:r>
        <w:rPr>
          <w:rFonts w:hint="eastAsia" w:ascii="仿宋_GB2312" w:eastAsia="仿宋_GB2312"/>
          <w:color w:val="auto"/>
          <w:sz w:val="33"/>
          <w:szCs w:val="32"/>
        </w:rPr>
        <w:t>社会保险经办风险防控</w:t>
      </w:r>
      <w:r>
        <w:rPr>
          <w:rFonts w:hint="eastAsia" w:ascii="仿宋_GB2312" w:eastAsia="仿宋_GB2312"/>
          <w:color w:val="auto"/>
          <w:sz w:val="33"/>
          <w:szCs w:val="32"/>
          <w:lang w:eastAsia="zh-CN"/>
        </w:rPr>
        <w:t>工作</w:t>
      </w:r>
      <w:r>
        <w:rPr>
          <w:rFonts w:hint="eastAsia" w:ascii="仿宋_GB2312" w:eastAsia="仿宋_GB2312"/>
          <w:color w:val="auto"/>
          <w:sz w:val="33"/>
          <w:szCs w:val="32"/>
        </w:rPr>
        <w:t>。</w:t>
      </w:r>
    </w:p>
    <w:p w14:paraId="242C8A06">
      <w:pPr>
        <w:snapToGrid w:val="0"/>
        <w:spacing w:line="600" w:lineRule="exact"/>
        <w:ind w:left="-304" w:leftChars="-95"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贯彻执行社会保险基金财务管理制度、会计制度，对社会保险的财务运行、会计核算和基金管理使用进行监督、指导和审计，编制汇总全县社会保险基金年度预决算和季、月执行报告。</w:t>
      </w:r>
    </w:p>
    <w:p w14:paraId="3A6939B2">
      <w:pPr>
        <w:snapToGrid w:val="0"/>
        <w:spacing w:line="600" w:lineRule="exact"/>
        <w:ind w:left="-304" w:leftChars="-95"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eastAsia="仿宋_GB2312"/>
          <w:color w:val="auto"/>
          <w:sz w:val="33"/>
          <w:szCs w:val="32"/>
        </w:rPr>
        <w:t>负责企业职工养老保险退</w:t>
      </w:r>
      <w:r>
        <w:rPr>
          <w:rFonts w:hint="eastAsia" w:ascii="仿宋_GB2312" w:eastAsia="仿宋_GB2312"/>
          <w:color w:val="auto"/>
          <w:sz w:val="33"/>
          <w:szCs w:val="32"/>
          <w:u w:val="none"/>
        </w:rPr>
        <w:t>休</w:t>
      </w:r>
      <w:r>
        <w:rPr>
          <w:rFonts w:hint="eastAsia" w:ascii="仿宋_GB2312" w:eastAsia="仿宋_GB2312"/>
          <w:color w:val="auto"/>
          <w:sz w:val="33"/>
          <w:szCs w:val="32"/>
          <w:u w:val="none"/>
          <w:lang w:eastAsia="zh-CN"/>
        </w:rPr>
        <w:t>审核</w:t>
      </w:r>
      <w:r>
        <w:rPr>
          <w:rFonts w:hint="eastAsia" w:ascii="仿宋_GB2312" w:eastAsia="仿宋_GB2312"/>
          <w:color w:val="auto"/>
          <w:sz w:val="33"/>
          <w:szCs w:val="32"/>
          <w:u w:val="none"/>
        </w:rPr>
        <w:t>工</w:t>
      </w:r>
      <w:r>
        <w:rPr>
          <w:rFonts w:hint="eastAsia" w:ascii="仿宋_GB2312" w:eastAsia="仿宋_GB2312"/>
          <w:color w:val="auto"/>
          <w:sz w:val="33"/>
          <w:szCs w:val="32"/>
        </w:rPr>
        <w:t>作。制定全</w:t>
      </w:r>
      <w:r>
        <w:rPr>
          <w:rFonts w:hint="eastAsia" w:ascii="仿宋_GB2312" w:eastAsia="仿宋_GB2312"/>
          <w:color w:val="auto"/>
          <w:sz w:val="33"/>
          <w:szCs w:val="32"/>
          <w:lang w:eastAsia="zh-CN"/>
        </w:rPr>
        <w:t>县</w:t>
      </w:r>
      <w:r>
        <w:rPr>
          <w:rFonts w:hint="eastAsia" w:ascii="仿宋_GB2312" w:eastAsia="仿宋_GB2312"/>
          <w:color w:val="auto"/>
          <w:sz w:val="33"/>
          <w:szCs w:val="32"/>
        </w:rPr>
        <w:t>养老、工伤保险待遇领取人员社会化管理服务工作规划，指导</w:t>
      </w:r>
      <w:r>
        <w:rPr>
          <w:rFonts w:hint="eastAsia" w:ascii="仿宋_GB2312" w:eastAsia="仿宋_GB2312"/>
          <w:color w:val="auto"/>
          <w:sz w:val="33"/>
          <w:szCs w:val="32"/>
          <w:lang w:eastAsia="zh-CN"/>
        </w:rPr>
        <w:t>乡镇</w:t>
      </w:r>
      <w:r>
        <w:rPr>
          <w:rFonts w:hint="eastAsia" w:ascii="仿宋_GB2312" w:eastAsia="仿宋_GB2312"/>
          <w:color w:val="auto"/>
          <w:sz w:val="33"/>
          <w:szCs w:val="32"/>
        </w:rPr>
        <w:t>劳动保障</w:t>
      </w:r>
      <w:r>
        <w:rPr>
          <w:rFonts w:hint="eastAsia" w:ascii="仿宋_GB2312" w:eastAsia="仿宋_GB2312"/>
          <w:color w:val="auto"/>
          <w:sz w:val="33"/>
          <w:szCs w:val="32"/>
          <w:lang w:eastAsia="zh-CN"/>
        </w:rPr>
        <w:t>所</w:t>
      </w:r>
      <w:r>
        <w:rPr>
          <w:rFonts w:hint="eastAsia" w:ascii="仿宋_GB2312" w:eastAsia="仿宋_GB2312"/>
          <w:color w:val="auto"/>
          <w:sz w:val="33"/>
          <w:szCs w:val="32"/>
        </w:rPr>
        <w:t>开展社会化管理服务工作；按时足额发放养老、工伤保险待遇。</w:t>
      </w:r>
    </w:p>
    <w:p w14:paraId="70336E7E">
      <w:pPr>
        <w:snapToGrid w:val="0"/>
        <w:spacing w:line="600" w:lineRule="exact"/>
        <w:ind w:left="-304" w:leftChars="-95"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.负责社会保险信息系统相关子系统的维护</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全县社会保险基础信息采集、整理、分析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管理，负责社会保险个人权益记录管理、社会保障卡发卡、应用工作，负责全县社会保险统计、运行分析、精算工作。</w:t>
      </w:r>
    </w:p>
    <w:p w14:paraId="3E52E782">
      <w:pPr>
        <w:snapToGrid w:val="0"/>
        <w:spacing w:line="600" w:lineRule="exact"/>
        <w:ind w:left="-304" w:leftChars="-95"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.制定全县社会保险经办机构业务操作规范和职工业务培训规划并组织实施；提供社会保险咨询、查询服务，开展社会保险法律宣传工作，普及社会保险知识。</w:t>
      </w:r>
    </w:p>
    <w:p w14:paraId="335C17F9">
      <w:pPr>
        <w:snapToGrid w:val="0"/>
        <w:spacing w:line="600" w:lineRule="exact"/>
        <w:ind w:left="-304" w:leftChars="-95" w:firstLine="640" w:firstLineChars="200"/>
        <w:textAlignment w:val="baseline"/>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完成</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政府和县</w:t>
      </w:r>
      <w:r>
        <w:rPr>
          <w:rFonts w:hint="eastAsia" w:ascii="仿宋_GB2312" w:hAnsi="仿宋_GB2312" w:eastAsia="仿宋_GB2312" w:cs="仿宋_GB2312"/>
          <w:color w:val="auto"/>
          <w:sz w:val="32"/>
          <w:szCs w:val="32"/>
        </w:rPr>
        <w:t>人力资源和社会保障局交办的其他工作。</w:t>
      </w:r>
    </w:p>
    <w:p w14:paraId="2422772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仿宋_GB2312" w:hAnsi="仿宋_GB2312" w:eastAsia="仿宋_GB2312" w:cs="仿宋_GB2312"/>
          <w:color w:val="000000"/>
          <w:sz w:val="32"/>
          <w:szCs w:val="32"/>
          <w:lang w:val="en-US" w:eastAsia="zh-CN"/>
        </w:rPr>
        <w:t>2025年全县社会保险工作围绕“节奏更快、效率更高、质量更优”主题实践活动，以全力服务全县中心大局为重点，稳妥推进国家渐进式延迟法定退休年龄重大改革任务，坚持保发放、拓扩面、优服务、防风险、促发展，持续推进社保经办精细化、规范化、数字化、智能化、专业化，高质量完成“十四五”规划目标任务。</w:t>
      </w:r>
    </w:p>
    <w:p w14:paraId="2DCFA3A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1、做好延迟退休政策落地实施工作。</w:t>
      </w:r>
    </w:p>
    <w:p w14:paraId="37CF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坚持平稳有序推进渐进式延迟法定退休年龄重大改革，全面贯彻落实国家延退办法、弹性退休暂行办法、企保病残津贴暂行办法、灵活就业人员延退政策、超龄劳动者延长缴纳养老保险费政策和省上有关配套政策及政策执行口径。做好政策宣传引导、信访维稳等工作，高效运行延退改革经办工作机制。</w:t>
      </w:r>
    </w:p>
    <w:p w14:paraId="5F02B3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2、扎实做好</w:t>
      </w:r>
      <w:r>
        <w:rPr>
          <w:rFonts w:hint="default" w:ascii="仿宋_GB2312" w:hAnsi="仿宋_GB2312" w:eastAsia="仿宋_GB2312" w:cs="仿宋_GB2312"/>
          <w:color w:val="000000"/>
          <w:sz w:val="32"/>
          <w:szCs w:val="32"/>
          <w:lang w:val="en-US" w:eastAsia="zh-CN"/>
        </w:rPr>
        <w:t>工伤保险</w:t>
      </w:r>
      <w:r>
        <w:rPr>
          <w:rFonts w:hint="eastAsia" w:ascii="仿宋_GB2312" w:hAnsi="仿宋_GB2312" w:eastAsia="仿宋_GB2312" w:cs="仿宋_GB2312"/>
          <w:color w:val="000000"/>
          <w:sz w:val="32"/>
          <w:szCs w:val="32"/>
          <w:lang w:val="en-US" w:eastAsia="zh-CN"/>
        </w:rPr>
        <w:t>经办管理</w:t>
      </w:r>
      <w:r>
        <w:rPr>
          <w:rFonts w:hint="default" w:ascii="仿宋_GB2312" w:hAnsi="仿宋_GB2312" w:eastAsia="仿宋_GB2312" w:cs="仿宋_GB2312"/>
          <w:color w:val="000000"/>
          <w:sz w:val="32"/>
          <w:szCs w:val="32"/>
          <w:lang w:val="en-US" w:eastAsia="zh-CN"/>
        </w:rPr>
        <w:t>。</w:t>
      </w:r>
    </w:p>
    <w:p w14:paraId="31B83D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巩固完善工伤保险省级统筹，</w:t>
      </w:r>
      <w:r>
        <w:rPr>
          <w:rFonts w:hint="eastAsia" w:ascii="仿宋_GB2312" w:hAnsi="仿宋_GB2312" w:eastAsia="仿宋_GB2312" w:cs="仿宋_GB2312"/>
          <w:color w:val="000000"/>
          <w:sz w:val="32"/>
          <w:szCs w:val="32"/>
          <w:lang w:val="en-US" w:eastAsia="zh-CN"/>
        </w:rPr>
        <w:t>严格落实工伤保险经办规程，持续提升业务经办规范化水平。加大联网结算工作力度，持续推进工伤医疗费、康复费用联网直接结算。探索工伤保险医疗费智能化审核</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持续做好工伤预防、康复相关工作。</w:t>
      </w:r>
    </w:p>
    <w:p w14:paraId="3451BA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3、优化社保经办服务。</w:t>
      </w:r>
    </w:p>
    <w:p w14:paraId="17F910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深入推进法定人群全覆盖，聚焦新就业形态就业人员、灵活就业人员、农民工等重点群体，实施高质量精准扩面专项行动，引导断保人员续保缴费，推动实现参保人数增长，参保结构逐步优化。加强社保基金安全规范管理，持续开展社保基金管理巩固提升行动。严厉打击欺诈骗保等违法行为，维护社保基金安全。加快推进社保经办数字化转型。深化川渝社保合作，深入推进退休“一件事”等事项高效办理，优化社保关系转移接续，推动社保公共服务事项向乡镇（街道）下延。</w:t>
      </w:r>
    </w:p>
    <w:p w14:paraId="336757B7">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5AD18B7C">
      <w:pPr>
        <w:bidi w:val="0"/>
        <w:rPr>
          <w:rFonts w:hint="eastAsia" w:ascii="仿宋" w:hAnsi="仿宋" w:eastAsia="仿宋"/>
          <w:sz w:val="32"/>
          <w:szCs w:val="32"/>
        </w:rPr>
      </w:pPr>
      <w:r>
        <w:rPr>
          <w:rFonts w:hint="eastAsia" w:ascii="仿宋" w:hAnsi="仿宋"/>
          <w:color w:val="auto"/>
          <w:sz w:val="32"/>
          <w:szCs w:val="32"/>
          <w:lang w:eastAsia="zh-CN"/>
        </w:rPr>
        <w:t>峨边彝族自治县社会保险事务中心</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0</w:t>
      </w:r>
      <w:r>
        <w:rPr>
          <w:rFonts w:hint="eastAsia" w:ascii="仿宋" w:hAnsi="仿宋" w:eastAsia="仿宋"/>
          <w:sz w:val="32"/>
          <w:szCs w:val="32"/>
        </w:rPr>
        <w:t>个，事业单位</w:t>
      </w:r>
      <w:r>
        <w:rPr>
          <w:rFonts w:hint="eastAsia" w:ascii="仿宋" w:hAnsi="仿宋"/>
          <w:sz w:val="32"/>
          <w:szCs w:val="32"/>
          <w:lang w:val="en-US" w:eastAsia="zh-CN"/>
        </w:rPr>
        <w:t>1</w:t>
      </w:r>
      <w:r>
        <w:rPr>
          <w:rFonts w:hint="eastAsia" w:ascii="仿宋" w:hAnsi="仿宋" w:eastAsia="仿宋"/>
          <w:sz w:val="32"/>
          <w:szCs w:val="32"/>
        </w:rPr>
        <w:t>个。</w:t>
      </w:r>
    </w:p>
    <w:p w14:paraId="65145924">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峨边彝族自治县社会保险事务中心</w:t>
      </w:r>
      <w:r>
        <w:rPr>
          <w:rFonts w:hint="eastAsia" w:ascii="仿宋" w:hAnsi="仿宋" w:eastAsia="仿宋"/>
          <w:sz w:val="32"/>
          <w:szCs w:val="32"/>
        </w:rPr>
        <w:t>总编制</w:t>
      </w:r>
      <w:r>
        <w:rPr>
          <w:rFonts w:hint="eastAsia" w:ascii="仿宋" w:hAnsi="仿宋"/>
          <w:color w:val="auto"/>
          <w:sz w:val="32"/>
          <w:szCs w:val="32"/>
          <w:lang w:val="en-US" w:eastAsia="zh-CN"/>
        </w:rPr>
        <w:t>25</w:t>
      </w:r>
      <w:r>
        <w:rPr>
          <w:rFonts w:hint="eastAsia" w:ascii="仿宋" w:hAnsi="仿宋" w:eastAsia="仿宋"/>
          <w:sz w:val="32"/>
          <w:szCs w:val="32"/>
        </w:rPr>
        <w:t>名，其中：行政编制</w:t>
      </w:r>
      <w:r>
        <w:rPr>
          <w:rFonts w:hint="eastAsia" w:ascii="仿宋" w:hAnsi="仿宋"/>
          <w:sz w:val="32"/>
          <w:szCs w:val="32"/>
          <w:lang w:val="en-US" w:eastAsia="zh-CN"/>
        </w:rPr>
        <w:t>21</w:t>
      </w:r>
      <w:r>
        <w:rPr>
          <w:rFonts w:hint="eastAsia" w:ascii="仿宋" w:hAnsi="仿宋" w:eastAsia="仿宋"/>
          <w:sz w:val="32"/>
          <w:szCs w:val="32"/>
        </w:rPr>
        <w:t>名，工勤编制</w:t>
      </w:r>
      <w:r>
        <w:rPr>
          <w:rFonts w:hint="eastAsia" w:ascii="仿宋" w:hAnsi="仿宋"/>
          <w:sz w:val="32"/>
          <w:szCs w:val="32"/>
          <w:lang w:val="en-US" w:eastAsia="zh-CN"/>
        </w:rPr>
        <w:t>4</w:t>
      </w:r>
      <w:r>
        <w:rPr>
          <w:rFonts w:hint="eastAsia" w:ascii="仿宋" w:hAnsi="仿宋" w:eastAsia="仿宋"/>
          <w:sz w:val="32"/>
          <w:szCs w:val="32"/>
        </w:rPr>
        <w:t>名，事业编制</w:t>
      </w:r>
      <w:r>
        <w:rPr>
          <w:rFonts w:hint="eastAsia" w:ascii="仿宋" w:hAnsi="仿宋"/>
          <w:sz w:val="32"/>
          <w:szCs w:val="32"/>
          <w:lang w:val="en-US" w:eastAsia="zh-CN"/>
        </w:rPr>
        <w:t>0</w:t>
      </w:r>
      <w:r>
        <w:rPr>
          <w:rFonts w:hint="eastAsia" w:ascii="仿宋" w:hAnsi="仿宋" w:eastAsia="仿宋"/>
          <w:sz w:val="32"/>
          <w:szCs w:val="32"/>
        </w:rPr>
        <w:t>名。</w:t>
      </w:r>
      <w:r>
        <w:rPr>
          <w:rFonts w:hint="eastAsia" w:ascii="仿宋" w:hAnsi="仿宋" w:eastAsia="仿宋"/>
          <w:color w:val="auto"/>
          <w:sz w:val="32"/>
          <w:szCs w:val="32"/>
        </w:rPr>
        <w:t>在职人员总数</w:t>
      </w:r>
      <w:r>
        <w:rPr>
          <w:rFonts w:hint="eastAsia" w:ascii="仿宋" w:hAnsi="仿宋"/>
          <w:color w:val="auto"/>
          <w:sz w:val="32"/>
          <w:szCs w:val="32"/>
          <w:lang w:val="en-US" w:eastAsia="zh-CN"/>
        </w:rPr>
        <w:t>23</w:t>
      </w:r>
      <w:r>
        <w:rPr>
          <w:rFonts w:hint="eastAsia" w:ascii="仿宋" w:hAnsi="仿宋" w:eastAsia="仿宋"/>
          <w:color w:val="auto"/>
          <w:sz w:val="32"/>
          <w:szCs w:val="32"/>
        </w:rPr>
        <w:t>名，其中：行政</w:t>
      </w:r>
      <w:r>
        <w:rPr>
          <w:rFonts w:hint="eastAsia" w:ascii="仿宋" w:hAnsi="仿宋"/>
          <w:color w:val="auto"/>
          <w:sz w:val="32"/>
          <w:szCs w:val="32"/>
          <w:lang w:val="en-US" w:eastAsia="zh-CN"/>
        </w:rPr>
        <w:t>19</w:t>
      </w:r>
      <w:r>
        <w:rPr>
          <w:rFonts w:hint="eastAsia" w:ascii="仿宋" w:hAnsi="仿宋" w:eastAsia="仿宋"/>
          <w:color w:val="auto"/>
          <w:sz w:val="32"/>
          <w:szCs w:val="32"/>
        </w:rPr>
        <w:t>名，工勤</w:t>
      </w:r>
      <w:r>
        <w:rPr>
          <w:rFonts w:hint="eastAsia" w:ascii="仿宋" w:hAnsi="仿宋"/>
          <w:color w:val="auto"/>
          <w:sz w:val="32"/>
          <w:szCs w:val="32"/>
          <w:lang w:val="en-US" w:eastAsia="zh-CN"/>
        </w:rPr>
        <w:t>4</w:t>
      </w:r>
      <w:r>
        <w:rPr>
          <w:rFonts w:hint="eastAsia" w:ascii="仿宋" w:hAnsi="仿宋" w:eastAsia="仿宋"/>
          <w:color w:val="auto"/>
          <w:sz w:val="32"/>
          <w:szCs w:val="32"/>
        </w:rPr>
        <w:t>名，事业</w:t>
      </w:r>
      <w:r>
        <w:rPr>
          <w:rFonts w:hint="eastAsia" w:ascii="仿宋" w:hAnsi="仿宋"/>
          <w:color w:val="auto"/>
          <w:sz w:val="32"/>
          <w:szCs w:val="32"/>
          <w:lang w:val="en-US" w:eastAsia="zh-CN"/>
        </w:rPr>
        <w:t>0</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094901C1">
      <w:pPr>
        <w:spacing w:line="600" w:lineRule="exact"/>
        <w:ind w:firstLine="640" w:firstLineChars="200"/>
        <w:rPr>
          <w:rFonts w:hint="eastAsia" w:ascii="仿宋" w:hAnsi="仿宋" w:eastAsia="仿宋"/>
          <w:sz w:val="32"/>
          <w:szCs w:val="32"/>
        </w:rPr>
      </w:pPr>
    </w:p>
    <w:p w14:paraId="3AE3807E">
      <w:pPr>
        <w:spacing w:line="600" w:lineRule="exact"/>
        <w:ind w:left="0" w:leftChars="0" w:firstLine="0" w:firstLineChars="0"/>
        <w:rPr>
          <w:rFonts w:hint="eastAsia" w:ascii="仿宋" w:hAnsi="仿宋" w:eastAsia="仿宋"/>
          <w:sz w:val="32"/>
          <w:szCs w:val="32"/>
        </w:rPr>
      </w:pPr>
    </w:p>
    <w:p w14:paraId="485C71A4">
      <w:pPr>
        <w:pStyle w:val="2"/>
        <w:numPr>
          <w:ilvl w:val="0"/>
          <w:numId w:val="0"/>
        </w:numPr>
        <w:bidi w:val="0"/>
        <w:jc w:val="both"/>
        <w:rPr>
          <w:rFonts w:hint="eastAsia"/>
          <w:lang w:val="en-US" w:eastAsia="zh-CN"/>
        </w:rPr>
      </w:pPr>
    </w:p>
    <w:p w14:paraId="4A2373D7">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峨边彝族自治县社会保险事务中心</w:t>
      </w:r>
      <w:r>
        <w:rPr>
          <w:rFonts w:hint="eastAsia" w:ascii="方正小标宋简体" w:hAnsi="方正小标宋简体" w:eastAsia="方正小标宋简体" w:cs="方正小标宋简体"/>
          <w:b w:val="0"/>
          <w:bCs/>
          <w:sz w:val="52"/>
          <w:szCs w:val="52"/>
          <w:lang w:val="en-US" w:eastAsia="zh-CN"/>
        </w:rPr>
        <w:t>2025年部门预算表</w:t>
      </w:r>
    </w:p>
    <w:p w14:paraId="3110710D">
      <w:pPr>
        <w:spacing w:line="600" w:lineRule="exact"/>
        <w:rPr>
          <w:rFonts w:hint="default" w:ascii="仿宋" w:hAnsi="仿宋" w:eastAsia="仿宋" w:cs="Times New Roman"/>
          <w:sz w:val="32"/>
          <w:szCs w:val="32"/>
          <w:lang w:val="en-US" w:eastAsia="zh-CN"/>
        </w:rPr>
      </w:pPr>
    </w:p>
    <w:p w14:paraId="5E1C16FE">
      <w:pPr>
        <w:spacing w:line="600" w:lineRule="exact"/>
        <w:rPr>
          <w:rFonts w:hint="default" w:ascii="仿宋" w:hAnsi="仿宋" w:eastAsia="仿宋" w:cs="Times New Roman"/>
          <w:sz w:val="32"/>
          <w:szCs w:val="32"/>
          <w:lang w:val="en-US" w:eastAsia="zh-CN"/>
        </w:rPr>
      </w:pPr>
    </w:p>
    <w:p w14:paraId="0B117B9C">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4B1E3AB7">
      <w:pPr>
        <w:numPr>
          <w:ilvl w:val="0"/>
          <w:numId w:val="0"/>
        </w:numPr>
        <w:spacing w:line="240" w:lineRule="auto"/>
      </w:pPr>
      <w:r>
        <w:drawing>
          <wp:inline distT="0" distB="0" distL="114300" distR="114300">
            <wp:extent cx="5690870" cy="7633970"/>
            <wp:effectExtent l="0" t="0" r="5080" b="508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5690870" cy="7633970"/>
                    </a:xfrm>
                    <a:prstGeom prst="rect">
                      <a:avLst/>
                    </a:prstGeom>
                    <a:noFill/>
                    <a:ln w="9525">
                      <a:noFill/>
                    </a:ln>
                  </pic:spPr>
                </pic:pic>
              </a:graphicData>
            </a:graphic>
          </wp:inline>
        </w:drawing>
      </w:r>
    </w:p>
    <w:p w14:paraId="2339472B">
      <w:pPr>
        <w:numPr>
          <w:ilvl w:val="0"/>
          <w:numId w:val="0"/>
        </w:numPr>
        <w:spacing w:line="240" w:lineRule="auto"/>
      </w:pPr>
      <w:r>
        <w:drawing>
          <wp:inline distT="0" distB="0" distL="114300" distR="114300">
            <wp:extent cx="5692775" cy="1569720"/>
            <wp:effectExtent l="0" t="0" r="3175" b="1143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569720"/>
                    </a:xfrm>
                    <a:prstGeom prst="rect">
                      <a:avLst/>
                    </a:prstGeom>
                    <a:noFill/>
                    <a:ln w="9525">
                      <a:noFill/>
                    </a:ln>
                  </pic:spPr>
                </pic:pic>
              </a:graphicData>
            </a:graphic>
          </wp:inline>
        </w:drawing>
      </w:r>
    </w:p>
    <w:p w14:paraId="5E8701E7">
      <w:pPr>
        <w:numPr>
          <w:ilvl w:val="0"/>
          <w:numId w:val="0"/>
        </w:numPr>
        <w:spacing w:line="240" w:lineRule="auto"/>
      </w:pPr>
      <w:r>
        <w:drawing>
          <wp:inline distT="0" distB="0" distL="114300" distR="114300">
            <wp:extent cx="5690235" cy="2827020"/>
            <wp:effectExtent l="0" t="0" r="5715" b="1143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9"/>
                    <a:stretch>
                      <a:fillRect/>
                    </a:stretch>
                  </pic:blipFill>
                  <pic:spPr>
                    <a:xfrm>
                      <a:off x="0" y="0"/>
                      <a:ext cx="5690235" cy="2827020"/>
                    </a:xfrm>
                    <a:prstGeom prst="rect">
                      <a:avLst/>
                    </a:prstGeom>
                    <a:noFill/>
                    <a:ln w="9525">
                      <a:noFill/>
                    </a:ln>
                  </pic:spPr>
                </pic:pic>
              </a:graphicData>
            </a:graphic>
          </wp:inline>
        </w:drawing>
      </w:r>
    </w:p>
    <w:p w14:paraId="69BFD6E3">
      <w:pPr>
        <w:numPr>
          <w:ilvl w:val="0"/>
          <w:numId w:val="0"/>
        </w:numPr>
        <w:spacing w:line="240" w:lineRule="auto"/>
      </w:pPr>
      <w:r>
        <w:drawing>
          <wp:inline distT="0" distB="0" distL="114300" distR="114300">
            <wp:extent cx="5693410" cy="5667375"/>
            <wp:effectExtent l="0" t="0" r="2540" b="9525"/>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10"/>
                    <a:stretch>
                      <a:fillRect/>
                    </a:stretch>
                  </pic:blipFill>
                  <pic:spPr>
                    <a:xfrm>
                      <a:off x="0" y="0"/>
                      <a:ext cx="5693410" cy="5667375"/>
                    </a:xfrm>
                    <a:prstGeom prst="rect">
                      <a:avLst/>
                    </a:prstGeom>
                    <a:noFill/>
                    <a:ln w="9525">
                      <a:noFill/>
                    </a:ln>
                  </pic:spPr>
                </pic:pic>
              </a:graphicData>
            </a:graphic>
          </wp:inline>
        </w:drawing>
      </w:r>
    </w:p>
    <w:p w14:paraId="6D4325C4">
      <w:pPr>
        <w:numPr>
          <w:ilvl w:val="0"/>
          <w:numId w:val="0"/>
        </w:numPr>
        <w:spacing w:line="240" w:lineRule="auto"/>
        <w:rPr>
          <w:rFonts w:hint="eastAsia"/>
          <w:lang w:val="en-US" w:eastAsia="zh-CN"/>
        </w:rPr>
      </w:pPr>
      <w:r>
        <w:drawing>
          <wp:inline distT="0" distB="0" distL="114300" distR="114300">
            <wp:extent cx="5694045" cy="3851910"/>
            <wp:effectExtent l="0" t="0" r="1905" b="15240"/>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1"/>
                    <a:stretch>
                      <a:fillRect/>
                    </a:stretch>
                  </pic:blipFill>
                  <pic:spPr>
                    <a:xfrm>
                      <a:off x="0" y="0"/>
                      <a:ext cx="5694045" cy="3851910"/>
                    </a:xfrm>
                    <a:prstGeom prst="rect">
                      <a:avLst/>
                    </a:prstGeom>
                    <a:noFill/>
                    <a:ln w="9525">
                      <a:noFill/>
                    </a:ln>
                  </pic:spPr>
                </pic:pic>
              </a:graphicData>
            </a:graphic>
          </wp:inline>
        </w:drawing>
      </w:r>
    </w:p>
    <w:p w14:paraId="4F775E74">
      <w:pPr>
        <w:numPr>
          <w:ilvl w:val="0"/>
          <w:numId w:val="0"/>
        </w:numPr>
        <w:ind w:leftChars="0"/>
        <w:jc w:val="both"/>
      </w:pPr>
      <w:r>
        <w:drawing>
          <wp:inline distT="0" distB="0" distL="114300" distR="114300">
            <wp:extent cx="5694045" cy="3026410"/>
            <wp:effectExtent l="0" t="0" r="1905"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2"/>
                    <a:stretch>
                      <a:fillRect/>
                    </a:stretch>
                  </pic:blipFill>
                  <pic:spPr>
                    <a:xfrm>
                      <a:off x="0" y="0"/>
                      <a:ext cx="5694045" cy="3026410"/>
                    </a:xfrm>
                    <a:prstGeom prst="rect">
                      <a:avLst/>
                    </a:prstGeom>
                    <a:noFill/>
                    <a:ln w="9525">
                      <a:noFill/>
                    </a:ln>
                  </pic:spPr>
                </pic:pic>
              </a:graphicData>
            </a:graphic>
          </wp:inline>
        </w:drawing>
      </w:r>
    </w:p>
    <w:p w14:paraId="2F796B16">
      <w:pPr>
        <w:numPr>
          <w:ilvl w:val="0"/>
          <w:numId w:val="0"/>
        </w:numPr>
        <w:ind w:leftChars="0"/>
        <w:jc w:val="both"/>
      </w:pPr>
      <w:r>
        <w:drawing>
          <wp:inline distT="0" distB="0" distL="114300" distR="114300">
            <wp:extent cx="5690235" cy="8009255"/>
            <wp:effectExtent l="0" t="0" r="5715" b="10795"/>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13"/>
                    <a:stretch>
                      <a:fillRect/>
                    </a:stretch>
                  </pic:blipFill>
                  <pic:spPr>
                    <a:xfrm>
                      <a:off x="0" y="0"/>
                      <a:ext cx="5690235" cy="8009255"/>
                    </a:xfrm>
                    <a:prstGeom prst="rect">
                      <a:avLst/>
                    </a:prstGeom>
                    <a:noFill/>
                    <a:ln w="9525">
                      <a:noFill/>
                    </a:ln>
                  </pic:spPr>
                </pic:pic>
              </a:graphicData>
            </a:graphic>
          </wp:inline>
        </w:drawing>
      </w:r>
    </w:p>
    <w:p w14:paraId="401F0E34">
      <w:pPr>
        <w:numPr>
          <w:ilvl w:val="0"/>
          <w:numId w:val="0"/>
        </w:numPr>
        <w:ind w:leftChars="0"/>
        <w:jc w:val="both"/>
      </w:pPr>
      <w:r>
        <w:drawing>
          <wp:inline distT="0" distB="0" distL="114300" distR="114300">
            <wp:extent cx="5693410" cy="2569210"/>
            <wp:effectExtent l="0" t="0" r="2540" b="254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4"/>
                    <a:stretch>
                      <a:fillRect/>
                    </a:stretch>
                  </pic:blipFill>
                  <pic:spPr>
                    <a:xfrm>
                      <a:off x="0" y="0"/>
                      <a:ext cx="5693410" cy="2569210"/>
                    </a:xfrm>
                    <a:prstGeom prst="rect">
                      <a:avLst/>
                    </a:prstGeom>
                    <a:noFill/>
                    <a:ln w="9525">
                      <a:noFill/>
                    </a:ln>
                  </pic:spPr>
                </pic:pic>
              </a:graphicData>
            </a:graphic>
          </wp:inline>
        </w:drawing>
      </w:r>
    </w:p>
    <w:p w14:paraId="6F1D0C53">
      <w:pPr>
        <w:numPr>
          <w:ilvl w:val="0"/>
          <w:numId w:val="0"/>
        </w:numPr>
        <w:ind w:leftChars="0"/>
        <w:jc w:val="both"/>
      </w:pPr>
      <w:r>
        <w:drawing>
          <wp:inline distT="0" distB="0" distL="114300" distR="114300">
            <wp:extent cx="5691505" cy="1365885"/>
            <wp:effectExtent l="0" t="0" r="4445" b="571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5"/>
                    <a:stretch>
                      <a:fillRect/>
                    </a:stretch>
                  </pic:blipFill>
                  <pic:spPr>
                    <a:xfrm>
                      <a:off x="0" y="0"/>
                      <a:ext cx="5691505" cy="1365885"/>
                    </a:xfrm>
                    <a:prstGeom prst="rect">
                      <a:avLst/>
                    </a:prstGeom>
                    <a:noFill/>
                    <a:ln w="9525">
                      <a:noFill/>
                    </a:ln>
                  </pic:spPr>
                </pic:pic>
              </a:graphicData>
            </a:graphic>
          </wp:inline>
        </w:drawing>
      </w:r>
    </w:p>
    <w:p w14:paraId="53229195">
      <w:pPr>
        <w:numPr>
          <w:ilvl w:val="0"/>
          <w:numId w:val="0"/>
        </w:numPr>
        <w:ind w:leftChars="0"/>
        <w:jc w:val="both"/>
      </w:pPr>
      <w:r>
        <w:drawing>
          <wp:inline distT="0" distB="0" distL="114300" distR="114300">
            <wp:extent cx="5693410" cy="2496820"/>
            <wp:effectExtent l="0" t="0" r="2540" b="1778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6"/>
                    <a:stretch>
                      <a:fillRect/>
                    </a:stretch>
                  </pic:blipFill>
                  <pic:spPr>
                    <a:xfrm>
                      <a:off x="0" y="0"/>
                      <a:ext cx="5693410" cy="2496820"/>
                    </a:xfrm>
                    <a:prstGeom prst="rect">
                      <a:avLst/>
                    </a:prstGeom>
                    <a:noFill/>
                    <a:ln w="9525">
                      <a:noFill/>
                    </a:ln>
                  </pic:spPr>
                </pic:pic>
              </a:graphicData>
            </a:graphic>
          </wp:inline>
        </w:drawing>
      </w:r>
    </w:p>
    <w:p w14:paraId="7AC7D6F6">
      <w:pPr>
        <w:numPr>
          <w:ilvl w:val="0"/>
          <w:numId w:val="0"/>
        </w:numPr>
        <w:ind w:leftChars="0"/>
        <w:jc w:val="both"/>
      </w:pPr>
      <w:r>
        <w:drawing>
          <wp:inline distT="0" distB="0" distL="114300" distR="114300">
            <wp:extent cx="5693410" cy="1746885"/>
            <wp:effectExtent l="0" t="0" r="2540" b="571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7"/>
                    <a:stretch>
                      <a:fillRect/>
                    </a:stretch>
                  </pic:blipFill>
                  <pic:spPr>
                    <a:xfrm>
                      <a:off x="0" y="0"/>
                      <a:ext cx="5693410" cy="1746885"/>
                    </a:xfrm>
                    <a:prstGeom prst="rect">
                      <a:avLst/>
                    </a:prstGeom>
                    <a:noFill/>
                    <a:ln w="9525">
                      <a:noFill/>
                    </a:ln>
                  </pic:spPr>
                </pic:pic>
              </a:graphicData>
            </a:graphic>
          </wp:inline>
        </w:drawing>
      </w:r>
    </w:p>
    <w:p w14:paraId="5BA04D76">
      <w:pPr>
        <w:numPr>
          <w:ilvl w:val="0"/>
          <w:numId w:val="0"/>
        </w:numPr>
        <w:ind w:leftChars="0"/>
        <w:jc w:val="both"/>
      </w:pPr>
    </w:p>
    <w:p w14:paraId="1A005720">
      <w:pPr>
        <w:numPr>
          <w:ilvl w:val="0"/>
          <w:numId w:val="0"/>
        </w:numPr>
        <w:ind w:leftChars="0"/>
        <w:jc w:val="both"/>
      </w:pPr>
      <w:r>
        <w:drawing>
          <wp:inline distT="0" distB="0" distL="114300" distR="114300">
            <wp:extent cx="5693410" cy="2552065"/>
            <wp:effectExtent l="0" t="0" r="2540" b="63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8"/>
                    <a:stretch>
                      <a:fillRect/>
                    </a:stretch>
                  </pic:blipFill>
                  <pic:spPr>
                    <a:xfrm>
                      <a:off x="0" y="0"/>
                      <a:ext cx="5693410" cy="2552065"/>
                    </a:xfrm>
                    <a:prstGeom prst="rect">
                      <a:avLst/>
                    </a:prstGeom>
                    <a:noFill/>
                    <a:ln w="9525">
                      <a:noFill/>
                    </a:ln>
                  </pic:spPr>
                </pic:pic>
              </a:graphicData>
            </a:graphic>
          </wp:inline>
        </w:drawing>
      </w:r>
    </w:p>
    <w:p w14:paraId="7B9E1714">
      <w:pPr>
        <w:numPr>
          <w:ilvl w:val="0"/>
          <w:numId w:val="0"/>
        </w:numPr>
        <w:ind w:leftChars="0"/>
        <w:jc w:val="both"/>
      </w:pPr>
      <w:r>
        <w:drawing>
          <wp:inline distT="0" distB="0" distL="114300" distR="114300">
            <wp:extent cx="5693410" cy="1266190"/>
            <wp:effectExtent l="0" t="0" r="2540" b="1016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9"/>
                    <a:stretch>
                      <a:fillRect/>
                    </a:stretch>
                  </pic:blipFill>
                  <pic:spPr>
                    <a:xfrm>
                      <a:off x="0" y="0"/>
                      <a:ext cx="5693410" cy="1266190"/>
                    </a:xfrm>
                    <a:prstGeom prst="rect">
                      <a:avLst/>
                    </a:prstGeom>
                    <a:noFill/>
                    <a:ln w="9525">
                      <a:noFill/>
                    </a:ln>
                  </pic:spPr>
                </pic:pic>
              </a:graphicData>
            </a:graphic>
          </wp:inline>
        </w:drawing>
      </w:r>
    </w:p>
    <w:p w14:paraId="04C570D6">
      <w:pPr>
        <w:numPr>
          <w:ilvl w:val="0"/>
          <w:numId w:val="0"/>
        </w:numPr>
        <w:ind w:leftChars="0"/>
        <w:jc w:val="both"/>
      </w:pPr>
      <w:r>
        <w:drawing>
          <wp:inline distT="0" distB="0" distL="114300" distR="114300">
            <wp:extent cx="5690235" cy="4837430"/>
            <wp:effectExtent l="0" t="0" r="5715" b="127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20"/>
                    <a:stretch>
                      <a:fillRect/>
                    </a:stretch>
                  </pic:blipFill>
                  <pic:spPr>
                    <a:xfrm>
                      <a:off x="0" y="0"/>
                      <a:ext cx="5690235" cy="4837430"/>
                    </a:xfrm>
                    <a:prstGeom prst="rect">
                      <a:avLst/>
                    </a:prstGeom>
                    <a:noFill/>
                    <a:ln w="9525">
                      <a:noFill/>
                    </a:ln>
                  </pic:spPr>
                </pic:pic>
              </a:graphicData>
            </a:graphic>
          </wp:inline>
        </w:drawing>
      </w:r>
    </w:p>
    <w:p w14:paraId="493AD667">
      <w:pPr>
        <w:numPr>
          <w:ilvl w:val="0"/>
          <w:numId w:val="0"/>
        </w:numPr>
        <w:ind w:leftChars="0"/>
        <w:jc w:val="both"/>
        <w:rPr>
          <w:rFonts w:hint="eastAsia"/>
          <w:lang w:val="en-US" w:eastAsia="zh-CN"/>
        </w:rPr>
      </w:pPr>
      <w:r>
        <w:drawing>
          <wp:inline distT="0" distB="0" distL="114300" distR="114300">
            <wp:extent cx="5686425" cy="1208405"/>
            <wp:effectExtent l="0" t="0" r="9525" b="10795"/>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21"/>
                    <a:stretch>
                      <a:fillRect/>
                    </a:stretch>
                  </pic:blipFill>
                  <pic:spPr>
                    <a:xfrm>
                      <a:off x="0" y="0"/>
                      <a:ext cx="5686425" cy="1208405"/>
                    </a:xfrm>
                    <a:prstGeom prst="rect">
                      <a:avLst/>
                    </a:prstGeom>
                    <a:noFill/>
                    <a:ln w="9525">
                      <a:noFill/>
                    </a:ln>
                  </pic:spPr>
                </pic:pic>
              </a:graphicData>
            </a:graphic>
          </wp:inline>
        </w:drawing>
      </w:r>
    </w:p>
    <w:p w14:paraId="7420CFAB">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156FD2E4">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峨边彝族自治县社会保险事务中心</w:t>
      </w:r>
      <w:r>
        <w:rPr>
          <w:rFonts w:hint="eastAsia" w:ascii="方正小标宋简体" w:hAnsi="方正小标宋简体" w:eastAsia="方正小标宋简体" w:cs="方正小标宋简体"/>
          <w:b w:val="0"/>
          <w:bCs/>
          <w:sz w:val="52"/>
          <w:szCs w:val="52"/>
          <w:lang w:val="en-US" w:eastAsia="zh-CN"/>
        </w:rPr>
        <w:t>2025年部门预算情况说明</w:t>
      </w:r>
    </w:p>
    <w:p w14:paraId="33202349">
      <w:pPr>
        <w:numPr>
          <w:ilvl w:val="0"/>
          <w:numId w:val="0"/>
        </w:numPr>
        <w:jc w:val="center"/>
        <w:rPr>
          <w:rFonts w:hint="default"/>
          <w:b/>
          <w:bCs/>
          <w:sz w:val="52"/>
          <w:szCs w:val="52"/>
          <w:lang w:val="en-US" w:eastAsia="zh-CN"/>
        </w:rPr>
      </w:pPr>
    </w:p>
    <w:p w14:paraId="1C53B39D">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br w:type="page"/>
      </w:r>
    </w:p>
    <w:p w14:paraId="2AC89CF6">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1FD2C3C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eastAsia="zh-CN"/>
        </w:rPr>
        <w:t>峨边彝族自治县社会保险事务中心</w:t>
      </w:r>
      <w:r>
        <w:rPr>
          <w:rFonts w:hint="eastAsia" w:ascii="Times New Roman" w:hAnsi="Times New Roman" w:eastAsia="仿宋_GB2312" w:cs="仿宋_GB2312"/>
          <w:sz w:val="32"/>
          <w:szCs w:val="32"/>
          <w:lang w:val="en-US" w:eastAsia="zh-CN"/>
        </w:rPr>
        <w:t>所有收入和支出均纳入部门预算管理。收入包括：一般公共预算拨款收入；支出包括：社会保障和就业支出、卫生健康支出、住房保障支出。</w:t>
      </w:r>
    </w:p>
    <w:p w14:paraId="5465EEB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sz w:val="32"/>
          <w:szCs w:val="32"/>
          <w:lang w:eastAsia="zh-CN"/>
        </w:rPr>
        <w:t>峨边彝族自治县社会保险事务中心</w:t>
      </w: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424.5</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color w:val="auto"/>
          <w:kern w:val="0"/>
          <w:sz w:val="32"/>
          <w:szCs w:val="32"/>
        </w:rPr>
        <w:t>增加</w:t>
      </w:r>
      <w:r>
        <w:rPr>
          <w:rFonts w:hint="eastAsia" w:ascii="Times New Roman" w:hAnsi="Times New Roman" w:eastAsia="仿宋_GB2312" w:cs="仿宋_GB2312"/>
          <w:color w:val="auto"/>
          <w:kern w:val="0"/>
          <w:sz w:val="32"/>
          <w:szCs w:val="32"/>
          <w:lang w:val="en-US" w:eastAsia="zh-CN"/>
        </w:rPr>
        <w:t>116.34</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仿宋" w:hAnsi="仿宋" w:eastAsia="仿宋" w:cs="宋体"/>
          <w:color w:val="auto"/>
          <w:kern w:val="0"/>
          <w:sz w:val="32"/>
          <w:szCs w:val="32"/>
        </w:rPr>
        <w:t>人员经费预算</w:t>
      </w:r>
      <w:r>
        <w:rPr>
          <w:rFonts w:hint="eastAsia" w:ascii="仿宋" w:hAnsi="仿宋" w:cs="宋体"/>
          <w:color w:val="auto"/>
          <w:kern w:val="0"/>
          <w:sz w:val="32"/>
          <w:szCs w:val="32"/>
          <w:lang w:eastAsia="zh-CN"/>
        </w:rPr>
        <w:t>增加</w:t>
      </w:r>
      <w:r>
        <w:rPr>
          <w:rFonts w:hint="eastAsia" w:ascii="Times New Roman" w:hAnsi="Times New Roman" w:eastAsia="仿宋_GB2312" w:cs="仿宋_GB2312"/>
          <w:kern w:val="0"/>
          <w:sz w:val="32"/>
          <w:szCs w:val="32"/>
        </w:rPr>
        <w:t>。</w:t>
      </w:r>
    </w:p>
    <w:p w14:paraId="4DB3BCB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5C10BF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sz w:val="32"/>
          <w:szCs w:val="32"/>
          <w:lang w:eastAsia="zh-CN"/>
        </w:rPr>
        <w:t>峨边彝族自治县社会保险事务中心</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年收入预</w:t>
      </w:r>
      <w:r>
        <w:rPr>
          <w:rFonts w:hint="eastAsia" w:ascii="Times New Roman" w:hAnsi="Times New Roman" w:eastAsia="仿宋_GB2312" w:cs="仿宋_GB2312"/>
          <w:color w:val="auto"/>
          <w:kern w:val="0"/>
          <w:sz w:val="32"/>
          <w:szCs w:val="32"/>
        </w:rPr>
        <w:t>算</w:t>
      </w:r>
      <w:r>
        <w:rPr>
          <w:rFonts w:hint="eastAsia" w:ascii="Times New Roman" w:hAnsi="Times New Roman" w:eastAsia="仿宋_GB2312" w:cs="仿宋_GB2312"/>
          <w:color w:val="auto"/>
          <w:kern w:val="0"/>
          <w:sz w:val="32"/>
          <w:szCs w:val="32"/>
          <w:lang w:val="en-US" w:eastAsia="zh-CN"/>
        </w:rPr>
        <w:t>424.5</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424.5</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%；事业收入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7BBC04E8">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4F258E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峨边彝族自治县社会保险事务中心</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年支出</w:t>
      </w:r>
      <w:r>
        <w:rPr>
          <w:rFonts w:hint="eastAsia" w:ascii="Times New Roman" w:hAnsi="Times New Roman" w:eastAsia="仿宋_GB2312" w:cs="仿宋_GB2312"/>
          <w:color w:val="auto"/>
          <w:kern w:val="0"/>
          <w:sz w:val="32"/>
          <w:szCs w:val="32"/>
        </w:rPr>
        <w:t>预算</w:t>
      </w:r>
      <w:r>
        <w:rPr>
          <w:rFonts w:hint="eastAsia" w:ascii="Times New Roman" w:hAnsi="Times New Roman" w:eastAsia="仿宋_GB2312" w:cs="仿宋_GB2312"/>
          <w:color w:val="auto"/>
          <w:kern w:val="0"/>
          <w:sz w:val="32"/>
          <w:szCs w:val="32"/>
          <w:lang w:val="en-US" w:eastAsia="zh-CN"/>
        </w:rPr>
        <w:t>424.5</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424.5</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242759C8">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370611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sz w:val="32"/>
          <w:szCs w:val="32"/>
          <w:lang w:eastAsia="zh-CN"/>
        </w:rPr>
        <w:t>峨边彝族自治县社会保险事务中心</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424.5</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308.16</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lang w:val="en-US" w:eastAsia="zh-CN"/>
        </w:rPr>
        <w:t>116.34</w:t>
      </w:r>
      <w:r>
        <w:rPr>
          <w:rFonts w:hint="eastAsia" w:ascii="Times New Roman" w:hAnsi="Times New Roman" w:eastAsia="仿宋_GB2312" w:cs="仿宋_GB2312"/>
          <w:kern w:val="0"/>
          <w:sz w:val="32"/>
          <w:szCs w:val="32"/>
        </w:rPr>
        <w:t>万元，主要原因是</w:t>
      </w:r>
      <w:r>
        <w:rPr>
          <w:rFonts w:hint="eastAsia" w:ascii="仿宋" w:hAnsi="仿宋" w:eastAsia="仿宋" w:cs="宋体"/>
          <w:color w:val="auto"/>
          <w:kern w:val="0"/>
          <w:sz w:val="32"/>
          <w:szCs w:val="32"/>
        </w:rPr>
        <w:t>人员经费预算</w:t>
      </w:r>
      <w:r>
        <w:rPr>
          <w:rFonts w:hint="eastAsia" w:ascii="仿宋" w:hAnsi="仿宋" w:cs="宋体"/>
          <w:color w:val="auto"/>
          <w:kern w:val="0"/>
          <w:sz w:val="32"/>
          <w:szCs w:val="32"/>
          <w:lang w:eastAsia="zh-CN"/>
        </w:rPr>
        <w:t>增加</w:t>
      </w:r>
      <w:r>
        <w:rPr>
          <w:rFonts w:hint="eastAsia" w:ascii="Times New Roman" w:hAnsi="Times New Roman" w:eastAsia="仿宋_GB2312" w:cs="仿宋_GB2312"/>
          <w:kern w:val="0"/>
          <w:sz w:val="32"/>
          <w:szCs w:val="32"/>
          <w:lang w:val="en-US" w:eastAsia="zh-CN"/>
        </w:rPr>
        <w:t>。</w:t>
      </w:r>
    </w:p>
    <w:p w14:paraId="3958EC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kern w:val="0"/>
          <w:sz w:val="32"/>
          <w:szCs w:val="32"/>
        </w:rPr>
        <w:t>收入包括：本年一般公共预算拨款收</w:t>
      </w:r>
      <w:r>
        <w:rPr>
          <w:rFonts w:hint="eastAsia" w:ascii="Times New Roman" w:hAnsi="Times New Roman" w:eastAsia="仿宋_GB2312" w:cs="仿宋_GB2312"/>
          <w:color w:val="auto"/>
          <w:kern w:val="0"/>
          <w:sz w:val="32"/>
          <w:szCs w:val="32"/>
        </w:rPr>
        <w:t>入</w:t>
      </w:r>
      <w:r>
        <w:rPr>
          <w:rFonts w:hint="eastAsia" w:ascii="Times New Roman" w:hAnsi="Times New Roman" w:eastAsia="仿宋_GB2312" w:cs="仿宋_GB2312"/>
          <w:color w:val="auto"/>
          <w:kern w:val="0"/>
          <w:sz w:val="32"/>
          <w:szCs w:val="32"/>
          <w:lang w:val="en-US" w:eastAsia="zh-CN"/>
        </w:rPr>
        <w:t>424.5</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380.98</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11.83</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31.69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23856041">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616F987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19DDB36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eastAsia="zh-CN"/>
        </w:rPr>
        <w:t>峨边彝族自治县社会保险事务中心</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年一般公共预算当年拨</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424.5</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116.34</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r>
        <w:rPr>
          <w:rFonts w:hint="eastAsia" w:ascii="仿宋" w:hAnsi="仿宋" w:eastAsia="仿宋" w:cs="宋体"/>
          <w:color w:val="auto"/>
          <w:kern w:val="0"/>
          <w:sz w:val="32"/>
          <w:szCs w:val="32"/>
        </w:rPr>
        <w:t>人员经费预算</w:t>
      </w:r>
      <w:r>
        <w:rPr>
          <w:rFonts w:hint="eastAsia" w:ascii="仿宋" w:hAnsi="仿宋" w:cs="宋体"/>
          <w:color w:val="auto"/>
          <w:kern w:val="0"/>
          <w:sz w:val="32"/>
          <w:szCs w:val="32"/>
          <w:lang w:eastAsia="zh-CN"/>
        </w:rPr>
        <w:t>增加</w:t>
      </w:r>
      <w:r>
        <w:rPr>
          <w:rFonts w:hint="eastAsia" w:ascii="Times New Roman" w:hAnsi="Times New Roman" w:eastAsia="仿宋_GB2312" w:cs="仿宋_GB2312"/>
          <w:color w:val="000000"/>
          <w:kern w:val="0"/>
          <w:sz w:val="32"/>
          <w:szCs w:val="32"/>
        </w:rPr>
        <w:t>。</w:t>
      </w:r>
    </w:p>
    <w:p w14:paraId="58C95674">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3FCB4C1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一般公共服务支</w:t>
      </w:r>
      <w:r>
        <w:rPr>
          <w:rFonts w:hint="eastAsia" w:ascii="Times New Roman" w:hAnsi="Times New Roman" w:eastAsia="仿宋_GB2312" w:cs="仿宋_GB2312"/>
          <w:color w:val="auto"/>
          <w:kern w:val="0"/>
          <w:sz w:val="32"/>
          <w:szCs w:val="32"/>
        </w:rPr>
        <w:t>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auto"/>
          <w:kern w:val="0"/>
          <w:sz w:val="32"/>
          <w:szCs w:val="32"/>
          <w:lang w:val="en-US" w:eastAsia="zh-CN"/>
        </w:rPr>
        <w:t>380.98</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89.75</w:t>
      </w:r>
      <w:r>
        <w:rPr>
          <w:rFonts w:hint="eastAsia" w:ascii="Times New Roman" w:hAnsi="Times New Roman" w:eastAsia="仿宋_GB2312" w:cs="仿宋_GB2312"/>
          <w:color w:val="000000"/>
          <w:kern w:val="0"/>
          <w:sz w:val="32"/>
          <w:szCs w:val="32"/>
        </w:rPr>
        <w:t>%；医疗卫生与计划生育支出</w:t>
      </w:r>
      <w:r>
        <w:rPr>
          <w:rFonts w:hint="eastAsia" w:ascii="Times New Roman" w:hAnsi="Times New Roman" w:eastAsia="仿宋_GB2312" w:cs="仿宋_GB2312"/>
          <w:color w:val="auto"/>
          <w:kern w:val="0"/>
          <w:sz w:val="32"/>
          <w:szCs w:val="32"/>
          <w:lang w:val="en-US" w:eastAsia="zh-CN"/>
        </w:rPr>
        <w:t>11.83</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2.79</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auto"/>
          <w:kern w:val="0"/>
          <w:sz w:val="32"/>
          <w:szCs w:val="32"/>
          <w:lang w:val="en-US" w:eastAsia="zh-CN"/>
        </w:rPr>
        <w:t>31.69</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7.46</w:t>
      </w:r>
      <w:r>
        <w:rPr>
          <w:rFonts w:hint="eastAsia" w:ascii="Times New Roman" w:hAnsi="Times New Roman" w:eastAsia="仿宋_GB2312" w:cs="仿宋_GB2312"/>
          <w:color w:val="000000"/>
          <w:kern w:val="0"/>
          <w:sz w:val="32"/>
          <w:szCs w:val="32"/>
        </w:rPr>
        <w:t>%。</w:t>
      </w:r>
    </w:p>
    <w:p w14:paraId="58A34C44">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2735182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1.一般公共服务（类）</w:t>
      </w:r>
      <w:r>
        <w:rPr>
          <w:rFonts w:hint="eastAsia" w:ascii="华文仿宋" w:hAnsi="华文仿宋" w:eastAsia="华文仿宋" w:cs="华文仿宋"/>
          <w:color w:val="000000" w:themeColor="text1"/>
          <w:kern w:val="0"/>
          <w:sz w:val="30"/>
          <w:szCs w:val="30"/>
          <w14:textFill>
            <w14:solidFill>
              <w14:schemeClr w14:val="tx1"/>
            </w14:solidFill>
          </w14:textFill>
        </w:rPr>
        <w:t>人力资源和社会保障</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管理事务</w:t>
      </w:r>
      <w:r>
        <w:rPr>
          <w:rFonts w:hint="eastAsia" w:ascii="Times New Roman" w:hAnsi="Times New Roman" w:eastAsia="仿宋_GB2312" w:cs="仿宋_GB2312"/>
          <w:color w:val="000000"/>
          <w:kern w:val="0"/>
          <w:sz w:val="32"/>
          <w:szCs w:val="32"/>
        </w:rPr>
        <w:t>（款）</w:t>
      </w:r>
      <w:r>
        <w:rPr>
          <w:rFonts w:hint="eastAsia" w:ascii="华文仿宋" w:hAnsi="华文仿宋" w:eastAsia="华文仿宋" w:cs="华文仿宋"/>
          <w:color w:val="000000" w:themeColor="text1"/>
          <w:kern w:val="0"/>
          <w:sz w:val="30"/>
          <w:szCs w:val="30"/>
          <w14:textFill>
            <w14:solidFill>
              <w14:schemeClr w14:val="tx1"/>
            </w14:solidFill>
          </w14:textFill>
        </w:rPr>
        <w:t>社会保险经办机构</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320.36</w:t>
      </w:r>
      <w:r>
        <w:rPr>
          <w:rFonts w:hint="eastAsia" w:ascii="Times New Roman" w:hAnsi="Times New Roman" w:eastAsia="仿宋_GB2312" w:cs="仿宋_GB2312"/>
          <w:color w:val="000000"/>
          <w:kern w:val="0"/>
          <w:sz w:val="32"/>
          <w:szCs w:val="32"/>
        </w:rPr>
        <w:t>万元，主要用于：机关及参公管理事业单位正常运转的基本支出，包括基本工资、津贴补贴等人员经费以及办公费、印刷费、水电费等日常公用经费。</w:t>
      </w:r>
    </w:p>
    <w:p w14:paraId="465A621A">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w:t>
      </w:r>
      <w:r>
        <w:rPr>
          <w:rFonts w:hint="eastAsia" w:ascii="仿宋" w:hAnsi="仿宋" w:eastAsia="仿宋" w:cs="宋体"/>
          <w:color w:val="000000"/>
          <w:kern w:val="0"/>
          <w:sz w:val="32"/>
          <w:szCs w:val="32"/>
        </w:rPr>
        <w:t>社会保障和就业</w:t>
      </w:r>
      <w:r>
        <w:rPr>
          <w:rFonts w:hint="eastAsia" w:ascii="Times New Roman" w:hAnsi="Times New Roman" w:eastAsia="仿宋_GB2312" w:cs="仿宋_GB2312"/>
          <w:color w:val="000000"/>
          <w:kern w:val="0"/>
          <w:sz w:val="32"/>
          <w:szCs w:val="32"/>
        </w:rPr>
        <w:t>（类）</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行政事业单位养老支出</w:t>
      </w:r>
      <w:r>
        <w:rPr>
          <w:rFonts w:hint="eastAsia" w:ascii="Times New Roman" w:hAnsi="Times New Roman" w:eastAsia="仿宋_GB2312" w:cs="仿宋_GB2312"/>
          <w:color w:val="000000"/>
          <w:kern w:val="0"/>
          <w:sz w:val="32"/>
          <w:szCs w:val="32"/>
        </w:rPr>
        <w:t>（款）</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机关事业单位基本养老保险缴费</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39.11</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000000"/>
          <w:kern w:val="0"/>
          <w:sz w:val="32"/>
          <w:szCs w:val="32"/>
        </w:rPr>
        <w:t>实施养老保险制度后，部门按规定由单位缴纳的基本养老保险费支出</w:t>
      </w:r>
      <w:r>
        <w:rPr>
          <w:rFonts w:hint="eastAsia" w:ascii="Times New Roman" w:hAnsi="Times New Roman" w:eastAsia="仿宋_GB2312" w:cs="仿宋_GB2312"/>
          <w:color w:val="000000"/>
          <w:kern w:val="0"/>
          <w:sz w:val="32"/>
          <w:szCs w:val="32"/>
        </w:rPr>
        <w:t>。</w:t>
      </w:r>
    </w:p>
    <w:p w14:paraId="388CAB5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w:t>
      </w:r>
      <w:r>
        <w:rPr>
          <w:rFonts w:hint="eastAsia" w:ascii="仿宋" w:hAnsi="仿宋" w:eastAsia="仿宋" w:cs="宋体"/>
          <w:color w:val="000000"/>
          <w:kern w:val="0"/>
          <w:sz w:val="32"/>
          <w:szCs w:val="32"/>
        </w:rPr>
        <w:t>社会保障和就业</w:t>
      </w:r>
      <w:r>
        <w:rPr>
          <w:rFonts w:hint="eastAsia" w:ascii="Times New Roman" w:hAnsi="Times New Roman" w:eastAsia="仿宋_GB2312" w:cs="仿宋_GB2312"/>
          <w:color w:val="000000"/>
          <w:kern w:val="0"/>
          <w:sz w:val="32"/>
          <w:szCs w:val="32"/>
        </w:rPr>
        <w:t>（类）</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行政事业单位养老支出</w:t>
      </w:r>
      <w:r>
        <w:rPr>
          <w:rFonts w:hint="eastAsia" w:ascii="Times New Roman" w:hAnsi="Times New Roman" w:eastAsia="仿宋_GB2312" w:cs="仿宋_GB2312"/>
          <w:color w:val="000000"/>
          <w:kern w:val="0"/>
          <w:sz w:val="32"/>
          <w:szCs w:val="32"/>
        </w:rPr>
        <w:t>（款）</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机关事业单位职业年金缴费支出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auto"/>
          <w:kern w:val="0"/>
          <w:sz w:val="32"/>
          <w:szCs w:val="32"/>
          <w:lang w:val="en-US" w:eastAsia="zh-CN"/>
        </w:rPr>
        <w:t>19.55</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color w:val="000000"/>
          <w:kern w:val="0"/>
          <w:sz w:val="32"/>
          <w:szCs w:val="32"/>
        </w:rPr>
        <w:t>元，主要用于：</w:t>
      </w:r>
      <w:r>
        <w:rPr>
          <w:rFonts w:hint="eastAsia" w:ascii="仿宋" w:hAnsi="仿宋" w:eastAsia="仿宋" w:cs="宋体"/>
          <w:color w:val="000000"/>
          <w:kern w:val="0"/>
          <w:sz w:val="32"/>
          <w:szCs w:val="32"/>
        </w:rPr>
        <w:t>实施养老保险制度后，部门按规定由单位缴纳的职业年金支出</w:t>
      </w:r>
      <w:r>
        <w:rPr>
          <w:rFonts w:hint="eastAsia" w:ascii="Times New Roman" w:hAnsi="Times New Roman" w:eastAsia="仿宋_GB2312" w:cs="仿宋_GB2312"/>
          <w:color w:val="000000"/>
          <w:kern w:val="0"/>
          <w:sz w:val="32"/>
          <w:szCs w:val="32"/>
        </w:rPr>
        <w:t>。</w:t>
      </w:r>
    </w:p>
    <w:p w14:paraId="441145A2">
      <w:pPr>
        <w:numPr>
          <w:ilvl w:val="0"/>
          <w:numId w:val="0"/>
        </w:numPr>
        <w:spacing w:line="600" w:lineRule="exact"/>
        <w:ind w:firstLine="640" w:firstLineChars="200"/>
        <w:rPr>
          <w:rFonts w:hint="eastAsia" w:ascii="华文仿宋" w:hAnsi="华文仿宋" w:eastAsia="华文仿宋" w:cs="华文仿宋"/>
          <w:color w:val="000000" w:themeColor="text1"/>
          <w:kern w:val="0"/>
          <w:sz w:val="30"/>
          <w:szCs w:val="30"/>
          <w14:textFill>
            <w14:solidFill>
              <w14:schemeClr w14:val="tx1"/>
            </w14:solidFill>
          </w14:textFill>
        </w:rPr>
      </w:pPr>
      <w:r>
        <w:rPr>
          <w:rFonts w:hint="eastAsia" w:ascii="Times New Roman" w:hAnsi="Times New Roman" w:eastAsia="仿宋_GB2312" w:cs="仿宋_GB2312"/>
          <w:color w:val="000000"/>
          <w:kern w:val="0"/>
          <w:sz w:val="32"/>
          <w:szCs w:val="32"/>
        </w:rPr>
        <w:t>4.</w:t>
      </w:r>
      <w:r>
        <w:rPr>
          <w:rFonts w:hint="eastAsia" w:ascii="仿宋" w:hAnsi="仿宋" w:eastAsia="仿宋" w:cs="宋体"/>
          <w:color w:val="auto"/>
          <w:kern w:val="0"/>
          <w:sz w:val="32"/>
          <w:szCs w:val="32"/>
        </w:rPr>
        <w:t>一般公共服务</w:t>
      </w:r>
      <w:r>
        <w:rPr>
          <w:rFonts w:hint="eastAsia" w:ascii="Times New Roman" w:hAnsi="Times New Roman" w:eastAsia="仿宋_GB2312" w:cs="仿宋_GB2312"/>
          <w:color w:val="000000"/>
          <w:kern w:val="0"/>
          <w:sz w:val="32"/>
          <w:szCs w:val="32"/>
        </w:rPr>
        <w:t>（类）</w:t>
      </w:r>
      <w:r>
        <w:rPr>
          <w:rFonts w:hint="eastAsia" w:ascii="仿宋" w:hAnsi="仿宋" w:eastAsia="仿宋" w:cs="宋体"/>
          <w:color w:val="auto"/>
          <w:kern w:val="0"/>
          <w:sz w:val="32"/>
          <w:szCs w:val="32"/>
        </w:rPr>
        <w:t>其他社会保障和就业</w:t>
      </w:r>
      <w:r>
        <w:rPr>
          <w:rFonts w:hint="eastAsia" w:ascii="Times New Roman" w:hAnsi="Times New Roman" w:eastAsia="仿宋_GB2312" w:cs="仿宋_GB2312"/>
          <w:color w:val="000000"/>
          <w:kern w:val="0"/>
          <w:sz w:val="32"/>
          <w:szCs w:val="32"/>
        </w:rPr>
        <w:t>（款）</w:t>
      </w:r>
      <w:r>
        <w:rPr>
          <w:rFonts w:hint="eastAsia" w:ascii="华文仿宋" w:hAnsi="华文仿宋" w:eastAsia="华文仿宋" w:cs="华文仿宋"/>
          <w:color w:val="auto"/>
          <w:kern w:val="0"/>
          <w:sz w:val="30"/>
          <w:szCs w:val="30"/>
          <w:lang w:val="en-US" w:eastAsia="zh-CN"/>
        </w:rPr>
        <w:t>其他社会保障和就业支出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auto"/>
          <w:kern w:val="0"/>
          <w:sz w:val="32"/>
          <w:szCs w:val="32"/>
          <w:lang w:val="en-US" w:eastAsia="zh-CN"/>
        </w:rPr>
        <w:t>1.96</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color w:val="000000"/>
          <w:kern w:val="0"/>
          <w:sz w:val="32"/>
          <w:szCs w:val="32"/>
        </w:rPr>
        <w:t>元，主要用于：</w:t>
      </w:r>
      <w:r>
        <w:rPr>
          <w:rFonts w:hint="eastAsia" w:ascii="华文仿宋" w:hAnsi="华文仿宋" w:eastAsia="华文仿宋" w:cs="华文仿宋"/>
          <w:color w:val="000000" w:themeColor="text1"/>
          <w:kern w:val="0"/>
          <w:sz w:val="30"/>
          <w:szCs w:val="30"/>
          <w14:textFill>
            <w14:solidFill>
              <w14:schemeClr w14:val="tx1"/>
            </w14:solidFill>
          </w14:textFill>
        </w:rPr>
        <w:t>开展其他财政事务方面专门性工作任务的项目支出。</w:t>
      </w:r>
    </w:p>
    <w:p w14:paraId="1B77945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5.</w:t>
      </w:r>
      <w:r>
        <w:rPr>
          <w:rFonts w:hint="eastAsia" w:ascii="仿宋" w:hAnsi="仿宋" w:eastAsia="仿宋" w:cs="宋体"/>
          <w:color w:val="000000"/>
          <w:kern w:val="0"/>
          <w:sz w:val="32"/>
          <w:szCs w:val="32"/>
        </w:rPr>
        <w:t>医疗卫生与计划生育</w:t>
      </w:r>
      <w:r>
        <w:rPr>
          <w:rFonts w:hint="eastAsia" w:ascii="Times New Roman" w:hAnsi="Times New Roman" w:eastAsia="仿宋_GB2312" w:cs="仿宋_GB2312"/>
          <w:color w:val="000000"/>
          <w:kern w:val="0"/>
          <w:sz w:val="32"/>
          <w:szCs w:val="32"/>
        </w:rPr>
        <w:t>（类）</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行政事业单位医疗</w:t>
      </w:r>
      <w:r>
        <w:rPr>
          <w:rFonts w:hint="eastAsia" w:ascii="Times New Roman" w:hAnsi="Times New Roman" w:eastAsia="仿宋_GB2312" w:cs="仿宋_GB2312"/>
          <w:color w:val="000000"/>
          <w:kern w:val="0"/>
          <w:sz w:val="32"/>
          <w:szCs w:val="32"/>
        </w:rPr>
        <w:t>（款）</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行政单位医疗</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11.83</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000000"/>
          <w:kern w:val="0"/>
          <w:sz w:val="32"/>
          <w:szCs w:val="32"/>
        </w:rPr>
        <w:t>机关及参公管理事业单位基本医疗保险缴费支出。</w:t>
      </w:r>
    </w:p>
    <w:p w14:paraId="3DA3F1DD">
      <w:pPr>
        <w:numPr>
          <w:ilvl w:val="0"/>
          <w:numId w:val="0"/>
        </w:numPr>
        <w:spacing w:line="600" w:lineRule="exact"/>
        <w:ind w:firstLine="640" w:firstLineChars="200"/>
        <w:rPr>
          <w:rFonts w:hint="eastAsia" w:ascii="仿宋" w:hAnsi="仿宋" w:eastAsia="仿宋" w:cs="宋体"/>
          <w:color w:val="000000"/>
          <w:kern w:val="0"/>
          <w:sz w:val="32"/>
          <w:szCs w:val="32"/>
        </w:rPr>
      </w:pPr>
      <w:r>
        <w:rPr>
          <w:rFonts w:hint="eastAsia" w:ascii="Times New Roman" w:hAnsi="Times New Roman" w:eastAsia="仿宋_GB2312" w:cs="仿宋_GB2312"/>
          <w:color w:val="000000"/>
          <w:kern w:val="0"/>
          <w:sz w:val="32"/>
          <w:szCs w:val="32"/>
        </w:rPr>
        <w:t>6.</w:t>
      </w:r>
      <w:r>
        <w:rPr>
          <w:rFonts w:hint="eastAsia" w:ascii="仿宋" w:hAnsi="仿宋" w:eastAsia="仿宋" w:cs="宋体"/>
          <w:color w:val="000000"/>
          <w:kern w:val="0"/>
          <w:sz w:val="32"/>
          <w:szCs w:val="32"/>
        </w:rPr>
        <w:t>住房保障</w:t>
      </w:r>
      <w:r>
        <w:rPr>
          <w:rFonts w:hint="eastAsia" w:ascii="Times New Roman" w:hAnsi="Times New Roman" w:eastAsia="仿宋_GB2312" w:cs="仿宋_GB2312"/>
          <w:color w:val="000000"/>
          <w:kern w:val="0"/>
          <w:sz w:val="32"/>
          <w:szCs w:val="32"/>
        </w:rPr>
        <w:t>（类）</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住房改革支出</w:t>
      </w:r>
      <w:r>
        <w:rPr>
          <w:rFonts w:hint="eastAsia" w:ascii="Times New Roman" w:hAnsi="Times New Roman" w:eastAsia="仿宋_GB2312" w:cs="仿宋_GB2312"/>
          <w:color w:val="000000"/>
          <w:kern w:val="0"/>
          <w:sz w:val="32"/>
          <w:szCs w:val="32"/>
        </w:rPr>
        <w:t>（款）</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住房公积金</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31.69</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000000"/>
          <w:kern w:val="0"/>
          <w:sz w:val="32"/>
          <w:szCs w:val="32"/>
        </w:rPr>
        <w:t>部门按人力资源和社会保障部、财政部规定的基本工资和津贴补贴以及规定比例为职工缴纳的住房公积金支出。</w:t>
      </w:r>
    </w:p>
    <w:p w14:paraId="3D8C9949">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45D143E">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eastAsia="zh-CN"/>
        </w:rPr>
        <w:t>峨边彝族自治县社会保险事务中心</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424.5</w:t>
      </w:r>
      <w:r>
        <w:rPr>
          <w:rFonts w:hint="eastAsia" w:ascii="Times New Roman" w:hAnsi="Times New Roman" w:eastAsia="仿宋_GB2312" w:cs="仿宋_GB2312"/>
          <w:color w:val="000000"/>
          <w:kern w:val="0"/>
          <w:sz w:val="32"/>
          <w:szCs w:val="32"/>
        </w:rPr>
        <w:t>万元，其中：</w:t>
      </w:r>
    </w:p>
    <w:p w14:paraId="202D40FE">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361.52</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基本工资、津贴补贴、奖金、社会保险缴费、绩效工资、机关事业单位基本养老保险缴费、职业年金缴费、其他工资福利支出、</w:t>
      </w:r>
      <w:r>
        <w:rPr>
          <w:rFonts w:hint="eastAsia" w:ascii="Times New Roman" w:hAnsi="Times New Roman" w:eastAsia="仿宋_GB2312" w:cs="仿宋_GB2312"/>
          <w:color w:val="auto"/>
          <w:kern w:val="0"/>
          <w:sz w:val="32"/>
          <w:szCs w:val="32"/>
          <w:lang w:eastAsia="zh-CN"/>
        </w:rPr>
        <w:t>工伤保险、</w:t>
      </w:r>
      <w:r>
        <w:rPr>
          <w:rFonts w:hint="eastAsia" w:ascii="Times New Roman" w:hAnsi="Times New Roman" w:eastAsia="仿宋_GB2312" w:cs="仿宋_GB2312"/>
          <w:color w:val="auto"/>
          <w:kern w:val="0"/>
          <w:sz w:val="32"/>
          <w:szCs w:val="32"/>
        </w:rPr>
        <w:t>住房公积金。</w:t>
      </w:r>
    </w:p>
    <w:p w14:paraId="626962F6">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62.98</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办公费、水费、电费、邮电费、差旅费、</w:t>
      </w:r>
      <w:r>
        <w:rPr>
          <w:rFonts w:hint="eastAsia" w:ascii="Times New Roman" w:hAnsi="Times New Roman" w:eastAsia="仿宋_GB2312" w:cs="仿宋_GB2312"/>
          <w:color w:val="auto"/>
          <w:kern w:val="0"/>
          <w:sz w:val="32"/>
          <w:szCs w:val="32"/>
          <w:lang w:eastAsia="zh-CN"/>
        </w:rPr>
        <w:t>公务接待费、</w:t>
      </w:r>
      <w:r>
        <w:rPr>
          <w:rFonts w:hint="eastAsia" w:ascii="Times New Roman" w:hAnsi="Times New Roman" w:eastAsia="仿宋_GB2312" w:cs="仿宋_GB2312"/>
          <w:color w:val="auto"/>
          <w:kern w:val="0"/>
          <w:sz w:val="32"/>
          <w:szCs w:val="32"/>
        </w:rPr>
        <w:t>劳务费、工会经费、福利费、其他交通费、其他商品和服务支出。</w:t>
      </w:r>
    </w:p>
    <w:p w14:paraId="7D136304">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4E2F14E4">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auto"/>
          <w:sz w:val="32"/>
          <w:szCs w:val="32"/>
          <w:lang w:eastAsia="zh-CN"/>
        </w:rPr>
        <w:t>峨边彝族自治县社会保险事务中心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35C92F78">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07AEF093">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sz w:val="32"/>
          <w:szCs w:val="32"/>
          <w:lang w:eastAsia="zh-CN"/>
        </w:rPr>
        <w:t>峨边彝族自治县社会保险事务中心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448D1F5B">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3FF50C5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eastAsia="zh-CN"/>
        </w:rPr>
        <w:t>峨边彝族自治县社会保险事务中心</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4135A7EB">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200E1C1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eastAsia="zh-CN"/>
        </w:rPr>
        <w:t>持平</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42CBE559">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auto"/>
          <w:kern w:val="0"/>
          <w:sz w:val="32"/>
          <w:szCs w:val="32"/>
          <w:lang w:eastAsia="zh-CN"/>
        </w:rPr>
        <w:t>上级部门</w:t>
      </w:r>
      <w:r>
        <w:rPr>
          <w:rFonts w:hint="eastAsia" w:ascii="Times New Roman" w:hAnsi="Times New Roman" w:eastAsia="仿宋_GB2312" w:cs="仿宋_GB2312"/>
          <w:color w:val="000000"/>
          <w:kern w:val="0"/>
          <w:sz w:val="32"/>
          <w:szCs w:val="32"/>
        </w:rPr>
        <w:t>调研指导工作和</w:t>
      </w:r>
      <w:r>
        <w:rPr>
          <w:rFonts w:hint="eastAsia" w:ascii="仿宋" w:hAnsi="仿宋" w:cs="宋体"/>
          <w:color w:val="auto"/>
          <w:kern w:val="0"/>
          <w:sz w:val="32"/>
          <w:szCs w:val="32"/>
          <w:highlight w:val="none"/>
          <w:lang w:eastAsia="zh-CN"/>
        </w:rPr>
        <w:t>各区县社保中心</w:t>
      </w:r>
      <w:r>
        <w:rPr>
          <w:rFonts w:hint="eastAsia" w:ascii="Times New Roman" w:hAnsi="Times New Roman" w:eastAsia="仿宋_GB2312" w:cs="仿宋_GB2312"/>
          <w:color w:val="000000"/>
          <w:kern w:val="0"/>
          <w:sz w:val="32"/>
          <w:szCs w:val="32"/>
        </w:rPr>
        <w:t>来我单位交流学习等。</w:t>
      </w:r>
    </w:p>
    <w:p w14:paraId="1A8D1C7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auto"/>
          <w:kern w:val="0"/>
          <w:sz w:val="32"/>
          <w:szCs w:val="32"/>
          <w:lang w:eastAsia="zh-CN"/>
        </w:rPr>
        <w:t>本单位无公务用车</w:t>
      </w:r>
      <w:r>
        <w:rPr>
          <w:rFonts w:hint="eastAsia" w:ascii="Times New Roman" w:hAnsi="Times New Roman" w:eastAsia="仿宋_GB2312" w:cs="仿宋_GB2312"/>
          <w:color w:val="000000"/>
          <w:kern w:val="0"/>
          <w:sz w:val="32"/>
          <w:szCs w:val="32"/>
        </w:rPr>
        <w:t>。</w:t>
      </w:r>
    </w:p>
    <w:p w14:paraId="6F1BE77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1FF6241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30677CC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6FDC935D">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25A4A21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AEECECE">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峨边彝族自治县社会保险事务中心</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62.98</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17.48</w:t>
      </w:r>
      <w:r>
        <w:rPr>
          <w:rFonts w:hint="eastAsia" w:ascii="Times New Roman" w:hAnsi="Times New Roman" w:eastAsia="仿宋_GB2312" w:cs="仿宋_GB2312"/>
          <w:color w:val="auto"/>
          <w:kern w:val="0"/>
          <w:sz w:val="32"/>
          <w:szCs w:val="32"/>
          <w:lang w:eastAsia="zh-CN"/>
        </w:rPr>
        <w:t>万元，主要原因是</w:t>
      </w:r>
      <w:r>
        <w:rPr>
          <w:rFonts w:hint="eastAsia" w:ascii="仿宋" w:hAnsi="仿宋" w:eastAsia="仿宋" w:cs="宋体"/>
          <w:color w:val="auto"/>
          <w:kern w:val="0"/>
          <w:sz w:val="32"/>
          <w:szCs w:val="32"/>
        </w:rPr>
        <w:t>人员经费预算</w:t>
      </w:r>
      <w:r>
        <w:rPr>
          <w:rFonts w:hint="eastAsia" w:ascii="仿宋" w:hAnsi="仿宋" w:cs="宋体"/>
          <w:color w:val="auto"/>
          <w:kern w:val="0"/>
          <w:sz w:val="32"/>
          <w:szCs w:val="32"/>
          <w:lang w:eastAsia="zh-CN"/>
        </w:rPr>
        <w:t>增加</w:t>
      </w:r>
      <w:r>
        <w:rPr>
          <w:rFonts w:hint="eastAsia" w:ascii="Times New Roman" w:hAnsi="Times New Roman" w:eastAsia="仿宋_GB2312" w:cs="仿宋_GB2312"/>
          <w:color w:val="000000"/>
          <w:sz w:val="32"/>
          <w:szCs w:val="32"/>
          <w:shd w:val="clear" w:color="auto" w:fill="FFFFFF"/>
        </w:rPr>
        <w:t>。</w:t>
      </w:r>
    </w:p>
    <w:p w14:paraId="35C47BE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071CB027">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eastAsia="zh-CN"/>
        </w:rPr>
        <w:t>峨边彝族自治县社会保险事务中心</w:t>
      </w:r>
      <w:r>
        <w:rPr>
          <w:rFonts w:hint="eastAsia" w:ascii="Times New Roman" w:hAnsi="Times New Roman" w:eastAsia="仿宋_GB2312" w:cs="仿宋_GB2312"/>
          <w:color w:val="000000"/>
          <w:kern w:val="0"/>
          <w:sz w:val="32"/>
          <w:szCs w:val="32"/>
          <w:lang w:eastAsia="zh-CN"/>
        </w:rPr>
        <w:t>2025年无政府采购项目，未安排政府采购预算。</w:t>
      </w:r>
    </w:p>
    <w:p w14:paraId="065FAE9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28DC4FEF">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000000"/>
          <w:kern w:val="0"/>
        </w:rPr>
        <w:t>截至2024年底，</w:t>
      </w:r>
      <w:r>
        <w:rPr>
          <w:rFonts w:hint="eastAsia" w:ascii="Times New Roman" w:hAnsi="Times New Roman" w:eastAsia="仿宋_GB2312" w:cs="仿宋_GB2312"/>
          <w:color w:val="auto"/>
          <w:sz w:val="32"/>
          <w:szCs w:val="32"/>
          <w:lang w:eastAsia="zh-CN"/>
        </w:rPr>
        <w:t>峨边彝族自治县社会保险事务中心</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辆，其中，县级领</w:t>
      </w:r>
      <w:r>
        <w:rPr>
          <w:rFonts w:hint="eastAsia" w:ascii="Times New Roman" w:hAnsi="Times New Roman" w:eastAsia="仿宋_GB2312" w:cs="仿宋_GB2312"/>
          <w:color w:val="auto"/>
          <w:kern w:val="0"/>
        </w:rPr>
        <w:t>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w:t>
      </w:r>
      <w:r>
        <w:rPr>
          <w:rFonts w:hint="eastAsia" w:ascii="Times New Roman" w:hAnsi="Times New Roman" w:eastAsia="仿宋_GB2312" w:cs="仿宋_GB2312"/>
          <w:color w:val="000000"/>
          <w:kern w:val="0"/>
        </w:rPr>
        <w:t>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3DCA24D9">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4EAC808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7C5CC47B">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color w:val="auto"/>
          <w:sz w:val="32"/>
          <w:szCs w:val="32"/>
          <w:lang w:eastAsia="zh-CN"/>
        </w:rPr>
        <w:t>峨边彝族自治县社会保险事务中心</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w:t>
      </w:r>
      <w:r>
        <w:rPr>
          <w:rFonts w:hint="eastAsia" w:ascii="Times New Roman" w:hAnsi="Times New Roman" w:eastAsia="仿宋_GB2312" w:cs="仿宋_GB2312"/>
          <w:color w:val="auto"/>
          <w:kern w:val="0"/>
          <w:sz w:val="32"/>
          <w:szCs w:val="32"/>
          <w:lang w:eastAsia="zh-CN"/>
        </w:rPr>
        <w:t>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w:t>
      </w:r>
      <w:r>
        <w:rPr>
          <w:rFonts w:hint="eastAsia" w:ascii="Times New Roman" w:hAnsi="Times New Roman" w:eastAsia="仿宋_GB2312" w:cs="仿宋_GB2312"/>
          <w:color w:val="000000"/>
          <w:kern w:val="0"/>
          <w:sz w:val="32"/>
          <w:szCs w:val="32"/>
          <w:lang w:eastAsia="zh-CN"/>
        </w:rPr>
        <w:t>元</w:t>
      </w:r>
      <w:r>
        <w:rPr>
          <w:rFonts w:hint="eastAsia" w:ascii="Times New Roman" w:hAnsi="Times New Roman" w:eastAsia="仿宋_GB2312" w:cs="仿宋_GB2312"/>
          <w:color w:val="000000"/>
          <w:kern w:val="0"/>
          <w:sz w:val="32"/>
          <w:szCs w:val="32"/>
        </w:rPr>
        <w:t>。</w:t>
      </w:r>
    </w:p>
    <w:p w14:paraId="70B49BD4">
      <w:pPr>
        <w:pStyle w:val="2"/>
        <w:numPr>
          <w:ilvl w:val="0"/>
          <w:numId w:val="0"/>
        </w:numPr>
        <w:bidi w:val="0"/>
        <w:jc w:val="both"/>
        <w:rPr>
          <w:rFonts w:hint="eastAsia"/>
          <w:lang w:val="en-US" w:eastAsia="zh-CN"/>
        </w:rPr>
      </w:pPr>
    </w:p>
    <w:p w14:paraId="1F625E3D">
      <w:pPr>
        <w:rPr>
          <w:rFonts w:hint="eastAsia"/>
          <w:lang w:val="en-US" w:eastAsia="zh-CN"/>
        </w:rPr>
      </w:pPr>
    </w:p>
    <w:p w14:paraId="5783A4AB">
      <w:pPr>
        <w:rPr>
          <w:rFonts w:hint="eastAsia"/>
          <w:lang w:val="en-US" w:eastAsia="zh-CN"/>
        </w:rPr>
      </w:pPr>
    </w:p>
    <w:p w14:paraId="11B5509D">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34774EE0">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10674A32">
      <w:pPr>
        <w:pStyle w:val="2"/>
        <w:numPr>
          <w:ilvl w:val="0"/>
          <w:numId w:val="0"/>
        </w:numPr>
        <w:bidi w:val="0"/>
        <w:jc w:val="center"/>
        <w:rPr>
          <w:rFonts w:hint="eastAsia"/>
          <w:lang w:val="en-US" w:eastAsia="zh-CN"/>
        </w:rPr>
      </w:pPr>
      <w:r>
        <w:rPr>
          <w:rFonts w:hint="eastAsia" w:ascii="方正小标宋简体" w:hAnsi="方正小标宋简体" w:eastAsia="方正小标宋简体" w:cs="方正小标宋简体"/>
          <w:b w:val="0"/>
          <w:bCs/>
          <w:lang w:val="en-US" w:eastAsia="zh-CN"/>
        </w:rPr>
        <w:br w:type="page"/>
      </w:r>
    </w:p>
    <w:p w14:paraId="6D1105A4">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09888AE4">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566E6C2A">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5C04ECA8">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5D7C1FF5">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2679E9B1">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52D5C630">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4CE21B62">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042E3E64">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1DE2EF54">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44F2AE17">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bookmarkStart w:id="1" w:name="_GoBack"/>
      <w:bookmarkEnd w:id="1"/>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1F333C36">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6D4B0A2B">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67C29FE2">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211644B0">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2FD4FF7E">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03D4439F">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6D30FEF">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9DB388F">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C3C395-13A7-44F0-A969-89F6A72BDF9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113CF9EE-CAE4-4E0E-B216-044378809E79}"/>
  </w:font>
  <w:font w:name="仿宋_GB2312">
    <w:panose1 w:val="02010609030101010101"/>
    <w:charset w:val="86"/>
    <w:family w:val="modern"/>
    <w:pitch w:val="default"/>
    <w:sig w:usb0="00000001" w:usb1="080E0000" w:usb2="00000000" w:usb3="00000000" w:csb0="00040000" w:csb1="00000000"/>
    <w:embedRegular r:id="rId3" w:fontKey="{ACA47CB0-4EAD-4247-B968-D94AC751E505}"/>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F4333B15-3DED-42F3-8FE9-B4FEB1286D0E}"/>
  </w:font>
  <w:font w:name="楷体">
    <w:panose1 w:val="02010609060101010101"/>
    <w:charset w:val="86"/>
    <w:family w:val="auto"/>
    <w:pitch w:val="default"/>
    <w:sig w:usb0="800002BF" w:usb1="38CF7CFA" w:usb2="00000016" w:usb3="00000000" w:csb0="00040001" w:csb1="00000000"/>
    <w:embedRegular r:id="rId5" w:fontKey="{6422AA92-49CB-4B28-BD3A-118DECD43419}"/>
  </w:font>
  <w:font w:name="楷体_GB2312">
    <w:panose1 w:val="02010609030101010101"/>
    <w:charset w:val="86"/>
    <w:family w:val="modern"/>
    <w:pitch w:val="default"/>
    <w:sig w:usb0="00000001" w:usb1="080E0000" w:usb2="00000000" w:usb3="00000000" w:csb0="00040000" w:csb1="00000000"/>
    <w:embedRegular r:id="rId6" w:fontKey="{9CCCFFBC-8A3E-4426-8156-7CA5E5840515}"/>
  </w:font>
  <w:font w:name="华文仿宋">
    <w:altName w:val="仿宋"/>
    <w:panose1 w:val="02010600040101010101"/>
    <w:charset w:val="86"/>
    <w:family w:val="auto"/>
    <w:pitch w:val="default"/>
    <w:sig w:usb0="00000000" w:usb1="00000000" w:usb2="00000000" w:usb3="00000000" w:csb0="0004009F" w:csb1="DFD70000"/>
    <w:embedRegular r:id="rId7" w:fontKey="{9BF082AB-45DA-48A9-AA8E-D1028A4624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A8EB1">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361BEA">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E361BEA">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330537"/>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AC57FA"/>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932A4"/>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9D3E5A"/>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6733E7"/>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0B7F2E"/>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3802F0"/>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2101D4"/>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19094E"/>
    <w:rsid w:val="522E33FF"/>
    <w:rsid w:val="523F3B40"/>
    <w:rsid w:val="529507CD"/>
    <w:rsid w:val="52FC0F41"/>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9C0C13"/>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1B2713"/>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2367AB"/>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4C5EE6"/>
    <w:rsid w:val="79FC224E"/>
    <w:rsid w:val="7A01796E"/>
    <w:rsid w:val="7A056E77"/>
    <w:rsid w:val="7A5173A9"/>
    <w:rsid w:val="7A5A076F"/>
    <w:rsid w:val="7B3C7DB9"/>
    <w:rsid w:val="7BC22FF4"/>
    <w:rsid w:val="7BFD4C52"/>
    <w:rsid w:val="7C622CA0"/>
    <w:rsid w:val="7C731091"/>
    <w:rsid w:val="7CA440B9"/>
    <w:rsid w:val="7E5054EF"/>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customStyle="1"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2484</Words>
  <Characters>2648</Characters>
  <Lines>1</Lines>
  <Paragraphs>1</Paragraphs>
  <TotalTime>7</TotalTime>
  <ScaleCrop>false</ScaleCrop>
  <LinksUpToDate>false</LinksUpToDate>
  <CharactersWithSpaces>2662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2025-05-19T02:31:36Z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C8AB905FD88B40ECBF622197E20E4462_13</vt:lpwstr>
  </property>
  <property fmtid="{D5CDD505-2E9C-101B-9397-08002B2CF9AE}" pid="4" name="KSOTemplateDocerSaveRecord">
    <vt:lpwstr>eyJoZGlkIjoiNzI2ZGI0OGUzMDAzMzk0YmE1OTYyMDVlZGMwMmYyODYiLCJ1c2VySWQiOiIzNjIzMDEzMzQifQ==</vt:lpwstr>
  </property>
</Properties>
</file>