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hint="eastAsia" w:ascii="仿宋_GB2312" w:hAnsi="宋体" w:eastAsia="仿宋_GB2312"/>
          <w:szCs w:val="32"/>
          <w:lang w:val="en-US" w:eastAsia="zh-CN"/>
        </w:rPr>
      </w:pPr>
      <w:r>
        <w:rPr>
          <w:rFonts w:hint="eastAsia" w:ascii="仿宋_GB2312" w:hAnsi="宋体"/>
          <w:szCs w:val="32"/>
          <w:lang w:val="zh-CN"/>
        </w:rPr>
        <w:t>附件</w:t>
      </w:r>
      <w:r>
        <w:rPr>
          <w:rFonts w:hint="eastAsia" w:ascii="仿宋_GB2312" w:hAnsi="宋体"/>
          <w:szCs w:val="32"/>
          <w:lang w:val="en-US" w:eastAsia="zh-CN"/>
        </w:rPr>
        <w:t>1</w:t>
      </w:r>
    </w:p>
    <w:p>
      <w:pPr>
        <w:spacing w:line="312" w:lineRule="auto"/>
        <w:jc w:val="center"/>
        <w:outlineLvl w:val="1"/>
        <w:rPr>
          <w:rFonts w:ascii="方正小标宋简体" w:hAnsi="Cambria" w:eastAsia="方正小标宋简体"/>
          <w:bCs/>
          <w:sz w:val="44"/>
          <w:szCs w:val="44"/>
        </w:rPr>
      </w:pPr>
      <w:r>
        <w:rPr>
          <w:rFonts w:hint="eastAsia" w:ascii="方正小标宋简体" w:hAnsi="Cambria" w:eastAsia="方正小标宋简体"/>
          <w:bCs/>
          <w:sz w:val="44"/>
          <w:szCs w:val="44"/>
          <w:lang w:eastAsia="zh-CN"/>
        </w:rPr>
        <w:t>峨边彝族自治县</w:t>
      </w:r>
      <w:r>
        <w:rPr>
          <w:rFonts w:hint="eastAsia" w:ascii="方正小标宋简体" w:eastAsia="方正小标宋简体"/>
          <w:sz w:val="44"/>
          <w:szCs w:val="44"/>
        </w:rPr>
        <w:t>部门（单位）整体支出绩效评价报告</w:t>
      </w:r>
    </w:p>
    <w:p>
      <w:pPr>
        <w:ind w:firstLine="640"/>
      </w:pPr>
    </w:p>
    <w:p>
      <w:pPr>
        <w:ind w:firstLine="640"/>
      </w:pPr>
    </w:p>
    <w:p>
      <w:pPr>
        <w:ind w:firstLine="640"/>
      </w:pPr>
    </w:p>
    <w:p>
      <w:pPr>
        <w:ind w:firstLine="640"/>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rPr>
          <w:rFonts w:hint="eastAsia"/>
        </w:rPr>
      </w:pPr>
    </w:p>
    <w:p>
      <w:pPr>
        <w:ind w:firstLine="640"/>
        <w:rPr>
          <w:rFonts w:hint="eastAsia"/>
        </w:rPr>
      </w:pPr>
    </w:p>
    <w:p>
      <w:pPr>
        <w:ind w:firstLine="640"/>
        <w:rPr>
          <w:rFonts w:hint="eastAsia"/>
          <w:u w:val="single"/>
          <w:lang w:val="en-US" w:eastAsia="zh-CN"/>
        </w:rPr>
      </w:pPr>
      <w:r>
        <w:rPr>
          <w:rFonts w:hint="eastAsia"/>
          <w:lang w:eastAsia="zh-CN"/>
        </w:rPr>
        <w:t>实施单位：</w:t>
      </w:r>
      <w:r>
        <w:rPr>
          <w:rFonts w:hint="eastAsia"/>
          <w:u w:val="single"/>
          <w:lang w:val="en-US" w:eastAsia="zh-CN"/>
        </w:rPr>
        <w:t xml:space="preserve">  峨边彝族自治县社会保险事务中心      </w:t>
      </w:r>
    </w:p>
    <w:p>
      <w:pPr>
        <w:ind w:firstLine="640"/>
        <w:rPr>
          <w:rFonts w:hint="default"/>
          <w:u w:val="single"/>
          <w:lang w:val="en-US" w:eastAsia="zh-CN"/>
        </w:rPr>
      </w:pPr>
    </w:p>
    <w:p>
      <w:pPr>
        <w:ind w:firstLine="640"/>
        <w:rPr>
          <w:rFonts w:hint="eastAsia"/>
          <w:u w:val="single"/>
          <w:lang w:val="en-US" w:eastAsia="zh-CN"/>
        </w:rPr>
      </w:pPr>
      <w:r>
        <w:rPr>
          <w:rFonts w:hint="eastAsia"/>
          <w:lang w:eastAsia="zh-CN"/>
        </w:rPr>
        <w:t>主管部门：</w:t>
      </w:r>
      <w:r>
        <w:rPr>
          <w:rFonts w:hint="eastAsia"/>
          <w:u w:val="single"/>
          <w:lang w:val="en-US" w:eastAsia="zh-CN"/>
        </w:rPr>
        <w:t>峨边彝族自治县社会保险事务中心（盖章）</w:t>
      </w:r>
    </w:p>
    <w:p>
      <w:pPr>
        <w:ind w:firstLine="640"/>
        <w:rPr>
          <w:rFonts w:hint="eastAsia"/>
          <w:u w:val="single"/>
          <w:lang w:val="en-US" w:eastAsia="zh-CN"/>
        </w:rPr>
      </w:pPr>
    </w:p>
    <w:p>
      <w:pPr>
        <w:rPr>
          <w:rFonts w:hint="default" w:eastAsia="仿宋_GB2312"/>
          <w:lang w:val="en-US" w:eastAsia="zh-CN"/>
        </w:rPr>
      </w:pPr>
      <w:r>
        <w:rPr>
          <w:rFonts w:hint="eastAsia"/>
          <w:lang w:val="en-US" w:eastAsia="zh-CN"/>
        </w:rPr>
        <w:t xml:space="preserve">    评价时间：</w:t>
      </w:r>
      <w:r>
        <w:rPr>
          <w:rFonts w:hint="eastAsia"/>
          <w:u w:val="single"/>
          <w:lang w:val="en-US" w:eastAsia="zh-CN"/>
        </w:rPr>
        <w:t xml:space="preserve">     2023  年  7  月  13  日           </w:t>
      </w:r>
    </w:p>
    <w:p/>
    <w:p/>
    <w:p/>
    <w:p/>
    <w:p/>
    <w:p/>
    <w:p>
      <w:pPr>
        <w:spacing w:line="580" w:lineRule="exact"/>
        <w:contextualSpacing/>
        <w:rPr>
          <w:rFonts w:hint="eastAsia" w:ascii="仿宋_GB2312" w:hAnsi="宋体"/>
          <w:szCs w:val="32"/>
          <w:lang w:val="zh-CN" w:eastAsia="zh-CN"/>
        </w:rPr>
      </w:pPr>
    </w:p>
    <w:p>
      <w:pPr>
        <w:keepNext w:val="0"/>
        <w:keepLines w:val="0"/>
        <w:pageBreakBefore w:val="0"/>
        <w:widowControl/>
        <w:kinsoku/>
        <w:wordWrap/>
        <w:overflowPunct/>
        <w:topLinePunct w:val="0"/>
        <w:autoSpaceDE/>
        <w:autoSpaceDN/>
        <w:bidi w:val="0"/>
        <w:adjustRightInd/>
        <w:snapToGrid/>
        <w:spacing w:line="580" w:lineRule="exact"/>
        <w:ind w:firstLine="0" w:firstLineChars="0"/>
        <w:contextualSpacing/>
        <w:jc w:val="center"/>
        <w:textAlignment w:val="auto"/>
        <w:rPr>
          <w:rFonts w:hint="default" w:ascii="宋体" w:hAnsi="宋体" w:eastAsia="宋体"/>
          <w:b/>
          <w:sz w:val="44"/>
          <w:szCs w:val="44"/>
          <w:shd w:val="clear" w:color="auto" w:fill="FFFFFF"/>
          <w:lang w:val="en-US" w:eastAsia="zh-CN"/>
        </w:rPr>
      </w:pPr>
      <w:r>
        <w:rPr>
          <w:rFonts w:hint="eastAsia" w:ascii="宋体" w:hAnsi="宋体" w:eastAsia="宋体"/>
          <w:b/>
          <w:sz w:val="44"/>
          <w:szCs w:val="44"/>
          <w:shd w:val="clear" w:color="auto" w:fill="FFFFFF"/>
          <w:lang w:eastAsia="zh-CN"/>
        </w:rPr>
        <w:t>峨边彝族自治县社会保险事务中心</w:t>
      </w:r>
    </w:p>
    <w:p>
      <w:pPr>
        <w:widowControl/>
        <w:spacing w:line="580" w:lineRule="exact"/>
        <w:contextualSpacing/>
        <w:jc w:val="center"/>
        <w:rPr>
          <w:rFonts w:ascii="宋体" w:hAnsi="宋体" w:eastAsia="宋体"/>
          <w:b/>
          <w:sz w:val="44"/>
          <w:szCs w:val="44"/>
          <w:shd w:val="clear" w:color="auto" w:fill="FFFFFF"/>
        </w:rPr>
      </w:pPr>
      <w:r>
        <w:rPr>
          <w:rFonts w:hint="eastAsia" w:ascii="宋体" w:hAnsi="宋体" w:eastAsia="宋体"/>
          <w:b/>
          <w:sz w:val="44"/>
          <w:szCs w:val="44"/>
          <w:shd w:val="clear" w:color="auto" w:fill="FFFFFF"/>
        </w:rPr>
        <w:t>20</w:t>
      </w:r>
      <w:r>
        <w:rPr>
          <w:rFonts w:hint="eastAsia" w:ascii="宋体" w:hAnsi="宋体" w:eastAsia="宋体"/>
          <w:b/>
          <w:sz w:val="44"/>
          <w:szCs w:val="44"/>
          <w:shd w:val="clear" w:color="auto" w:fill="FFFFFF"/>
          <w:lang w:val="en-US" w:eastAsia="zh-CN"/>
        </w:rPr>
        <w:t>22</w:t>
      </w:r>
      <w:r>
        <w:rPr>
          <w:rFonts w:hint="eastAsia" w:ascii="宋体" w:hAnsi="宋体" w:eastAsia="宋体"/>
          <w:b/>
          <w:sz w:val="44"/>
          <w:szCs w:val="44"/>
          <w:shd w:val="clear" w:color="auto" w:fill="FFFFFF"/>
        </w:rPr>
        <w:t>年度部门整体支出绩效评价</w:t>
      </w:r>
    </w:p>
    <w:p>
      <w:pPr>
        <w:widowControl/>
        <w:spacing w:line="580" w:lineRule="exact"/>
        <w:contextualSpacing/>
        <w:jc w:val="center"/>
        <w:rPr>
          <w:rFonts w:ascii="宋体" w:hAnsi="宋体" w:eastAsia="宋体"/>
          <w:b/>
          <w:sz w:val="44"/>
          <w:szCs w:val="44"/>
          <w:shd w:val="clear" w:color="auto" w:fill="FFFFFF"/>
        </w:rPr>
      </w:pPr>
      <w:r>
        <w:rPr>
          <w:rFonts w:hint="eastAsia" w:ascii="宋体" w:hAnsi="宋体" w:eastAsia="宋体"/>
          <w:b/>
          <w:sz w:val="44"/>
          <w:szCs w:val="44"/>
          <w:shd w:val="clear" w:color="auto" w:fill="FFFFFF"/>
        </w:rPr>
        <w:t>报告</w:t>
      </w:r>
    </w:p>
    <w:p>
      <w:pPr>
        <w:widowControl/>
        <w:adjustRightInd w:val="0"/>
        <w:snapToGrid w:val="0"/>
        <w:spacing w:line="580" w:lineRule="exact"/>
        <w:ind w:firstLine="480" w:firstLineChars="200"/>
        <w:contextualSpacing/>
        <w:jc w:val="left"/>
        <w:rPr>
          <w:rFonts w:ascii="黑体" w:hAnsi="宋体" w:eastAsia="黑体" w:cs="宋体"/>
          <w:color w:val="000000"/>
          <w:kern w:val="0"/>
          <w:sz w:val="24"/>
          <w:szCs w:val="32"/>
          <w:shd w:val="clear" w:color="auto" w:fill="FFFFFF"/>
        </w:rPr>
      </w:pP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lang w:val="zh-CN"/>
        </w:rPr>
      </w:pPr>
      <w:r>
        <w:rPr>
          <w:rFonts w:hint="eastAsia" w:ascii="黑体" w:hAnsi="宋体" w:eastAsia="黑体" w:cs="宋体"/>
          <w:color w:val="000000"/>
          <w:kern w:val="0"/>
          <w:szCs w:val="32"/>
          <w:shd w:val="clear" w:color="auto" w:fill="FFFFFF"/>
        </w:rPr>
        <w:t>一、</w:t>
      </w:r>
      <w:r>
        <w:rPr>
          <w:rFonts w:hint="eastAsia" w:ascii="黑体" w:hAnsi="宋体" w:eastAsia="黑体" w:cs="宋体"/>
          <w:color w:val="000000"/>
          <w:kern w:val="0"/>
          <w:szCs w:val="32"/>
          <w:shd w:val="clear" w:color="auto" w:fill="FFFFFF"/>
          <w:lang w:val="zh-CN"/>
        </w:rPr>
        <w:t>部门（单位）概况</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15" w:beforeAutospacing="0" w:after="315" w:afterAutospacing="0" w:line="18" w:lineRule="atLeast"/>
        <w:ind w:left="0" w:right="0" w:firstLine="420"/>
        <w:jc w:val="both"/>
        <w:rPr>
          <w:rFonts w:hint="eastAsia" w:ascii="仿宋_GB2312" w:hAnsi="宋体" w:eastAsia="仿宋_GB2312" w:cs="宋体"/>
          <w:color w:val="000000"/>
          <w:kern w:val="0"/>
          <w:sz w:val="32"/>
          <w:szCs w:val="32"/>
          <w:shd w:val="clear" w:color="auto" w:fill="FFFFFF"/>
          <w:lang w:val="zh-CN" w:eastAsia="zh-CN" w:bidi="ar-SA"/>
        </w:rPr>
      </w:pPr>
      <w:r>
        <w:rPr>
          <w:rFonts w:hint="eastAsia" w:ascii="仿宋_GB2312" w:hAnsi="宋体" w:eastAsia="仿宋_GB2312" w:cs="宋体"/>
          <w:color w:val="000000"/>
          <w:kern w:val="0"/>
          <w:sz w:val="32"/>
          <w:szCs w:val="32"/>
          <w:shd w:val="clear" w:color="auto" w:fill="FFFFFF"/>
          <w:lang w:val="zh-CN" w:eastAsia="zh-CN" w:bidi="ar-SA"/>
        </w:rPr>
        <w:t>（一）机构组成。</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15" w:beforeAutospacing="0" w:after="315" w:afterAutospacing="0" w:line="18" w:lineRule="atLeast"/>
        <w:ind w:left="0" w:right="0" w:firstLine="420"/>
        <w:jc w:val="both"/>
        <w:rPr>
          <w:rFonts w:ascii="仿宋_GB2312" w:hAnsi="宋体" w:cs="宋体"/>
          <w:color w:val="000000"/>
          <w:kern w:val="0"/>
          <w:szCs w:val="32"/>
          <w:shd w:val="clear" w:color="auto" w:fill="FFFFFF"/>
          <w:lang w:val="zh-CN"/>
        </w:rPr>
      </w:pPr>
      <w:r>
        <w:rPr>
          <w:rFonts w:hint="eastAsia" w:ascii="仿宋_GB2312" w:hAnsi="宋体" w:cs="宋体"/>
          <w:color w:val="000000"/>
          <w:kern w:val="0"/>
          <w:sz w:val="32"/>
          <w:szCs w:val="32"/>
          <w:shd w:val="clear" w:color="auto" w:fill="FFFFFF"/>
          <w:lang w:val="en-US" w:eastAsia="zh-CN" w:bidi="ar-SA"/>
        </w:rPr>
        <w:t xml:space="preserve"> </w:t>
      </w:r>
      <w:r>
        <w:rPr>
          <w:rFonts w:hint="eastAsia" w:ascii="仿宋_GB2312" w:hAnsi="宋体" w:eastAsia="仿宋_GB2312" w:cs="宋体"/>
          <w:color w:val="000000"/>
          <w:kern w:val="0"/>
          <w:sz w:val="32"/>
          <w:szCs w:val="32"/>
          <w:shd w:val="clear" w:color="auto" w:fill="FFFFFF"/>
          <w:lang w:val="zh-CN" w:eastAsia="zh-CN" w:bidi="ar-SA"/>
        </w:rPr>
        <w:t>峨边县社保中心预算单位1个，其中：行政单位0个，参照公务员法管理事业单位1个。</w:t>
      </w:r>
    </w:p>
    <w:p>
      <w:pPr>
        <w:widowControl/>
        <w:adjustRightInd w:val="0"/>
        <w:snapToGrid w:val="0"/>
        <w:spacing w:line="580" w:lineRule="exact"/>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en-US" w:eastAsia="zh-CN"/>
        </w:rPr>
        <w:t xml:space="preserve">   </w:t>
      </w:r>
      <w:r>
        <w:rPr>
          <w:rFonts w:hint="eastAsia" w:ascii="仿宋_GB2312" w:hAnsi="宋体" w:cs="宋体"/>
          <w:color w:val="000000"/>
          <w:kern w:val="0"/>
          <w:szCs w:val="32"/>
          <w:shd w:val="clear" w:color="auto" w:fill="FFFFFF"/>
          <w:lang w:val="zh-CN"/>
        </w:rPr>
        <w:t>（二）机构职能</w:t>
      </w:r>
      <w:r>
        <w:rPr>
          <w:rFonts w:hint="eastAsia" w:ascii="仿宋_GB2312" w:hAnsi="宋体" w:cs="宋体"/>
          <w:color w:val="000000"/>
          <w:kern w:val="0"/>
          <w:szCs w:val="32"/>
          <w:shd w:val="clear" w:color="auto" w:fill="FFFFFF"/>
          <w:lang w:val="zh-CN" w:eastAsia="zh-CN"/>
        </w:rPr>
        <w:t>和</w:t>
      </w:r>
      <w:r>
        <w:rPr>
          <w:rFonts w:hint="eastAsia" w:ascii="仿宋_GB2312" w:hAnsi="宋体" w:cs="宋体"/>
          <w:color w:val="000000"/>
          <w:kern w:val="0"/>
          <w:szCs w:val="32"/>
          <w:shd w:val="clear" w:color="auto" w:fill="FFFFFF"/>
          <w:lang w:val="zh-CN"/>
        </w:rPr>
        <w:t>人员概况。</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负责全县社会保险经办服务工作。机关事业单位养老保险、机关事业单位职业年金、企业职工养老保险、城乡居民养老保险、工伤保险</w:t>
      </w:r>
      <w:r>
        <w:rPr>
          <w:rFonts w:hint="eastAsia" w:ascii="仿宋_GB2312" w:hAnsi="宋体" w:cs="宋体"/>
          <w:color w:val="000000"/>
          <w:kern w:val="0"/>
          <w:szCs w:val="32"/>
          <w:shd w:val="clear" w:color="auto" w:fill="FFFFFF"/>
          <w:lang w:val="zh-CN" w:eastAsia="zh-CN"/>
        </w:rPr>
        <w:t>、失业保险</w:t>
      </w:r>
      <w:r>
        <w:rPr>
          <w:rFonts w:hint="eastAsia" w:ascii="仿宋_GB2312" w:hAnsi="宋体" w:cs="宋体"/>
          <w:color w:val="000000"/>
          <w:kern w:val="0"/>
          <w:szCs w:val="32"/>
          <w:shd w:val="clear" w:color="auto" w:fill="FFFFFF"/>
          <w:lang w:val="zh-CN"/>
        </w:rPr>
        <w:t>的</w:t>
      </w:r>
      <w:r>
        <w:rPr>
          <w:rFonts w:hint="eastAsia" w:ascii="仿宋_GB2312" w:hAnsi="宋体" w:cs="宋体"/>
          <w:color w:val="000000" w:themeColor="text1"/>
          <w:kern w:val="0"/>
          <w:szCs w:val="32"/>
          <w:shd w:val="clear" w:color="auto" w:fill="FFFFFF"/>
          <w:lang w:val="zh-CN" w:eastAsia="zh-CN"/>
          <w14:textFill>
            <w14:solidFill>
              <w14:schemeClr w14:val="tx1"/>
            </w14:solidFill>
          </w14:textFill>
        </w:rPr>
        <w:t>扩面、基金</w:t>
      </w:r>
      <w:r>
        <w:rPr>
          <w:rFonts w:hint="eastAsia" w:ascii="仿宋_GB2312" w:hAnsi="宋体" w:cs="宋体"/>
          <w:color w:val="000000"/>
          <w:kern w:val="0"/>
          <w:szCs w:val="32"/>
          <w:shd w:val="clear" w:color="auto" w:fill="FFFFFF"/>
          <w:lang w:val="zh-CN"/>
        </w:rPr>
        <w:t>征缴工作；机关事业单位养老保险、企业职工养老保险、城乡居民养老保险、工伤保险待遇的发放工作；对全县参保单位参保、缴费情况稽核检查工作；对全县离退休人员的管理服务工作。</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eastAsia="zh-CN" w:bidi="ar-SA"/>
        </w:rPr>
        <w:t>峨边县社保中心总编制25名，其中：行政编制1名，工勤编制</w:t>
      </w:r>
      <w:r>
        <w:rPr>
          <w:rFonts w:hint="eastAsia" w:ascii="仿宋_GB2312" w:hAnsi="宋体" w:cs="宋体"/>
          <w:color w:val="000000"/>
          <w:kern w:val="0"/>
          <w:sz w:val="32"/>
          <w:szCs w:val="32"/>
          <w:shd w:val="clear" w:color="auto" w:fill="FFFFFF"/>
          <w:lang w:val="en-US" w:eastAsia="zh-CN" w:bidi="ar-SA"/>
        </w:rPr>
        <w:t>4</w:t>
      </w:r>
      <w:r>
        <w:rPr>
          <w:rFonts w:hint="eastAsia" w:ascii="仿宋_GB2312" w:hAnsi="宋体" w:eastAsia="仿宋_GB2312" w:cs="宋体"/>
          <w:color w:val="000000"/>
          <w:kern w:val="0"/>
          <w:sz w:val="32"/>
          <w:szCs w:val="32"/>
          <w:shd w:val="clear" w:color="auto" w:fill="FFFFFF"/>
          <w:lang w:val="zh-CN" w:eastAsia="zh-CN" w:bidi="ar-SA"/>
        </w:rPr>
        <w:t>名，事业编制</w:t>
      </w:r>
      <w:r>
        <w:rPr>
          <w:rFonts w:hint="eastAsia" w:ascii="仿宋_GB2312" w:hAnsi="宋体" w:cs="宋体"/>
          <w:color w:val="000000"/>
          <w:kern w:val="0"/>
          <w:sz w:val="32"/>
          <w:szCs w:val="32"/>
          <w:shd w:val="clear" w:color="auto" w:fill="FFFFFF"/>
          <w:lang w:val="en-US" w:eastAsia="zh-CN" w:bidi="ar-SA"/>
        </w:rPr>
        <w:t>20</w:t>
      </w:r>
      <w:r>
        <w:rPr>
          <w:rFonts w:hint="eastAsia" w:ascii="仿宋_GB2312" w:hAnsi="宋体" w:eastAsia="仿宋_GB2312" w:cs="宋体"/>
          <w:color w:val="000000"/>
          <w:kern w:val="0"/>
          <w:sz w:val="32"/>
          <w:szCs w:val="32"/>
          <w:shd w:val="clear" w:color="auto" w:fill="FFFFFF"/>
          <w:lang w:val="zh-CN" w:eastAsia="zh-CN" w:bidi="ar-SA"/>
        </w:rPr>
        <w:t>名。在职人员总数2</w:t>
      </w:r>
      <w:r>
        <w:rPr>
          <w:rFonts w:hint="eastAsia" w:ascii="仿宋_GB2312" w:hAnsi="宋体" w:cs="宋体"/>
          <w:color w:val="000000"/>
          <w:kern w:val="0"/>
          <w:sz w:val="32"/>
          <w:szCs w:val="32"/>
          <w:shd w:val="clear" w:color="auto" w:fill="FFFFFF"/>
          <w:lang w:val="en-US" w:eastAsia="zh-CN" w:bidi="ar-SA"/>
        </w:rPr>
        <w:t>1</w:t>
      </w:r>
      <w:r>
        <w:rPr>
          <w:rFonts w:hint="eastAsia" w:ascii="仿宋_GB2312" w:hAnsi="宋体" w:eastAsia="仿宋_GB2312" w:cs="宋体"/>
          <w:color w:val="000000"/>
          <w:kern w:val="0"/>
          <w:sz w:val="32"/>
          <w:szCs w:val="32"/>
          <w:shd w:val="clear" w:color="auto" w:fill="FFFFFF"/>
          <w:lang w:val="zh-CN" w:eastAsia="zh-CN" w:bidi="ar-SA"/>
        </w:rPr>
        <w:t>名，其中：行政1名，工勤</w:t>
      </w:r>
      <w:r>
        <w:rPr>
          <w:rFonts w:hint="eastAsia" w:ascii="仿宋_GB2312" w:hAnsi="宋体" w:cs="宋体"/>
          <w:color w:val="000000"/>
          <w:kern w:val="0"/>
          <w:sz w:val="32"/>
          <w:szCs w:val="32"/>
          <w:shd w:val="clear" w:color="auto" w:fill="FFFFFF"/>
          <w:lang w:val="en-US" w:eastAsia="zh-CN" w:bidi="ar-SA"/>
        </w:rPr>
        <w:t>4</w:t>
      </w:r>
      <w:r>
        <w:rPr>
          <w:rFonts w:hint="eastAsia" w:ascii="仿宋_GB2312" w:hAnsi="宋体" w:eastAsia="仿宋_GB2312" w:cs="宋体"/>
          <w:color w:val="000000"/>
          <w:kern w:val="0"/>
          <w:sz w:val="32"/>
          <w:szCs w:val="32"/>
          <w:shd w:val="clear" w:color="auto" w:fill="FFFFFF"/>
          <w:lang w:val="zh-CN" w:eastAsia="zh-CN" w:bidi="ar-SA"/>
        </w:rPr>
        <w:t>名，事业1</w:t>
      </w:r>
      <w:r>
        <w:rPr>
          <w:rFonts w:hint="eastAsia" w:ascii="仿宋_GB2312" w:hAnsi="宋体" w:cs="宋体"/>
          <w:color w:val="000000"/>
          <w:kern w:val="0"/>
          <w:sz w:val="32"/>
          <w:szCs w:val="32"/>
          <w:shd w:val="clear" w:color="auto" w:fill="FFFFFF"/>
          <w:lang w:val="en-US" w:eastAsia="zh-CN" w:bidi="ar-SA"/>
        </w:rPr>
        <w:t>6</w:t>
      </w:r>
      <w:r>
        <w:rPr>
          <w:rFonts w:hint="eastAsia" w:ascii="仿宋_GB2312" w:hAnsi="宋体" w:eastAsia="仿宋_GB2312" w:cs="宋体"/>
          <w:color w:val="000000"/>
          <w:kern w:val="0"/>
          <w:sz w:val="32"/>
          <w:szCs w:val="32"/>
          <w:shd w:val="clear" w:color="auto" w:fill="FFFFFF"/>
          <w:lang w:val="zh-CN" w:eastAsia="zh-CN" w:bidi="ar-SA"/>
        </w:rPr>
        <w:t>名。离休0名。</w:t>
      </w:r>
    </w:p>
    <w:p>
      <w:pPr>
        <w:widowControl/>
        <w:numPr>
          <w:ilvl w:val="0"/>
          <w:numId w:val="1"/>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年度主要工作任务。</w:t>
      </w:r>
    </w:p>
    <w:p>
      <w:pPr>
        <w:widowControl/>
        <w:numPr>
          <w:ilvl w:val="0"/>
          <w:numId w:val="0"/>
        </w:numPr>
        <w:adjustRightInd w:val="0"/>
        <w:snapToGrid w:val="0"/>
        <w:spacing w:line="580" w:lineRule="exact"/>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1、进一步推动参保扩面，合理引导灵活就业农民工按规定参加城镇职工养老保险；确保城乡居民基本养老保险适龄参保人员应保尽保。</w:t>
      </w:r>
    </w:p>
    <w:p>
      <w:pPr>
        <w:widowControl/>
        <w:numPr>
          <w:ilvl w:val="0"/>
          <w:numId w:val="0"/>
        </w:numPr>
        <w:adjustRightInd w:val="0"/>
        <w:snapToGrid w:val="0"/>
        <w:spacing w:line="580" w:lineRule="exact"/>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2、完成为低保对象等困难群体代缴城乡居民基本养老保险费。</w:t>
      </w:r>
    </w:p>
    <w:p>
      <w:pPr>
        <w:widowControl/>
        <w:numPr>
          <w:ilvl w:val="0"/>
          <w:numId w:val="0"/>
        </w:numPr>
        <w:adjustRightInd w:val="0"/>
        <w:snapToGrid w:val="0"/>
        <w:spacing w:line="580" w:lineRule="exact"/>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3、提高养老待遇水平，按实足额向符合条件的人员发放养老金。</w:t>
      </w:r>
    </w:p>
    <w:p>
      <w:pPr>
        <w:widowControl/>
        <w:numPr>
          <w:ilvl w:val="0"/>
          <w:numId w:val="0"/>
        </w:numPr>
        <w:adjustRightInd w:val="0"/>
        <w:snapToGrid w:val="0"/>
        <w:spacing w:line="580" w:lineRule="exact"/>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4、加强基金风险防范，确保基金安全运行。落实基金管理存在问题整改，加强稽核内控制度建设，扎实开展生存信息比对工作。</w:t>
      </w:r>
    </w:p>
    <w:p>
      <w:pPr>
        <w:widowControl/>
        <w:numPr>
          <w:ilvl w:val="0"/>
          <w:numId w:val="1"/>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部门整体支出绩效目标。</w:t>
      </w:r>
    </w:p>
    <w:p>
      <w:pPr>
        <w:widowControl/>
        <w:numPr>
          <w:ilvl w:val="0"/>
          <w:numId w:val="0"/>
        </w:numPr>
        <w:adjustRightInd w:val="0"/>
        <w:snapToGrid w:val="0"/>
        <w:spacing w:line="580" w:lineRule="exact"/>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在收支预算内完成整体绩效总目标。部门预算及专项经费按实按量严格按程序支出，保证部门顺利开展。我中心严格按照财务管理支付的规定，合规使用，专款专用，按规定的范围和标准完成本单位正常工作、重点工作，本年度支出不超过预算收入。</w:t>
      </w:r>
    </w:p>
    <w:p>
      <w:pPr>
        <w:widowControl/>
        <w:adjustRightInd w:val="0"/>
        <w:snapToGrid w:val="0"/>
        <w:spacing w:line="580" w:lineRule="exact"/>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lang w:val="en-US" w:eastAsia="zh-CN"/>
        </w:rPr>
        <w:t xml:space="preserve">     </w:t>
      </w:r>
      <w:r>
        <w:rPr>
          <w:rFonts w:hint="eastAsia" w:ascii="黑体" w:hAnsi="宋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（一）部门财政资金收入情况。</w:t>
      </w:r>
    </w:p>
    <w:p>
      <w:pPr>
        <w:widowControl/>
        <w:adjustRightInd w:val="0"/>
        <w:snapToGrid w:val="0"/>
        <w:spacing w:line="580" w:lineRule="exact"/>
        <w:ind w:firstLine="640" w:firstLineChars="200"/>
        <w:contextualSpacing/>
        <w:jc w:val="left"/>
        <w:rPr>
          <w:rFonts w:hint="default" w:ascii="仿宋_GB2312" w:hAnsi="宋体" w:cs="宋体"/>
          <w:color w:val="000000"/>
          <w:kern w:val="0"/>
          <w:szCs w:val="32"/>
          <w:shd w:val="clear" w:color="auto" w:fill="FFFFFF"/>
          <w:lang w:val="en-US"/>
        </w:rPr>
      </w:pPr>
      <w:r>
        <w:rPr>
          <w:rFonts w:hint="eastAsia" w:ascii="仿宋_GB2312" w:hAnsi="宋体" w:cs="宋体"/>
          <w:color w:val="000000"/>
          <w:kern w:val="0"/>
          <w:szCs w:val="32"/>
          <w:shd w:val="clear" w:color="auto" w:fill="FFFFFF"/>
          <w:lang w:val="en-US" w:eastAsia="zh-CN"/>
        </w:rPr>
        <w:t>峨边彝族自治县社会保险事务中心2022年财政拨款预算收入</w:t>
      </w:r>
      <w:r>
        <w:rPr>
          <w:rFonts w:hint="eastAsia" w:ascii="仿宋_GB2312" w:hAnsi="宋体" w:cs="宋体"/>
          <w:color w:val="FF0000"/>
          <w:kern w:val="0"/>
          <w:szCs w:val="32"/>
          <w:shd w:val="clear" w:color="auto" w:fill="FFFFFF"/>
          <w:lang w:val="en-US" w:eastAsia="zh-CN"/>
        </w:rPr>
        <w:t>769.15</w:t>
      </w:r>
      <w:r>
        <w:rPr>
          <w:rFonts w:hint="eastAsia" w:ascii="仿宋_GB2312" w:hAnsi="宋体" w:cs="宋体"/>
          <w:color w:val="000000"/>
          <w:kern w:val="0"/>
          <w:szCs w:val="32"/>
          <w:shd w:val="clear" w:color="auto" w:fill="FFFFFF"/>
          <w:lang w:val="en-US" w:eastAsia="zh-CN"/>
        </w:rPr>
        <w:t>万元。</w:t>
      </w:r>
    </w:p>
    <w:p>
      <w:pPr>
        <w:widowControl/>
        <w:numPr>
          <w:ilvl w:val="0"/>
          <w:numId w:val="2"/>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部门财政资金支出情况。</w:t>
      </w:r>
    </w:p>
    <w:p>
      <w:pPr>
        <w:widowControl/>
        <w:adjustRightInd w:val="0"/>
        <w:snapToGrid w:val="0"/>
        <w:spacing w:line="580" w:lineRule="exact"/>
        <w:ind w:firstLine="640" w:firstLineChars="200"/>
        <w:contextualSpacing/>
        <w:jc w:val="left"/>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峨边彝族自治县社会保险事务中心2022年部门财政资金支出</w:t>
      </w:r>
      <w:r>
        <w:rPr>
          <w:rFonts w:hint="eastAsia" w:ascii="仿宋_GB2312" w:hAnsi="宋体" w:cs="宋体"/>
          <w:color w:val="FF0000"/>
          <w:kern w:val="0"/>
          <w:szCs w:val="32"/>
          <w:shd w:val="clear" w:color="auto" w:fill="FFFFFF"/>
          <w:lang w:val="en-US" w:eastAsia="zh-CN"/>
        </w:rPr>
        <w:t>769.15</w:t>
      </w:r>
      <w:r>
        <w:rPr>
          <w:rFonts w:hint="eastAsia" w:ascii="仿宋_GB2312" w:hAnsi="宋体" w:cs="宋体"/>
          <w:color w:val="000000"/>
          <w:kern w:val="0"/>
          <w:szCs w:val="32"/>
          <w:shd w:val="clear" w:color="auto" w:fill="FFFFFF"/>
          <w:lang w:val="en-US" w:eastAsia="zh-CN"/>
        </w:rPr>
        <w:t>万元。</w:t>
      </w:r>
      <w:r>
        <w:rPr>
          <w:rFonts w:hint="eastAsia" w:ascii="仿宋_GB2312" w:hAnsi="仿宋" w:eastAsia="仿宋_GB2312"/>
          <w:sz w:val="32"/>
          <w:szCs w:val="32"/>
          <w:lang w:val="en-US" w:eastAsia="zh-CN"/>
        </w:rPr>
        <w:t>其中基本支出</w:t>
      </w:r>
      <w:r>
        <w:rPr>
          <w:rFonts w:hint="eastAsia" w:ascii="仿宋_GB2312" w:hAnsi="仿宋"/>
          <w:sz w:val="32"/>
          <w:szCs w:val="32"/>
          <w:lang w:val="en-US" w:eastAsia="zh-CN"/>
        </w:rPr>
        <w:t>382.12</w:t>
      </w:r>
      <w:r>
        <w:rPr>
          <w:rFonts w:hint="eastAsia" w:ascii="仿宋_GB2312" w:hAnsi="仿宋" w:eastAsia="仿宋_GB2312"/>
          <w:sz w:val="32"/>
          <w:szCs w:val="32"/>
          <w:lang w:val="en-US" w:eastAsia="zh-CN"/>
        </w:rPr>
        <w:t>万元、项目支出</w:t>
      </w:r>
      <w:r>
        <w:rPr>
          <w:rFonts w:hint="eastAsia" w:ascii="仿宋_GB2312" w:hAnsi="仿宋"/>
          <w:sz w:val="32"/>
          <w:szCs w:val="32"/>
          <w:lang w:val="en-US" w:eastAsia="zh-CN"/>
        </w:rPr>
        <w:t>387.03</w:t>
      </w:r>
      <w:r>
        <w:rPr>
          <w:rFonts w:hint="eastAsia" w:ascii="仿宋_GB2312" w:hAnsi="仿宋" w:eastAsia="仿宋_GB2312"/>
          <w:sz w:val="32"/>
          <w:szCs w:val="32"/>
          <w:lang w:val="en-US" w:eastAsia="zh-CN"/>
        </w:rPr>
        <w:t>万元</w:t>
      </w:r>
      <w:r>
        <w:rPr>
          <w:rFonts w:hint="eastAsia" w:ascii="仿宋_GB2312" w:hAnsi="仿宋"/>
          <w:sz w:val="32"/>
          <w:szCs w:val="32"/>
          <w:lang w:val="en-US" w:eastAsia="zh-CN"/>
        </w:rPr>
        <w:t>.</w:t>
      </w:r>
    </w:p>
    <w:p>
      <w:pPr>
        <w:widowControl/>
        <w:numPr>
          <w:ilvl w:val="0"/>
          <w:numId w:val="2"/>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部门财政资金结转结余情况。</w:t>
      </w:r>
    </w:p>
    <w:p>
      <w:pPr>
        <w:pStyle w:val="8"/>
        <w:numPr>
          <w:ilvl w:val="0"/>
          <w:numId w:val="0"/>
        </w:numPr>
        <w:jc w:val="both"/>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w:t>
      </w:r>
      <w:r>
        <w:rPr>
          <w:rFonts w:hint="eastAsia" w:ascii="仿宋_GB2312" w:hAnsi="宋体" w:eastAsia="仿宋_GB2312" w:cs="宋体"/>
          <w:color w:val="000000"/>
          <w:kern w:val="0"/>
          <w:sz w:val="32"/>
          <w:szCs w:val="32"/>
          <w:shd w:val="clear" w:color="auto" w:fill="FFFFFF"/>
          <w:lang w:val="en-US" w:eastAsia="zh-CN" w:bidi="ar-SA"/>
        </w:rPr>
        <w:t>2022年度</w:t>
      </w:r>
      <w:r>
        <w:rPr>
          <w:rFonts w:hint="eastAsia" w:ascii="仿宋_GB2312" w:hAnsi="宋体" w:eastAsia="仿宋_GB2312" w:cs="宋体"/>
          <w:color w:val="000000"/>
          <w:kern w:val="0"/>
          <w:sz w:val="32"/>
          <w:szCs w:val="32"/>
          <w:shd w:val="clear" w:color="auto" w:fill="FFFFFF"/>
          <w:lang w:val="zh-CN" w:eastAsia="zh-CN" w:bidi="ar-SA"/>
        </w:rPr>
        <w:t>财政</w:t>
      </w:r>
      <w:r>
        <w:rPr>
          <w:rFonts w:hint="eastAsia" w:ascii="仿宋_GB2312" w:hAnsi="宋体" w:eastAsia="仿宋_GB2312" w:cs="宋体"/>
          <w:color w:val="000000"/>
          <w:kern w:val="0"/>
          <w:sz w:val="32"/>
          <w:szCs w:val="32"/>
          <w:shd w:val="clear" w:color="auto" w:fill="FFFFFF"/>
          <w:lang w:val="en-US" w:eastAsia="zh-CN" w:bidi="ar-SA"/>
        </w:rPr>
        <w:t>资金结转结余0元</w:t>
      </w:r>
      <w:r>
        <w:rPr>
          <w:rFonts w:hint="eastAsia" w:ascii="仿宋_GB2312" w:hAnsi="仿宋_GB2312" w:eastAsia="仿宋_GB2312" w:cs="仿宋_GB2312"/>
          <w:sz w:val="30"/>
          <w:szCs w:val="30"/>
          <w:lang w:val="en-US" w:eastAsia="zh-CN"/>
        </w:rPr>
        <w:t>。</w:t>
      </w:r>
    </w:p>
    <w:p>
      <w:pPr>
        <w:widowControl/>
        <w:adjustRightInd w:val="0"/>
        <w:snapToGrid w:val="0"/>
        <w:spacing w:line="580" w:lineRule="exact"/>
        <w:ind w:firstLine="640" w:firstLineChars="200"/>
        <w:contextualSpacing/>
        <w:jc w:val="left"/>
        <w:rPr>
          <w:rFonts w:hint="eastAsia" w:ascii="黑体" w:hAnsi="宋体" w:eastAsia="黑体" w:cs="宋体"/>
          <w:color w:val="000000"/>
          <w:kern w:val="0"/>
          <w:szCs w:val="32"/>
          <w:shd w:val="clear" w:color="auto" w:fill="FFFFFF"/>
          <w:lang w:eastAsia="zh-CN"/>
        </w:rPr>
      </w:pPr>
      <w:r>
        <w:rPr>
          <w:rFonts w:hint="eastAsia" w:ascii="黑体" w:hAnsi="宋体" w:eastAsia="黑体" w:cs="宋体"/>
          <w:color w:val="000000"/>
          <w:kern w:val="0"/>
          <w:szCs w:val="32"/>
          <w:shd w:val="clear" w:color="auto" w:fill="FFFFFF"/>
        </w:rPr>
        <w:t>三、部门整体绩效管理情况</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（一）部门整体履职绩效分析。</w:t>
      </w:r>
    </w:p>
    <w:p>
      <w:pPr>
        <w:widowControl/>
        <w:adjustRightInd w:val="0"/>
        <w:snapToGrid w:val="0"/>
        <w:spacing w:line="580" w:lineRule="exact"/>
        <w:ind w:firstLine="640" w:firstLineChars="200"/>
        <w:contextualSpacing/>
        <w:jc w:val="left"/>
        <w:rPr>
          <w:rFonts w:hint="eastAsia" w:ascii="仿宋_GB2312" w:hAnsi="宋体" w:cs="宋体"/>
          <w:color w:val="auto"/>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绩效目标完整、细化量化。部门绩效目标实际实现程度与预期目标的偏离较小，年初预算编制科学准确。单位财务核算做账及时</w:t>
      </w:r>
      <w:r>
        <w:rPr>
          <w:rFonts w:hint="eastAsia" w:ascii="仿宋_GB2312" w:hAnsi="宋体" w:cs="宋体"/>
          <w:color w:val="000000" w:themeColor="text1"/>
          <w:kern w:val="0"/>
          <w:szCs w:val="32"/>
          <w:shd w:val="clear" w:color="auto" w:fill="FFFFFF"/>
          <w:lang w:val="en-US" w:eastAsia="zh-CN"/>
          <w14:textFill>
            <w14:solidFill>
              <w14:schemeClr w14:val="tx1"/>
            </w14:solidFill>
          </w14:textFill>
        </w:rPr>
        <w:t>，科目使用准确，支出方向与预算吻合。严</w:t>
      </w:r>
      <w:r>
        <w:rPr>
          <w:rFonts w:hint="eastAsia" w:ascii="仿宋_GB2312" w:hAnsi="宋体" w:cs="宋体"/>
          <w:color w:val="000000"/>
          <w:kern w:val="0"/>
          <w:szCs w:val="32"/>
          <w:shd w:val="clear" w:color="auto" w:fill="FFFFFF"/>
          <w:lang w:val="en-US" w:eastAsia="zh-CN"/>
        </w:rPr>
        <w:t>格执行八项规定，三公经费使用，差旅费报销、津补贴发放符合相关规定。</w:t>
      </w:r>
      <w:r>
        <w:rPr>
          <w:rFonts w:hint="eastAsia" w:ascii="仿宋_GB2312" w:hAnsi="宋体" w:cs="宋体"/>
          <w:color w:val="auto"/>
          <w:kern w:val="0"/>
          <w:szCs w:val="32"/>
          <w:shd w:val="clear" w:color="auto" w:fill="FFFFFF"/>
          <w:lang w:val="en-US" w:eastAsia="zh-CN"/>
        </w:rPr>
        <w:t>项目绩效目标实际实现程度与预期目标的偏离较小，年初预算编制科学准确。单位财务核算做账及时</w:t>
      </w:r>
      <w:r>
        <w:rPr>
          <w:rFonts w:hint="eastAsia" w:ascii="仿宋_GB2312" w:hAnsi="宋体" w:cs="宋体"/>
          <w:color w:val="000000" w:themeColor="text1"/>
          <w:kern w:val="0"/>
          <w:szCs w:val="32"/>
          <w:shd w:val="clear" w:color="auto" w:fill="FFFFFF"/>
          <w:lang w:val="en-US" w:eastAsia="zh-CN"/>
          <w14:textFill>
            <w14:solidFill>
              <w14:schemeClr w14:val="tx1"/>
            </w14:solidFill>
          </w14:textFill>
        </w:rPr>
        <w:t>，科目使用准确，支出方向与预算吻合。</w:t>
      </w:r>
      <w:r>
        <w:rPr>
          <w:rFonts w:hint="eastAsia" w:ascii="仿宋_GB2312" w:hAnsi="宋体" w:cs="宋体"/>
          <w:color w:val="auto"/>
          <w:kern w:val="0"/>
          <w:szCs w:val="32"/>
          <w:shd w:val="clear" w:color="auto" w:fill="FFFFFF"/>
          <w:lang w:val="en-US" w:eastAsia="zh-CN"/>
        </w:rPr>
        <w:t>部门整体预算完成状况良好，按实、合规执行预算。</w:t>
      </w:r>
    </w:p>
    <w:p>
      <w:pPr>
        <w:widowControl/>
        <w:numPr>
          <w:ilvl w:val="0"/>
          <w:numId w:val="3"/>
        </w:numPr>
        <w:adjustRightInd w:val="0"/>
        <w:snapToGrid w:val="0"/>
        <w:spacing w:line="580" w:lineRule="exact"/>
        <w:ind w:leftChars="200"/>
        <w:contextualSpacing/>
        <w:jc w:val="left"/>
        <w:rPr>
          <w:rFonts w:hint="eastAsia" w:ascii="仿宋_GB2312" w:hAnsi="宋体" w:cs="宋体"/>
          <w:color w:val="auto"/>
          <w:kern w:val="0"/>
          <w:szCs w:val="32"/>
          <w:shd w:val="clear" w:color="auto" w:fill="FFFFFF"/>
          <w:lang w:val="en-US" w:eastAsia="zh-CN"/>
        </w:rPr>
      </w:pPr>
      <w:r>
        <w:rPr>
          <w:rFonts w:hint="eastAsia" w:ascii="仿宋_GB2312" w:hAnsi="宋体" w:cs="宋体"/>
          <w:color w:val="auto"/>
          <w:kern w:val="0"/>
          <w:szCs w:val="32"/>
          <w:shd w:val="clear" w:color="auto" w:fill="FFFFFF"/>
          <w:lang w:val="en-US" w:eastAsia="zh-CN"/>
        </w:rPr>
        <w:t>特定目标类项目绩效分析。</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1.整体情况</w:t>
      </w:r>
    </w:p>
    <w:p>
      <w:pPr>
        <w:widowControl/>
        <w:adjustRightInd w:val="0"/>
        <w:snapToGrid w:val="0"/>
        <w:spacing w:line="580" w:lineRule="exact"/>
        <w:ind w:firstLine="640" w:firstLineChars="200"/>
        <w:contextualSpacing/>
        <w:jc w:val="left"/>
        <w:rPr>
          <w:rFonts w:hint="eastAsia" w:ascii="仿宋_GB2312" w:hAnsi="宋体" w:eastAsia="仿宋_GB2312" w:cs="Times New Roman"/>
          <w:kern w:val="2"/>
          <w:sz w:val="32"/>
          <w:szCs w:val="24"/>
          <w:lang w:val="en-US" w:eastAsia="zh-CN" w:bidi="ar-SA"/>
        </w:rPr>
      </w:pPr>
      <w:r>
        <w:rPr>
          <w:rFonts w:hint="eastAsia" w:ascii="仿宋_GB2312" w:hAnsi="宋体" w:eastAsia="仿宋_GB2312" w:cs="Times New Roman"/>
          <w:kern w:val="2"/>
          <w:sz w:val="32"/>
          <w:szCs w:val="24"/>
          <w:lang w:val="en-US" w:eastAsia="zh-CN" w:bidi="ar-SA"/>
        </w:rPr>
        <w:t>2022年本单位实施的预算内项目有：职业年金贴息(按实) 29.78万元；财政对企业职工老保险差额补助（按实） 190万元；城乡居民养老保险政府代缴贫困人口（按实）</w:t>
      </w:r>
      <w:r>
        <w:rPr>
          <w:rFonts w:hint="eastAsia" w:ascii="仿宋_GB2312" w:hAnsi="宋体" w:cs="Times New Roman"/>
          <w:kern w:val="2"/>
          <w:sz w:val="32"/>
          <w:szCs w:val="24"/>
          <w:lang w:val="en-US" w:eastAsia="zh-CN" w:bidi="ar-SA"/>
        </w:rPr>
        <w:t>136.97</w:t>
      </w:r>
      <w:bookmarkStart w:id="0" w:name="_GoBack"/>
      <w:bookmarkEnd w:id="0"/>
      <w:r>
        <w:rPr>
          <w:rFonts w:hint="eastAsia" w:ascii="仿宋_GB2312" w:hAnsi="宋体" w:eastAsia="仿宋_GB2312" w:cs="Times New Roman"/>
          <w:kern w:val="2"/>
          <w:sz w:val="32"/>
          <w:szCs w:val="24"/>
          <w:lang w:val="en-US" w:eastAsia="zh-CN" w:bidi="ar-SA"/>
        </w:rPr>
        <w:t>万元；企业退休职工管理工作经费25.66万元；机关事业单位养老保险（试点）缺口资金补助（按实）4.62万元。</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themeColor="text1"/>
          <w:kern w:val="0"/>
          <w:szCs w:val="32"/>
          <w:shd w:val="clear" w:color="auto" w:fill="FFFFFF"/>
          <w:lang w:val="zh-CN"/>
          <w14:textFill>
            <w14:solidFill>
              <w14:schemeClr w14:val="tx1"/>
            </w14:solidFill>
          </w14:textFill>
        </w:rPr>
      </w:pPr>
      <w:r>
        <w:rPr>
          <w:rFonts w:hint="eastAsia" w:ascii="仿宋_GB2312" w:hAnsi="宋体" w:eastAsia="仿宋_GB2312" w:cs="宋体"/>
          <w:color w:val="000000" w:themeColor="text1"/>
          <w:kern w:val="0"/>
          <w:szCs w:val="32"/>
          <w:shd w:val="clear" w:color="auto" w:fill="FFFFFF"/>
          <w:lang w:val="zh-CN"/>
          <w14:textFill>
            <w14:solidFill>
              <w14:schemeClr w14:val="tx1"/>
            </w14:solidFill>
          </w14:textFill>
        </w:rPr>
        <w:t>2.100万以上项目：</w:t>
      </w:r>
    </w:p>
    <w:p>
      <w:pPr>
        <w:pStyle w:val="2"/>
        <w:rPr>
          <w:rFonts w:hint="eastAsia" w:ascii="仿宋_GB2312" w:hAnsi="宋体" w:cs="宋体"/>
          <w:color w:val="000000" w:themeColor="text1"/>
          <w:kern w:val="0"/>
          <w:szCs w:val="32"/>
          <w:shd w:val="clear" w:color="auto" w:fill="FFFFFF"/>
          <w:lang w:val="en-US" w:eastAsia="zh-CN"/>
          <w14:textFill>
            <w14:solidFill>
              <w14:schemeClr w14:val="tx1"/>
            </w14:solidFill>
          </w14:textFill>
        </w:rPr>
      </w:pPr>
      <w:r>
        <w:rPr>
          <w:rFonts w:hint="eastAsia" w:ascii="仿宋_GB2312" w:hAnsi="宋体" w:cs="宋体"/>
          <w:color w:val="000000" w:themeColor="text1"/>
          <w:kern w:val="0"/>
          <w:szCs w:val="32"/>
          <w:shd w:val="clear" w:color="auto" w:fill="FFFFFF"/>
          <w:lang w:val="zh-CN"/>
          <w14:textFill>
            <w14:solidFill>
              <w14:schemeClr w14:val="tx1"/>
            </w14:solidFill>
          </w14:textFill>
        </w:rPr>
        <w:t>项目一：</w:t>
      </w:r>
      <w:r>
        <w:rPr>
          <w:rFonts w:hint="eastAsia" w:ascii="仿宋_GB2312" w:hAnsi="宋体" w:cs="宋体"/>
          <w:color w:val="000000" w:themeColor="text1"/>
          <w:kern w:val="0"/>
          <w:szCs w:val="32"/>
          <w:shd w:val="clear" w:color="auto" w:fill="FFFFFF"/>
          <w:lang w:val="en-US" w:eastAsia="zh-CN"/>
          <w14:textFill>
            <w14:solidFill>
              <w14:schemeClr w14:val="tx1"/>
            </w14:solidFill>
          </w14:textFill>
        </w:rPr>
        <w:t>财政对企业职工老保险差额补助（按实） 190万元。为保障遗孀供养人员的基本生活、提升破产转制企业退休人员的生活水平，</w:t>
      </w:r>
      <w:r>
        <w:rPr>
          <w:rFonts w:hint="eastAsia" w:ascii="仿宋_GB2312" w:hAnsi="宋体"/>
          <w:lang w:val="en-US" w:eastAsia="zh-CN"/>
        </w:rPr>
        <w:t>对符合相关政策的特殊群体发放</w:t>
      </w:r>
      <w:r>
        <w:rPr>
          <w:rFonts w:hint="eastAsia" w:ascii="仿宋_GB2312" w:hAnsi="宋体" w:cs="宋体"/>
          <w:color w:val="000000" w:themeColor="text1"/>
          <w:kern w:val="0"/>
          <w:szCs w:val="32"/>
          <w:shd w:val="clear" w:color="auto" w:fill="FFFFFF"/>
          <w:lang w:val="en-US" w:eastAsia="zh-CN"/>
          <w14:textFill>
            <w14:solidFill>
              <w14:schemeClr w14:val="tx1"/>
            </w14:solidFill>
          </w14:textFill>
        </w:rPr>
        <w:t>差额补助，</w:t>
      </w:r>
      <w:r>
        <w:rPr>
          <w:rFonts w:hint="eastAsia" w:ascii="仿宋_GB2312" w:hAnsi="宋体"/>
          <w:lang w:val="zh-CN"/>
        </w:rPr>
        <w:t>由县级财政全额拨款</w:t>
      </w:r>
      <w:r>
        <w:rPr>
          <w:rFonts w:hint="eastAsia" w:ascii="仿宋_GB2312" w:hAnsi="宋体"/>
          <w:u w:val="none"/>
          <w:lang w:val="en-US" w:eastAsia="zh-CN"/>
        </w:rPr>
        <w:t>，每月20日前为一千余人</w:t>
      </w:r>
      <w:r>
        <w:rPr>
          <w:rFonts w:hint="eastAsia" w:ascii="仿宋_GB2312" w:hAnsi="宋体"/>
          <w:lang w:val="en-US" w:eastAsia="zh-CN"/>
        </w:rPr>
        <w:t>发放</w:t>
      </w:r>
      <w:r>
        <w:rPr>
          <w:rFonts w:hint="eastAsia" w:ascii="仿宋_GB2312" w:hAnsi="宋体" w:cs="宋体"/>
          <w:color w:val="000000" w:themeColor="text1"/>
          <w:kern w:val="0"/>
          <w:szCs w:val="32"/>
          <w:shd w:val="clear" w:color="auto" w:fill="FFFFFF"/>
          <w:lang w:val="en-US" w:eastAsia="zh-CN"/>
          <w14:textFill>
            <w14:solidFill>
              <w14:schemeClr w14:val="tx1"/>
            </w14:solidFill>
          </w14:textFill>
        </w:rPr>
        <w:t>差额补助</w:t>
      </w:r>
      <w:r>
        <w:rPr>
          <w:rFonts w:hint="eastAsia" w:ascii="仿宋_GB2312" w:hAnsi="宋体"/>
          <w:lang w:val="en-US" w:eastAsia="zh-CN"/>
        </w:rPr>
        <w:t>。</w:t>
      </w:r>
      <w:r>
        <w:rPr>
          <w:rFonts w:hint="eastAsia" w:ascii="楷体_GB2312" w:hAnsi="宋体" w:eastAsia="楷体_GB2312"/>
          <w:lang w:val="zh-CN"/>
        </w:rPr>
        <w:t>资金使用：</w:t>
      </w:r>
      <w:r>
        <w:rPr>
          <w:rFonts w:hint="eastAsia" w:ascii="仿宋_GB2312" w:hAnsi="宋体"/>
          <w:lang w:val="zh-CN"/>
        </w:rPr>
        <w:t>资金到位</w:t>
      </w:r>
      <w:r>
        <w:rPr>
          <w:rFonts w:hint="eastAsia" w:ascii="仿宋_GB2312" w:hAnsi="宋体"/>
          <w:lang w:val="en-US" w:eastAsia="zh-CN"/>
        </w:rPr>
        <w:t>190万元，</w:t>
      </w:r>
      <w:r>
        <w:rPr>
          <w:rFonts w:hint="eastAsia" w:ascii="仿宋_GB2312" w:hAnsi="宋体"/>
          <w:u w:val="none"/>
          <w:lang w:val="zh-CN" w:eastAsia="zh-CN"/>
        </w:rPr>
        <w:t>截止</w:t>
      </w:r>
      <w:r>
        <w:rPr>
          <w:rFonts w:hint="eastAsia" w:ascii="仿宋_GB2312" w:hAnsi="宋体"/>
          <w:u w:val="none"/>
          <w:lang w:val="en-US" w:eastAsia="zh-CN"/>
        </w:rPr>
        <w:t>2022年12月31日，</w:t>
      </w:r>
      <w:r>
        <w:rPr>
          <w:rFonts w:hint="eastAsia" w:ascii="仿宋_GB2312" w:hAnsi="宋体" w:cs="宋体"/>
          <w:color w:val="000000" w:themeColor="text1"/>
          <w:kern w:val="0"/>
          <w:szCs w:val="32"/>
          <w:shd w:val="clear" w:color="auto" w:fill="FFFFFF"/>
          <w:lang w:val="en-US" w:eastAsia="zh-CN"/>
          <w14:textFill>
            <w14:solidFill>
              <w14:schemeClr w14:val="tx1"/>
            </w14:solidFill>
          </w14:textFill>
        </w:rPr>
        <w:t>财政对企业职工老保险差额补助（按实）项目资金使用 190万元，</w:t>
      </w:r>
      <w:r>
        <w:rPr>
          <w:rFonts w:hint="eastAsia" w:ascii="仿宋_GB2312" w:hAnsi="宋体"/>
          <w:lang w:val="en-US" w:eastAsia="zh-CN"/>
        </w:rPr>
        <w:t>使用比例100%，</w:t>
      </w:r>
      <w:r>
        <w:rPr>
          <w:rFonts w:hint="eastAsia" w:ascii="仿宋_GB2312" w:hAnsi="宋体"/>
          <w:u w:val="none"/>
          <w:lang w:val="en-US" w:eastAsia="zh-CN"/>
        </w:rPr>
        <w:t>项目资金无结余，无违规使用情况。</w:t>
      </w:r>
    </w:p>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ascii="仿宋_GB2312" w:hAnsi="宋体" w:cs="宋体"/>
          <w:color w:val="auto"/>
          <w:kern w:val="0"/>
          <w:szCs w:val="32"/>
          <w:shd w:val="clear" w:color="auto" w:fill="FFFFFF"/>
          <w:lang w:val="en-US" w:eastAsia="zh-CN"/>
        </w:rPr>
      </w:pPr>
      <w:r>
        <w:rPr>
          <w:rFonts w:hint="eastAsia" w:ascii="仿宋_GB2312" w:hAnsi="宋体" w:cs="宋体"/>
          <w:color w:val="000000" w:themeColor="text1"/>
          <w:kern w:val="0"/>
          <w:szCs w:val="32"/>
          <w:shd w:val="clear" w:color="auto" w:fill="FFFFFF"/>
          <w:lang w:val="en-US" w:eastAsia="zh-CN"/>
          <w14:textFill>
            <w14:solidFill>
              <w14:schemeClr w14:val="tx1"/>
            </w14:solidFill>
          </w14:textFill>
        </w:rPr>
        <w:t xml:space="preserve">    项目二：城乡居民养老保险政府代缴贫困人口（按实）171.85万元。</w:t>
      </w:r>
      <w:r>
        <w:rPr>
          <w:rFonts w:hint="eastAsia" w:ascii="仿宋_GB2312" w:hAnsi="宋体"/>
          <w:lang w:val="en-US" w:eastAsia="zh-CN"/>
        </w:rPr>
        <w:t>为确保精准扶贫工作顺利开展，保障困难群众的生活水平，政府对符合相关政策的困难群众进行养老保险代缴，</w:t>
      </w:r>
      <w:r>
        <w:rPr>
          <w:rFonts w:hint="eastAsia" w:ascii="仿宋_GB2312" w:hAnsi="宋体"/>
          <w:lang w:val="zh-CN"/>
        </w:rPr>
        <w:t>由财政全额拨款。城乡居民养老保险预计代缴人数</w:t>
      </w:r>
      <w:r>
        <w:rPr>
          <w:rFonts w:hint="eastAsia" w:ascii="仿宋_GB2312" w:hAnsi="宋体"/>
          <w:lang w:val="en-US" w:eastAsia="zh-CN"/>
        </w:rPr>
        <w:t>17500人，</w:t>
      </w:r>
      <w:r>
        <w:rPr>
          <w:rFonts w:hint="eastAsia" w:ascii="仿宋_GB2312" w:hAnsi="宋体"/>
          <w:u w:val="none"/>
          <w:lang w:val="zh-CN" w:eastAsia="zh-CN"/>
        </w:rPr>
        <w:t>截止</w:t>
      </w:r>
      <w:r>
        <w:rPr>
          <w:rFonts w:hint="eastAsia" w:ascii="仿宋_GB2312" w:hAnsi="宋体"/>
          <w:u w:val="none"/>
          <w:lang w:val="en-US" w:eastAsia="zh-CN"/>
        </w:rPr>
        <w:t>2022年12月31日，</w:t>
      </w:r>
      <w:r>
        <w:rPr>
          <w:rFonts w:hint="eastAsia" w:ascii="仿宋_GB2312" w:hAnsi="宋体"/>
          <w:lang w:val="en-US" w:eastAsia="zh-CN"/>
        </w:rPr>
        <w:t>实际代缴</w:t>
      </w:r>
      <w:r>
        <w:rPr>
          <w:rFonts w:hint="eastAsia" w:ascii="仿宋_GB2312" w:hAnsi="宋体"/>
          <w:color w:val="auto"/>
          <w:lang w:val="en-US" w:eastAsia="zh-CN"/>
        </w:rPr>
        <w:t>17185</w:t>
      </w:r>
      <w:r>
        <w:rPr>
          <w:rFonts w:hint="eastAsia" w:ascii="仿宋_GB2312" w:hAnsi="宋体"/>
          <w:lang w:val="en-US" w:eastAsia="zh-CN"/>
        </w:rPr>
        <w:t>人。城乡居民养老保险代缴准确率100%；代缴群众满意度100%。</w:t>
      </w:r>
      <w:r>
        <w:rPr>
          <w:rFonts w:hint="eastAsia" w:ascii="楷体_GB2312" w:hAnsi="宋体" w:eastAsia="楷体_GB2312"/>
          <w:lang w:val="zh-CN"/>
        </w:rPr>
        <w:t>资金使用：</w:t>
      </w:r>
      <w:r>
        <w:rPr>
          <w:rFonts w:hint="eastAsia" w:ascii="仿宋_GB2312" w:hAnsi="宋体"/>
          <w:lang w:val="zh-CN"/>
        </w:rPr>
        <w:t>资金到位</w:t>
      </w:r>
      <w:r>
        <w:rPr>
          <w:rFonts w:hint="eastAsia" w:ascii="仿宋_GB2312" w:hAnsi="宋体"/>
          <w:lang w:val="en-US" w:eastAsia="zh-CN"/>
        </w:rPr>
        <w:t>171.85万元（上级资金88.81万元，县级资金83.04万元，</w:t>
      </w:r>
      <w:r>
        <w:rPr>
          <w:rFonts w:hint="eastAsia" w:ascii="仿宋_GB2312" w:hAnsi="宋体"/>
          <w:u w:val="none"/>
          <w:lang w:val="zh-CN" w:eastAsia="zh-CN"/>
        </w:rPr>
        <w:t>截止</w:t>
      </w:r>
      <w:r>
        <w:rPr>
          <w:rFonts w:hint="eastAsia" w:ascii="仿宋_GB2312" w:hAnsi="宋体"/>
          <w:u w:val="none"/>
          <w:lang w:val="en-US" w:eastAsia="zh-CN"/>
        </w:rPr>
        <w:t>2022年12月31日，城乡居民养老保险政府代缴贫困人口（按实）项目</w:t>
      </w:r>
      <w:r>
        <w:rPr>
          <w:rFonts w:hint="eastAsia" w:ascii="仿宋_GB2312" w:hAnsi="宋体"/>
          <w:color w:val="000000" w:themeColor="text1"/>
          <w:lang w:val="zh-CN"/>
          <w14:textFill>
            <w14:solidFill>
              <w14:schemeClr w14:val="tx1"/>
            </w14:solidFill>
          </w14:textFill>
        </w:rPr>
        <w:t>资金使用</w:t>
      </w:r>
      <w:r>
        <w:rPr>
          <w:rFonts w:hint="eastAsia" w:ascii="仿宋_GB2312" w:hAnsi="宋体"/>
          <w:color w:val="000000" w:themeColor="text1"/>
          <w:lang w:val="en-US" w:eastAsia="zh-CN"/>
          <w14:textFill>
            <w14:solidFill>
              <w14:schemeClr w14:val="tx1"/>
            </w14:solidFill>
          </w14:textFill>
        </w:rPr>
        <w:t>171.85</w:t>
      </w:r>
      <w:r>
        <w:rPr>
          <w:rFonts w:hint="eastAsia" w:ascii="仿宋_GB2312" w:hAnsi="宋体"/>
          <w:lang w:val="en-US" w:eastAsia="zh-CN"/>
        </w:rPr>
        <w:t>万元，使用比例100%，</w:t>
      </w:r>
      <w:r>
        <w:rPr>
          <w:rFonts w:hint="eastAsia" w:ascii="仿宋_GB2312" w:hAnsi="宋体"/>
          <w:u w:val="none"/>
          <w:lang w:val="en-US" w:eastAsia="zh-CN"/>
        </w:rPr>
        <w:t>项目资金无结余，无违规使用情况。</w:t>
      </w:r>
    </w:p>
    <w:p>
      <w:pPr>
        <w:widowControl/>
        <w:numPr>
          <w:ilvl w:val="0"/>
          <w:numId w:val="0"/>
        </w:numPr>
        <w:adjustRightInd w:val="0"/>
        <w:snapToGrid w:val="0"/>
        <w:spacing w:line="580" w:lineRule="exact"/>
        <w:ind w:firstLine="640"/>
        <w:contextualSpacing/>
        <w:jc w:val="left"/>
        <w:rPr>
          <w:rFonts w:hint="eastAsia" w:ascii="仿宋_GB2312" w:hAnsi="宋体" w:cs="宋体"/>
          <w:color w:val="auto"/>
          <w:kern w:val="0"/>
          <w:szCs w:val="32"/>
          <w:shd w:val="clear" w:color="auto" w:fill="FFFFFF"/>
          <w:lang w:val="en-US" w:eastAsia="zh-CN"/>
        </w:rPr>
      </w:pPr>
      <w:r>
        <w:rPr>
          <w:rFonts w:hint="eastAsia" w:ascii="仿宋_GB2312" w:hAnsi="宋体" w:cs="宋体"/>
          <w:color w:val="auto"/>
          <w:kern w:val="0"/>
          <w:szCs w:val="32"/>
          <w:shd w:val="clear" w:color="auto" w:fill="FFFFFF"/>
          <w:lang w:val="en-US" w:eastAsia="zh-CN"/>
        </w:rPr>
        <w:t>（三）结果应用情况。</w:t>
      </w:r>
    </w:p>
    <w:p>
      <w:pPr>
        <w:widowControl/>
        <w:numPr>
          <w:ilvl w:val="0"/>
          <w:numId w:val="0"/>
        </w:numPr>
        <w:adjustRightInd w:val="0"/>
        <w:snapToGrid w:val="0"/>
        <w:spacing w:line="580" w:lineRule="exact"/>
        <w:ind w:firstLine="640"/>
        <w:contextualSpacing/>
        <w:jc w:val="left"/>
        <w:rPr>
          <w:rFonts w:hint="eastAsia" w:ascii="仿宋_GB2312" w:hAnsi="宋体" w:cs="宋体"/>
          <w:color w:val="auto"/>
          <w:kern w:val="0"/>
          <w:szCs w:val="32"/>
          <w:shd w:val="clear" w:color="auto" w:fill="FFFFFF"/>
          <w:lang w:val="en-US" w:eastAsia="zh-CN"/>
        </w:rPr>
      </w:pPr>
      <w:r>
        <w:rPr>
          <w:rFonts w:hint="eastAsia" w:ascii="仿宋_GB2312" w:hAnsi="宋体" w:cs="宋体"/>
          <w:color w:val="auto"/>
          <w:kern w:val="0"/>
          <w:szCs w:val="32"/>
          <w:shd w:val="clear" w:color="auto" w:fill="FFFFFF"/>
          <w:lang w:val="en-US" w:eastAsia="zh-CN"/>
        </w:rPr>
        <w:t>绩效自评对全年工作目标起到积极的促进作用，为明年的工作开展及实施奠定坚实的基础，我中心高度重视部门自评结果，及时整理、汇总、分析、反馈绩效自评结果，并将其作为改进预算管理和以后年度预算安排的重要依据。</w:t>
      </w:r>
    </w:p>
    <w:p>
      <w:pPr>
        <w:widowControl/>
        <w:adjustRightInd w:val="0"/>
        <w:snapToGrid w:val="0"/>
        <w:spacing w:line="580" w:lineRule="exact"/>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lang w:val="en-US" w:eastAsia="zh-CN"/>
        </w:rPr>
        <w:t xml:space="preserve">    </w:t>
      </w:r>
      <w:r>
        <w:rPr>
          <w:rFonts w:hint="eastAsia" w:ascii="黑体" w:hAnsi="宋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（一）评价结论。根据《峨边彝族自治县财政局 关于开展20</w:t>
      </w:r>
      <w:r>
        <w:rPr>
          <w:rFonts w:hint="eastAsia" w:ascii="仿宋_GB2312" w:hAnsi="宋体" w:cs="宋体"/>
          <w:color w:val="000000"/>
          <w:kern w:val="0"/>
          <w:szCs w:val="32"/>
          <w:shd w:val="clear" w:color="auto" w:fill="FFFFFF"/>
          <w:lang w:val="en-US" w:eastAsia="zh-CN"/>
        </w:rPr>
        <w:t>22</w:t>
      </w:r>
      <w:r>
        <w:rPr>
          <w:rFonts w:hint="eastAsia" w:ascii="仿宋_GB2312" w:hAnsi="宋体" w:cs="宋体"/>
          <w:color w:val="000000"/>
          <w:kern w:val="0"/>
          <w:szCs w:val="32"/>
          <w:shd w:val="clear" w:color="auto" w:fill="FFFFFF"/>
          <w:lang w:val="zh-CN"/>
        </w:rPr>
        <w:t>年财政绩效评价工作的通知》文件精神，</w:t>
      </w:r>
      <w:r>
        <w:rPr>
          <w:rFonts w:hint="eastAsia" w:ascii="仿宋_GB2312" w:hAnsi="宋体" w:cs="宋体"/>
          <w:color w:val="000000"/>
          <w:kern w:val="0"/>
          <w:szCs w:val="32"/>
          <w:shd w:val="clear" w:color="auto" w:fill="FFFFFF"/>
          <w:lang w:val="en-US" w:eastAsia="zh-CN"/>
        </w:rPr>
        <w:t>峨边彝族自治县社会保险事务中心认真组织开展了部门整体支出绩效评价工作，绩效评价</w:t>
      </w:r>
      <w:r>
        <w:rPr>
          <w:rFonts w:hint="eastAsia" w:ascii="仿宋_GB2312" w:hAnsi="宋体" w:cs="宋体"/>
          <w:color w:val="000000"/>
          <w:kern w:val="0"/>
          <w:szCs w:val="32"/>
          <w:shd w:val="clear" w:color="auto" w:fill="FFFFFF"/>
          <w:lang w:val="zh-CN"/>
        </w:rPr>
        <w:t>得分：</w:t>
      </w:r>
      <w:r>
        <w:rPr>
          <w:rFonts w:hint="eastAsia" w:ascii="仿宋_GB2312" w:hAnsi="宋体" w:cs="宋体"/>
          <w:color w:val="000000"/>
          <w:kern w:val="0"/>
          <w:szCs w:val="32"/>
          <w:shd w:val="clear" w:color="auto" w:fill="FFFFFF"/>
          <w:lang w:val="en-US" w:eastAsia="zh-CN"/>
        </w:rPr>
        <w:t>96</w:t>
      </w:r>
      <w:r>
        <w:rPr>
          <w:rFonts w:hint="eastAsia" w:ascii="仿宋_GB2312" w:hAnsi="宋体" w:cs="宋体"/>
          <w:color w:val="000000"/>
          <w:kern w:val="0"/>
          <w:szCs w:val="32"/>
          <w:shd w:val="clear" w:color="auto" w:fill="FFFFFF"/>
          <w:lang w:val="zh-CN"/>
        </w:rPr>
        <w:t>分。</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（二）存在问题。</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预算编制的科学严谨性可以进一步提升，部分绩效目标动态变化测算需要进一步优化。</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p>
    <w:p>
      <w:pPr>
        <w:widowControl/>
        <w:numPr>
          <w:ilvl w:val="0"/>
          <w:numId w:val="4"/>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改进建议。</w:t>
      </w:r>
    </w:p>
    <w:p>
      <w:pPr>
        <w:widowControl/>
        <w:numPr>
          <w:ilvl w:val="0"/>
          <w:numId w:val="0"/>
        </w:numPr>
        <w:adjustRightInd w:val="0"/>
        <w:snapToGrid w:val="0"/>
        <w:spacing w:line="580" w:lineRule="exact"/>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无</w:t>
      </w:r>
    </w:p>
    <w:p>
      <w:pPr>
        <w:widowControl/>
        <w:numPr>
          <w:ilvl w:val="0"/>
          <w:numId w:val="0"/>
        </w:numPr>
        <w:adjustRightInd w:val="0"/>
        <w:snapToGrid w:val="0"/>
        <w:spacing w:line="580" w:lineRule="exact"/>
        <w:contextualSpacing/>
        <w:jc w:val="left"/>
        <w:rPr>
          <w:rFonts w:hint="eastAsia" w:ascii="仿宋_GB2312" w:hAnsi="宋体" w:cs="宋体"/>
          <w:color w:val="000000"/>
          <w:kern w:val="0"/>
          <w:szCs w:val="32"/>
          <w:shd w:val="clear" w:color="auto" w:fill="FFFFFF"/>
          <w:lang w:val="en-US" w:eastAsia="zh-CN"/>
        </w:rPr>
      </w:pPr>
    </w:p>
    <w:p>
      <w:pPr>
        <w:widowControl/>
        <w:numPr>
          <w:ilvl w:val="0"/>
          <w:numId w:val="0"/>
        </w:numPr>
        <w:adjustRightInd w:val="0"/>
        <w:snapToGrid w:val="0"/>
        <w:spacing w:line="580" w:lineRule="exact"/>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峨边彝族自治县社会保险事务中心</w:t>
      </w:r>
    </w:p>
    <w:p>
      <w:pPr>
        <w:widowControl/>
        <w:numPr>
          <w:ilvl w:val="0"/>
          <w:numId w:val="0"/>
        </w:numPr>
        <w:adjustRightInd w:val="0"/>
        <w:snapToGrid w:val="0"/>
        <w:spacing w:line="580" w:lineRule="exact"/>
        <w:contextualSpacing/>
        <w:jc w:val="left"/>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2023年7月13日</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831518"/>
    </w:sdtPr>
    <w:sdtContent>
      <w:p>
        <w:pPr>
          <w:pStyle w:val="5"/>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12 -</w:t>
        </w:r>
        <w:r>
          <w:rPr>
            <w:rFonts w:asciiTheme="minorEastAsia" w:hAnsiTheme="minorEastAsia" w:eastAsiaTheme="minorEastAsia"/>
            <w:sz w:val="28"/>
            <w:szCs w:val="28"/>
          </w:rPr>
          <w:fldChar w:fldCharType="end"/>
        </w:r>
      </w:p>
    </w:sdtContent>
  </w:sdt>
  <w:p>
    <w:pPr>
      <w:pStyle w:val="5"/>
      <w:tabs>
        <w:tab w:val="right" w:pos="9184"/>
        <w:tab w:val="clear" w:pos="4153"/>
        <w:tab w:val="clear" w:pos="8306"/>
      </w:tabs>
      <w:rPr>
        <w:rFonts w:ascii="宋体" w:hAns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77CE77"/>
    <w:multiLevelType w:val="singleLevel"/>
    <w:tmpl w:val="FC77CE77"/>
    <w:lvl w:ilvl="0" w:tentative="0">
      <w:start w:val="3"/>
      <w:numFmt w:val="chineseCounting"/>
      <w:suff w:val="nothing"/>
      <w:lvlText w:val="（%1）"/>
      <w:lvlJc w:val="left"/>
      <w:rPr>
        <w:rFonts w:hint="eastAsia"/>
      </w:rPr>
    </w:lvl>
  </w:abstractNum>
  <w:abstractNum w:abstractNumId="1">
    <w:nsid w:val="4DDB3138"/>
    <w:multiLevelType w:val="singleLevel"/>
    <w:tmpl w:val="4DDB3138"/>
    <w:lvl w:ilvl="0" w:tentative="0">
      <w:start w:val="2"/>
      <w:numFmt w:val="chineseCounting"/>
      <w:suff w:val="nothing"/>
      <w:lvlText w:val="（%1）"/>
      <w:lvlJc w:val="left"/>
      <w:rPr>
        <w:rFonts w:hint="eastAsia"/>
      </w:rPr>
    </w:lvl>
  </w:abstractNum>
  <w:abstractNum w:abstractNumId="2">
    <w:nsid w:val="648BBE12"/>
    <w:multiLevelType w:val="singleLevel"/>
    <w:tmpl w:val="648BBE12"/>
    <w:lvl w:ilvl="0" w:tentative="0">
      <w:start w:val="3"/>
      <w:numFmt w:val="chineseCounting"/>
      <w:suff w:val="nothing"/>
      <w:lvlText w:val="（%1）"/>
      <w:lvlJc w:val="left"/>
    </w:lvl>
  </w:abstractNum>
  <w:abstractNum w:abstractNumId="3">
    <w:nsid w:val="648BC6E1"/>
    <w:multiLevelType w:val="singleLevel"/>
    <w:tmpl w:val="648BC6E1"/>
    <w:lvl w:ilvl="0" w:tentative="0">
      <w:start w:val="2"/>
      <w:numFmt w:val="chineseCounting"/>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hMTA0NmNhZGY5M2E1Nzg2MDg5NzE3ZGEzNmNjM2UifQ=="/>
  </w:docVars>
  <w:rsids>
    <w:rsidRoot w:val="00EC0174"/>
    <w:rsid w:val="00006E4D"/>
    <w:rsid w:val="00021652"/>
    <w:rsid w:val="00030311"/>
    <w:rsid w:val="00030782"/>
    <w:rsid w:val="00030B66"/>
    <w:rsid w:val="0006102A"/>
    <w:rsid w:val="00065B0F"/>
    <w:rsid w:val="00065E7E"/>
    <w:rsid w:val="000820BB"/>
    <w:rsid w:val="0008241B"/>
    <w:rsid w:val="00092280"/>
    <w:rsid w:val="00097FAE"/>
    <w:rsid w:val="000A3233"/>
    <w:rsid w:val="000A7CE3"/>
    <w:rsid w:val="000B04D6"/>
    <w:rsid w:val="000B15CE"/>
    <w:rsid w:val="000C40C6"/>
    <w:rsid w:val="000C79C1"/>
    <w:rsid w:val="000D208A"/>
    <w:rsid w:val="000E037E"/>
    <w:rsid w:val="000F659A"/>
    <w:rsid w:val="000F77B0"/>
    <w:rsid w:val="0010235D"/>
    <w:rsid w:val="00103A47"/>
    <w:rsid w:val="00106D4D"/>
    <w:rsid w:val="001119A2"/>
    <w:rsid w:val="001221D6"/>
    <w:rsid w:val="0012510A"/>
    <w:rsid w:val="00125F67"/>
    <w:rsid w:val="001261AE"/>
    <w:rsid w:val="001348A4"/>
    <w:rsid w:val="0014117C"/>
    <w:rsid w:val="00146FE8"/>
    <w:rsid w:val="0014767B"/>
    <w:rsid w:val="00147AED"/>
    <w:rsid w:val="00177AAF"/>
    <w:rsid w:val="00183850"/>
    <w:rsid w:val="00184D9F"/>
    <w:rsid w:val="0018561A"/>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E1104"/>
    <w:rsid w:val="002E3FDD"/>
    <w:rsid w:val="00300EF4"/>
    <w:rsid w:val="00301353"/>
    <w:rsid w:val="00305FF6"/>
    <w:rsid w:val="00307568"/>
    <w:rsid w:val="00311506"/>
    <w:rsid w:val="00316ADB"/>
    <w:rsid w:val="00317623"/>
    <w:rsid w:val="00335F67"/>
    <w:rsid w:val="003361E9"/>
    <w:rsid w:val="00350A65"/>
    <w:rsid w:val="00350F79"/>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42AB7"/>
    <w:rsid w:val="0055358D"/>
    <w:rsid w:val="005540C8"/>
    <w:rsid w:val="00555809"/>
    <w:rsid w:val="00557A35"/>
    <w:rsid w:val="00562165"/>
    <w:rsid w:val="005645BC"/>
    <w:rsid w:val="005756AF"/>
    <w:rsid w:val="00575A4A"/>
    <w:rsid w:val="00591B6F"/>
    <w:rsid w:val="005A1DAF"/>
    <w:rsid w:val="005C17C8"/>
    <w:rsid w:val="005C2098"/>
    <w:rsid w:val="005C2E6C"/>
    <w:rsid w:val="005D0CCF"/>
    <w:rsid w:val="005D1C01"/>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732A1"/>
    <w:rsid w:val="00774C4A"/>
    <w:rsid w:val="00782BBB"/>
    <w:rsid w:val="007A0690"/>
    <w:rsid w:val="007A078F"/>
    <w:rsid w:val="007B34D4"/>
    <w:rsid w:val="007C0633"/>
    <w:rsid w:val="007D086C"/>
    <w:rsid w:val="007F1BE1"/>
    <w:rsid w:val="007F707F"/>
    <w:rsid w:val="007F794C"/>
    <w:rsid w:val="007F7AC9"/>
    <w:rsid w:val="00803B42"/>
    <w:rsid w:val="008073EF"/>
    <w:rsid w:val="0081095C"/>
    <w:rsid w:val="00810C41"/>
    <w:rsid w:val="008212FF"/>
    <w:rsid w:val="0082593B"/>
    <w:rsid w:val="00827537"/>
    <w:rsid w:val="0083294D"/>
    <w:rsid w:val="008468EA"/>
    <w:rsid w:val="00867140"/>
    <w:rsid w:val="00881134"/>
    <w:rsid w:val="008904F0"/>
    <w:rsid w:val="008B2F27"/>
    <w:rsid w:val="008B4A72"/>
    <w:rsid w:val="008B585E"/>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E0305"/>
    <w:rsid w:val="00BF15F0"/>
    <w:rsid w:val="00BF7DF9"/>
    <w:rsid w:val="00C03559"/>
    <w:rsid w:val="00C05395"/>
    <w:rsid w:val="00C22AD7"/>
    <w:rsid w:val="00C272C1"/>
    <w:rsid w:val="00C32A68"/>
    <w:rsid w:val="00C34282"/>
    <w:rsid w:val="00C35350"/>
    <w:rsid w:val="00C3564B"/>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55B5"/>
    <w:rsid w:val="00D43DC3"/>
    <w:rsid w:val="00D51791"/>
    <w:rsid w:val="00D5281E"/>
    <w:rsid w:val="00D6531B"/>
    <w:rsid w:val="00D6612D"/>
    <w:rsid w:val="00D71AD9"/>
    <w:rsid w:val="00D73C02"/>
    <w:rsid w:val="00D872ED"/>
    <w:rsid w:val="00D913C6"/>
    <w:rsid w:val="00DA0236"/>
    <w:rsid w:val="00DA5D51"/>
    <w:rsid w:val="00DA5E29"/>
    <w:rsid w:val="00DA61CA"/>
    <w:rsid w:val="00DB66BB"/>
    <w:rsid w:val="00DB73AF"/>
    <w:rsid w:val="00DC2865"/>
    <w:rsid w:val="00DD0894"/>
    <w:rsid w:val="00DE1888"/>
    <w:rsid w:val="00DF1250"/>
    <w:rsid w:val="00DF6EF7"/>
    <w:rsid w:val="00E05454"/>
    <w:rsid w:val="00E074C3"/>
    <w:rsid w:val="00E23329"/>
    <w:rsid w:val="00E24D6D"/>
    <w:rsid w:val="00E341B2"/>
    <w:rsid w:val="00E42633"/>
    <w:rsid w:val="00E5699E"/>
    <w:rsid w:val="00E570E1"/>
    <w:rsid w:val="00E72773"/>
    <w:rsid w:val="00E76739"/>
    <w:rsid w:val="00E81946"/>
    <w:rsid w:val="00E82BB7"/>
    <w:rsid w:val="00E86D13"/>
    <w:rsid w:val="00E936C2"/>
    <w:rsid w:val="00E95346"/>
    <w:rsid w:val="00EA0CEF"/>
    <w:rsid w:val="00EA2E2A"/>
    <w:rsid w:val="00EB79D2"/>
    <w:rsid w:val="00EC0174"/>
    <w:rsid w:val="00ED3EEB"/>
    <w:rsid w:val="00ED5749"/>
    <w:rsid w:val="00ED5FA3"/>
    <w:rsid w:val="00ED68C4"/>
    <w:rsid w:val="00ED6A4E"/>
    <w:rsid w:val="00ED72EA"/>
    <w:rsid w:val="00EE3A4F"/>
    <w:rsid w:val="00EF10C3"/>
    <w:rsid w:val="00EF3BD2"/>
    <w:rsid w:val="00F16BCE"/>
    <w:rsid w:val="00F45DA1"/>
    <w:rsid w:val="00F5267B"/>
    <w:rsid w:val="00F53E8B"/>
    <w:rsid w:val="00F622C6"/>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CF650B"/>
    <w:rsid w:val="05C10315"/>
    <w:rsid w:val="05D7488F"/>
    <w:rsid w:val="0D137BEC"/>
    <w:rsid w:val="0E0F3732"/>
    <w:rsid w:val="0EFA2CB2"/>
    <w:rsid w:val="0FB214E5"/>
    <w:rsid w:val="103B0B5E"/>
    <w:rsid w:val="11CF3772"/>
    <w:rsid w:val="1366745A"/>
    <w:rsid w:val="14815D71"/>
    <w:rsid w:val="173842FB"/>
    <w:rsid w:val="17AA3662"/>
    <w:rsid w:val="17EC2947"/>
    <w:rsid w:val="1B217D81"/>
    <w:rsid w:val="1BF47CFD"/>
    <w:rsid w:val="1DE72B2C"/>
    <w:rsid w:val="1EF7567A"/>
    <w:rsid w:val="23EF77D1"/>
    <w:rsid w:val="28F82E34"/>
    <w:rsid w:val="2BC11769"/>
    <w:rsid w:val="2BFB7D45"/>
    <w:rsid w:val="2CD83637"/>
    <w:rsid w:val="2DC84BC4"/>
    <w:rsid w:val="312B445B"/>
    <w:rsid w:val="31F9126A"/>
    <w:rsid w:val="38EF4906"/>
    <w:rsid w:val="39017F47"/>
    <w:rsid w:val="3A19022F"/>
    <w:rsid w:val="3AD35649"/>
    <w:rsid w:val="3D015D1B"/>
    <w:rsid w:val="3D5369CF"/>
    <w:rsid w:val="3E67702F"/>
    <w:rsid w:val="40273E03"/>
    <w:rsid w:val="4138599C"/>
    <w:rsid w:val="41922194"/>
    <w:rsid w:val="436D772C"/>
    <w:rsid w:val="439F5B71"/>
    <w:rsid w:val="43BC772C"/>
    <w:rsid w:val="46875E89"/>
    <w:rsid w:val="4802155C"/>
    <w:rsid w:val="48C80C76"/>
    <w:rsid w:val="49F56B55"/>
    <w:rsid w:val="4A890C60"/>
    <w:rsid w:val="4E5869D1"/>
    <w:rsid w:val="50B006ED"/>
    <w:rsid w:val="51676880"/>
    <w:rsid w:val="5ADC5AE6"/>
    <w:rsid w:val="5B8D7E9E"/>
    <w:rsid w:val="5BB51277"/>
    <w:rsid w:val="5D762E03"/>
    <w:rsid w:val="5EDD51E5"/>
    <w:rsid w:val="61B1665F"/>
    <w:rsid w:val="62FA329C"/>
    <w:rsid w:val="63123C2D"/>
    <w:rsid w:val="641B57B0"/>
    <w:rsid w:val="648E3769"/>
    <w:rsid w:val="65046871"/>
    <w:rsid w:val="68B6694B"/>
    <w:rsid w:val="68E45933"/>
    <w:rsid w:val="69B80DDF"/>
    <w:rsid w:val="69C86477"/>
    <w:rsid w:val="6C015120"/>
    <w:rsid w:val="6C473ACB"/>
    <w:rsid w:val="708E78FE"/>
    <w:rsid w:val="715951A3"/>
    <w:rsid w:val="729E33E4"/>
    <w:rsid w:val="73596DAF"/>
    <w:rsid w:val="73630F0D"/>
    <w:rsid w:val="73814F90"/>
    <w:rsid w:val="74950122"/>
    <w:rsid w:val="75B133E4"/>
    <w:rsid w:val="76037174"/>
    <w:rsid w:val="765857ED"/>
    <w:rsid w:val="76A52160"/>
    <w:rsid w:val="76B434A8"/>
    <w:rsid w:val="7777527B"/>
    <w:rsid w:val="78AB492C"/>
    <w:rsid w:val="7A4A48F9"/>
    <w:rsid w:val="7B4A4DB0"/>
    <w:rsid w:val="7C647719"/>
    <w:rsid w:val="7D193DC4"/>
    <w:rsid w:val="7FCC62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3">
    <w:name w:val="Document Map"/>
    <w:basedOn w:val="1"/>
    <w:link w:val="16"/>
    <w:qFormat/>
    <w:uiPriority w:val="0"/>
    <w:rPr>
      <w:rFonts w:ascii="宋体" w:eastAsia="宋体"/>
      <w:sz w:val="18"/>
      <w:szCs w:val="18"/>
    </w:rPr>
  </w:style>
  <w:style w:type="paragraph" w:styleId="4">
    <w:name w:val="Balloon Text"/>
    <w:basedOn w:val="1"/>
    <w:semiHidden/>
    <w:qFormat/>
    <w:uiPriority w:val="0"/>
    <w:rPr>
      <w:sz w:val="18"/>
      <w:szCs w:val="18"/>
    </w:rPr>
  </w:style>
  <w:style w:type="paragraph" w:styleId="5">
    <w:name w:val="footer"/>
    <w:basedOn w:val="1"/>
    <w:link w:val="18"/>
    <w:qFormat/>
    <w:uiPriority w:val="99"/>
    <w:pPr>
      <w:tabs>
        <w:tab w:val="center" w:pos="4153"/>
        <w:tab w:val="right" w:pos="8306"/>
      </w:tabs>
      <w:snapToGrid w:val="0"/>
      <w:jc w:val="left"/>
    </w:pPr>
    <w:rPr>
      <w:rFonts w:eastAsia="宋体"/>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Title"/>
    <w:basedOn w:val="1"/>
    <w:next w:val="1"/>
    <w:qFormat/>
    <w:uiPriority w:val="0"/>
    <w:pPr>
      <w:spacing w:before="240" w:after="60"/>
      <w:jc w:val="center"/>
    </w:pPr>
    <w:rPr>
      <w:rFonts w:ascii="Cambria" w:hAnsi="Cambria" w:cs="Cambria"/>
      <w:sz w:val="32"/>
      <w:szCs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 w:type="character" w:styleId="13">
    <w:name w:val="Emphasis"/>
    <w:basedOn w:val="11"/>
    <w:qFormat/>
    <w:uiPriority w:val="0"/>
    <w:rPr>
      <w:i/>
    </w:rPr>
  </w:style>
  <w:style w:type="paragraph" w:customStyle="1" w:styleId="14">
    <w:name w:val="四号正文"/>
    <w:basedOn w:val="1"/>
    <w:link w:val="15"/>
    <w:qFormat/>
    <w:uiPriority w:val="0"/>
    <w:pPr>
      <w:spacing w:line="360" w:lineRule="auto"/>
    </w:pPr>
    <w:rPr>
      <w:rFonts w:ascii="??" w:hAnsi="??" w:eastAsia="宋体" w:cs="宋体"/>
      <w:color w:val="000000"/>
      <w:kern w:val="0"/>
      <w:sz w:val="28"/>
      <w:szCs w:val="21"/>
    </w:rPr>
  </w:style>
  <w:style w:type="character" w:customStyle="1" w:styleId="15">
    <w:name w:val="四号正文 Char"/>
    <w:basedOn w:val="11"/>
    <w:link w:val="14"/>
    <w:qFormat/>
    <w:uiPriority w:val="0"/>
    <w:rPr>
      <w:rFonts w:ascii="??" w:hAnsi="??" w:eastAsia="宋体" w:cs="宋体"/>
      <w:color w:val="000000"/>
      <w:sz w:val="28"/>
      <w:szCs w:val="21"/>
      <w:lang w:val="en-US" w:eastAsia="zh-CN" w:bidi="ar-SA"/>
    </w:rPr>
  </w:style>
  <w:style w:type="character" w:customStyle="1" w:styleId="16">
    <w:name w:val="文档结构图 Char"/>
    <w:basedOn w:val="11"/>
    <w:link w:val="3"/>
    <w:qFormat/>
    <w:uiPriority w:val="0"/>
    <w:rPr>
      <w:rFonts w:ascii="宋体"/>
      <w:kern w:val="2"/>
      <w:sz w:val="18"/>
      <w:szCs w:val="18"/>
    </w:rPr>
  </w:style>
  <w:style w:type="paragraph" w:customStyle="1" w:styleId="17">
    <w:name w:val="a"/>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8">
    <w:name w:val="页脚 Char"/>
    <w:basedOn w:val="11"/>
    <w:link w:val="5"/>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PSZX</Company>
  <Pages>4</Pages>
  <Words>931</Words>
  <Characters>966</Characters>
  <Lines>1</Lines>
  <Paragraphs>1</Paragraphs>
  <TotalTime>5</TotalTime>
  <ScaleCrop>false</ScaleCrop>
  <LinksUpToDate>false</LinksUpToDate>
  <CharactersWithSpaces>1061</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2019-10-29T08:36:00Z</dcterms:created>
  <dc:creator>陈萍</dc:creator>
  <cp:lastModifiedBy>Administrator</cp:lastModifiedBy>
  <cp:lastPrinted>2019-05-23T02:35:00Z</cp:lastPrinted>
  <dcterms:modified xsi:type="dcterms:W3CDTF">2023-07-14T07:20:36Z</dcterms:modified>
  <dc:title>区域性就业培训基地建设项目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ICV">
    <vt:lpwstr>DA180C350FE9478A93735F072DFAA4E3</vt:lpwstr>
  </property>
</Properties>
</file>