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8441"/>
      <w:bookmarkStart w:id="2" w:name="_Toc15396475"/>
      <w:bookmarkStart w:id="3" w:name="_Toc15306267"/>
      <w:bookmarkStart w:id="4" w:name="_Toc15377193"/>
      <w:bookmarkStart w:id="5" w:name="_Toc15377425"/>
    </w:p>
    <w:p>
      <w:pPr>
        <w:pStyle w:val="7"/>
        <w:rPr>
          <w:rFonts w:hint="eastAsia" w:ascii="Times New Roman" w:hAnsi="Times New Roman" w:eastAsia="方正小标宋简体" w:cs="Times New Roman"/>
          <w:color w:val="auto"/>
          <w:kern w:val="2"/>
          <w:sz w:val="72"/>
          <w:szCs w:val="72"/>
          <w:highlight w:val="none"/>
          <w:lang w:val="en-US" w:eastAsia="zh-CN" w:bidi="ar-SA"/>
        </w:rPr>
      </w:pPr>
    </w:p>
    <w:p>
      <w:pPr>
        <w:pStyle w:val="7"/>
        <w:rPr>
          <w:rFonts w:hint="eastAsia" w:ascii="Times New Roman" w:hAnsi="Times New Roman" w:eastAsia="方正小标宋简体" w:cs="Times New Roman"/>
          <w:color w:val="auto"/>
          <w:kern w:val="2"/>
          <w:sz w:val="72"/>
          <w:szCs w:val="72"/>
          <w:highlight w:val="none"/>
          <w:lang w:val="en-US" w:eastAsia="zh-CN" w:bidi="ar-SA"/>
        </w:rPr>
      </w:pPr>
    </w:p>
    <w:p>
      <w:pPr>
        <w:pStyle w:val="7"/>
        <w:jc w:val="center"/>
        <w:rPr>
          <w:rFonts w:hint="eastAsia" w:ascii="方正小标宋简体" w:hAnsi="宋体" w:eastAsia="方正小标宋简体" w:cs="Times New Roman"/>
          <w:b/>
          <w:bCs/>
          <w:color w:val="auto"/>
          <w:kern w:val="2"/>
          <w:sz w:val="44"/>
          <w:szCs w:val="44"/>
          <w:highlight w:val="none"/>
          <w:lang w:val="en-US" w:eastAsia="zh-CN" w:bidi="ar-SA"/>
        </w:rPr>
      </w:pPr>
      <w:r>
        <w:rPr>
          <w:rFonts w:hint="eastAsia" w:ascii="方正小标宋简体" w:hAnsi="宋体" w:eastAsia="方正小标宋简体" w:cs="Times New Roman"/>
          <w:b/>
          <w:bCs/>
          <w:color w:val="auto"/>
          <w:kern w:val="2"/>
          <w:sz w:val="44"/>
          <w:szCs w:val="44"/>
          <w:highlight w:val="none"/>
          <w:lang w:val="en-US" w:eastAsia="zh-CN" w:bidi="ar-SA"/>
        </w:rPr>
        <w:t>2024年度峨边彝族自治县</w:t>
      </w:r>
    </w:p>
    <w:p>
      <w:pPr>
        <w:pStyle w:val="7"/>
        <w:jc w:val="center"/>
        <w:rPr>
          <w:rFonts w:hint="eastAsia" w:ascii="方正小标宋简体" w:hAnsi="宋体" w:eastAsia="方正小标宋简体" w:cs="Times New Roman"/>
          <w:b/>
          <w:bCs/>
          <w:color w:val="auto"/>
          <w:kern w:val="2"/>
          <w:sz w:val="44"/>
          <w:szCs w:val="44"/>
          <w:highlight w:val="none"/>
          <w:lang w:val="en-US" w:eastAsia="zh-CN" w:bidi="ar-SA"/>
        </w:rPr>
      </w:pPr>
      <w:r>
        <w:rPr>
          <w:rFonts w:hint="eastAsia" w:ascii="方正小标宋简体" w:hAnsi="宋体" w:eastAsia="方正小标宋简体" w:cs="Times New Roman"/>
          <w:b/>
          <w:bCs/>
          <w:color w:val="auto"/>
          <w:kern w:val="2"/>
          <w:sz w:val="44"/>
          <w:szCs w:val="44"/>
          <w:highlight w:val="none"/>
          <w:lang w:val="en-US" w:eastAsia="zh-CN" w:bidi="ar-SA"/>
        </w:rPr>
        <w:t>人力资源和社会保障局部门决算</w:t>
      </w:r>
    </w:p>
    <w:p>
      <w:pPr>
        <w:spacing w:line="600" w:lineRule="exact"/>
        <w:jc w:val="center"/>
        <w:outlineLvl w:val="0"/>
        <w:rPr>
          <w:rFonts w:ascii="Times New Roman" w:hAnsi="Times New Roman" w:eastAsia="方正小标宋简体"/>
          <w:color w:val="auto"/>
          <w:sz w:val="72"/>
          <w:szCs w:val="72"/>
          <w:highlight w:val="none"/>
        </w:rPr>
      </w:pPr>
    </w:p>
    <w:p>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ascii="Times New Roman" w:hAnsi="Times New Roman"/>
        </w:rPr>
      </w:pP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19</w:t>
      </w:r>
      <w:bookmarkStart w:id="63" w:name="_GoBack"/>
      <w:bookmarkEnd w:id="63"/>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宋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3</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宋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6</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cs="宋体"/>
          <w:color w:val="auto"/>
          <w:kern w:val="2"/>
          <w:sz w:val="28"/>
          <w:szCs w:val="28"/>
          <w:lang w:val="en-US" w:eastAsia="zh-CN"/>
        </w:rPr>
        <w:t>8</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9</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w:t>
      </w:r>
      <w:r>
        <w:rPr>
          <w:rFonts w:hint="eastAsia" w:ascii="宋体" w:hAnsi="宋体" w:cs="宋体"/>
          <w:color w:val="auto"/>
          <w:kern w:val="2"/>
          <w:sz w:val="28"/>
          <w:szCs w:val="28"/>
          <w:lang w:val="en-US" w:eastAsia="zh-CN"/>
        </w:rPr>
        <w:t>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11</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11</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eastAsia="黑体" w:cs="黑体"/>
          <w:color w:val="auto"/>
          <w:sz w:val="32"/>
          <w:szCs w:val="32"/>
          <w:highlight w:val="none"/>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13</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eastAsia="黑体" w:cs="黑体"/>
          <w:color w:val="auto"/>
          <w:sz w:val="32"/>
          <w:szCs w:val="32"/>
          <w:highlight w:val="none"/>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16</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宋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eastAsia="黑体" w:cs="黑体"/>
          <w:color w:val="auto"/>
          <w:sz w:val="32"/>
          <w:szCs w:val="32"/>
          <w:highlight w:val="none"/>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cs="宋体"/>
          <w:color w:val="auto"/>
          <w:kern w:val="2"/>
          <w:sz w:val="28"/>
          <w:szCs w:val="28"/>
          <w:lang w:val="en-US" w:eastAsia="zh-CN"/>
        </w:rPr>
        <w:t>35</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p>
    <w:p>
      <w:pPr>
        <w:pStyle w:val="4"/>
        <w:numPr>
          <w:ilvl w:val="0"/>
          <w:numId w:val="0"/>
        </w:numPr>
        <w:ind w:firstLine="640" w:firstLineChars="200"/>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一、部门职责</w:t>
      </w:r>
    </w:p>
    <w:p>
      <w:pPr>
        <w:pStyle w:val="4"/>
        <w:numPr>
          <w:ilvl w:val="0"/>
          <w:numId w:val="0"/>
        </w:numPr>
        <w:ind w:firstLine="643" w:firstLineChars="200"/>
        <w:rPr>
          <w:rFonts w:hint="eastAsia"/>
          <w:lang w:eastAsia="zh-CN"/>
        </w:rPr>
      </w:pPr>
      <w:r>
        <w:rPr>
          <w:rFonts w:hint="eastAsia"/>
          <w:lang w:val="en-US" w:eastAsia="zh-CN"/>
        </w:rPr>
        <w:t xml:space="preserve"> </w:t>
      </w:r>
      <w:r>
        <w:rPr>
          <w:rFonts w:hint="eastAsia" w:ascii="仿宋_GB2312" w:hAnsi="仿宋" w:eastAsia="仿宋_GB2312"/>
          <w:b w:val="0"/>
          <w:bCs w:val="0"/>
          <w:color w:val="auto"/>
          <w:sz w:val="32"/>
          <w:szCs w:val="32"/>
        </w:rPr>
        <w:t>综合管理全县事业单位工作人员的工资、工龄</w:t>
      </w:r>
      <w:r>
        <w:rPr>
          <w:rFonts w:hint="eastAsia" w:ascii="仿宋_GB2312" w:hAnsi="仿宋" w:eastAsia="仿宋_GB2312"/>
          <w:b w:val="0"/>
          <w:bCs w:val="0"/>
          <w:color w:val="auto"/>
          <w:sz w:val="32"/>
          <w:szCs w:val="32"/>
          <w:lang w:eastAsia="zh-CN"/>
        </w:rPr>
        <w:t>、</w:t>
      </w:r>
      <w:r>
        <w:rPr>
          <w:rFonts w:hint="eastAsia" w:ascii="仿宋_GB2312" w:hAnsi="仿宋" w:eastAsia="仿宋_GB2312"/>
          <w:b w:val="0"/>
          <w:bCs w:val="0"/>
          <w:color w:val="auto"/>
          <w:sz w:val="32"/>
          <w:szCs w:val="32"/>
        </w:rPr>
        <w:t>职称</w:t>
      </w:r>
      <w:r>
        <w:rPr>
          <w:rFonts w:hint="eastAsia" w:ascii="仿宋_GB2312" w:hAnsi="仿宋" w:eastAsia="仿宋_GB2312"/>
          <w:b w:val="0"/>
          <w:bCs w:val="0"/>
          <w:color w:val="auto"/>
          <w:sz w:val="32"/>
          <w:szCs w:val="32"/>
          <w:lang w:eastAsia="zh-CN"/>
        </w:rPr>
        <w:t>、招聘等</w:t>
      </w:r>
      <w:r>
        <w:rPr>
          <w:rFonts w:hint="eastAsia" w:ascii="仿宋_GB2312" w:hAnsi="仿宋" w:eastAsia="仿宋_GB2312"/>
          <w:b w:val="0"/>
          <w:bCs w:val="0"/>
          <w:color w:val="auto"/>
          <w:sz w:val="32"/>
          <w:szCs w:val="32"/>
        </w:rPr>
        <w:t>工作。</w:t>
      </w:r>
      <w:r>
        <w:rPr>
          <w:rFonts w:hint="eastAsia" w:ascii="仿宋_GB2312" w:hAnsi="仿宋" w:eastAsia="仿宋_GB2312"/>
          <w:b w:val="0"/>
          <w:bCs w:val="0"/>
          <w:color w:val="auto"/>
          <w:sz w:val="32"/>
          <w:szCs w:val="32"/>
          <w:lang w:eastAsia="zh-CN"/>
        </w:rPr>
        <w:t>负责全县</w:t>
      </w:r>
      <w:r>
        <w:rPr>
          <w:rFonts w:hint="eastAsia" w:ascii="仿宋_GB2312" w:hAnsi="仿宋" w:eastAsia="仿宋_GB2312"/>
          <w:b w:val="0"/>
          <w:bCs w:val="0"/>
          <w:color w:val="auto"/>
          <w:sz w:val="32"/>
          <w:szCs w:val="32"/>
        </w:rPr>
        <w:t>劳动用工监察、劳动用工投诉受理及工伤认定负责全县人事劳动争议工作。综合管理全县专业技术人员工作。负责促进就业工作。</w:t>
      </w:r>
      <w:r>
        <w:rPr>
          <w:rFonts w:hint="eastAsia" w:ascii="仿宋_GB2312" w:hAnsi="仿宋" w:eastAsia="仿宋_GB2312"/>
          <w:b w:val="0"/>
          <w:bCs w:val="0"/>
          <w:color w:val="auto"/>
          <w:sz w:val="32"/>
          <w:szCs w:val="32"/>
          <w:lang w:eastAsia="zh-CN"/>
        </w:rPr>
        <w:t>负责全县“三支一扶”招募、工作生活补贴发放、五险一金的代扣代缴。</w:t>
      </w:r>
      <w:r>
        <w:rPr>
          <w:rFonts w:hint="eastAsia" w:ascii="仿宋_GB2312" w:hAnsi="仿宋" w:eastAsia="仿宋_GB2312"/>
          <w:b w:val="0"/>
          <w:bCs w:val="0"/>
          <w:color w:val="auto"/>
          <w:sz w:val="32"/>
          <w:szCs w:val="32"/>
        </w:rPr>
        <w:t>统筹建立覆盖全县城乡的社会保障体系。负责退休、退职政策的执行并结合我县实情进行实施。</w:t>
      </w:r>
    </w:p>
    <w:p>
      <w:pPr>
        <w:pStyle w:val="4"/>
        <w:ind w:firstLine="640" w:firstLineChars="200"/>
        <w:rPr>
          <w:rStyle w:val="31"/>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8"/>
      <w:bookmarkEnd w:id="9"/>
    </w:p>
    <w:p>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峨边彝族自治县人力资源和社会保障局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w:t>
      </w:r>
      <w:r>
        <w:rPr>
          <w:rFonts w:hint="eastAsia" w:eastAsia="仿宋_GB2312" w:cs="仿宋_GB2312"/>
          <w:color w:val="auto"/>
          <w:sz w:val="32"/>
          <w:szCs w:val="32"/>
          <w:highlight w:val="none"/>
          <w:lang w:eastAsia="zh-CN"/>
        </w:rPr>
        <w:t>，未独立核算事业单位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w:t>
      </w:r>
    </w:p>
    <w:p>
      <w:pPr>
        <w:pStyle w:val="7"/>
        <w:numPr>
          <w:ilvl w:val="0"/>
          <w:numId w:val="0"/>
        </w:numPr>
        <w:adjustRightInd w:val="0"/>
        <w:snapToGrid w:val="0"/>
        <w:spacing w:before="93" w:line="600" w:lineRule="exact"/>
        <w:ind w:firstLine="640" w:firstLineChars="200"/>
        <w:outlineLvl w:val="2"/>
        <w:rPr>
          <w:rFonts w:hint="eastAsia" w:ascii="Times New Roman" w:hAnsi="Times New Roman" w:eastAsia="仿宋_GB2312" w:cs="仿宋_GB2312"/>
          <w:color w:val="auto"/>
          <w:sz w:val="32"/>
          <w:szCs w:val="32"/>
          <w:highlight w:val="none"/>
          <w:lang w:eastAsia="zh-CN"/>
        </w:rPr>
      </w:pPr>
      <w:r>
        <w:rPr>
          <w:rFonts w:hint="eastAsia" w:ascii="Times New Roman" w:cs="仿宋_GB2312"/>
          <w:color w:val="auto"/>
          <w:sz w:val="32"/>
          <w:szCs w:val="32"/>
          <w:highlight w:val="none"/>
          <w:lang w:eastAsia="zh-CN"/>
        </w:rPr>
        <w:t>无</w:t>
      </w:r>
      <w:r>
        <w:rPr>
          <w:rFonts w:hint="eastAsia" w:ascii="Times New Roman" w:hAnsi="Times New Roman" w:eastAsia="仿宋_GB2312" w:cs="仿宋_GB2312"/>
          <w:color w:val="auto"/>
          <w:sz w:val="32"/>
          <w:szCs w:val="32"/>
          <w:highlight w:val="none"/>
        </w:rPr>
        <w:t>纳入</w:t>
      </w:r>
      <w:r>
        <w:rPr>
          <w:sz w:val="32"/>
          <w:szCs w:val="32"/>
        </w:rPr>
        <w:t>峨边彝族自治县人力资源和社会保障局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w:t>
      </w:r>
      <w:r>
        <w:rPr>
          <w:rFonts w:hint="eastAsia" w:ascii="Times New Roman" w:cs="仿宋_GB2312"/>
          <w:color w:val="auto"/>
          <w:sz w:val="32"/>
          <w:szCs w:val="32"/>
          <w:highlight w:val="none"/>
          <w:lang w:eastAsia="zh-CN"/>
        </w:rPr>
        <w:t>。</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pPr>
        <w:rPr>
          <w:rFonts w:ascii="Times New Roman" w:hAnsi="Times New Roman"/>
          <w:color w:val="auto"/>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2"/>
      <w:bookmarkEnd w:id="13"/>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3295.63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总计各增减少</w:t>
      </w:r>
      <w:r>
        <w:rPr>
          <w:rFonts w:hint="eastAsia" w:eastAsia="仿宋_GB2312" w:cs="仿宋_GB2312"/>
          <w:color w:val="auto"/>
          <w:sz w:val="32"/>
          <w:szCs w:val="32"/>
          <w:highlight w:val="none"/>
          <w:lang w:val="en-US" w:eastAsia="zh-CN"/>
        </w:rPr>
        <w:t>67.89</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就业创业补助资金减少。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9"/>
        <w:rPr>
          <w:rFonts w:hint="eastAsia" w:ascii="Times New Roman" w:hAnsi="Times New Roman" w:eastAsia="仿宋_GB2312" w:cs="仿宋_GB2312"/>
          <w:color w:val="auto"/>
          <w:sz w:val="32"/>
          <w:szCs w:val="32"/>
          <w:highlight w:val="none"/>
        </w:rPr>
      </w:pPr>
      <w:r>
        <w:rPr>
          <w:rFonts w:hint="eastAsia" w:ascii="仿宋" w:hAnsi="仿宋" w:eastAsia="仿宋"/>
          <w:b/>
          <w:color w:val="auto"/>
          <w:sz w:val="32"/>
          <w:szCs w:val="32"/>
          <w:highlight w:val="none"/>
          <w:lang w:eastAsia="zh-CN"/>
        </w:rPr>
        <w:drawing>
          <wp:inline distT="0" distB="0" distL="114300" distR="114300">
            <wp:extent cx="4939665" cy="2103120"/>
            <wp:effectExtent l="4445" t="4445" r="8890"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3295.63万元，其中：一般公共预算财政拨款收入3287.73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99.76</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7.9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pStyle w:val="9"/>
        <w:ind w:left="0" w:leftChars="0" w:firstLine="0" w:firstLineChars="0"/>
        <w:jc w:val="center"/>
        <w:rPr>
          <w:rFonts w:hint="eastAsia" w:ascii="Times New Roman" w:hAnsi="Times New Roman" w:eastAsia="仿宋_GB2312" w:cs="仿宋_GB2312"/>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956810" cy="1628775"/>
            <wp:effectExtent l="4445" t="4445" r="10795"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6"/>
      <w:bookmarkEnd w:id="17"/>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3295.63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964.06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29.25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2331.57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70.7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pStyle w:val="9"/>
        <w:ind w:left="0" w:leftChars="0" w:firstLine="0" w:firstLineChars="0"/>
        <w:rPr>
          <w:rFonts w:hint="eastAsia" w:ascii="Times New Roman" w:hAnsi="Times New Roman" w:eastAsia="仿宋_GB2312" w:cs="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5767705" cy="2038985"/>
            <wp:effectExtent l="4445" t="4445" r="19050"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31"/>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18"/>
      <w:bookmarkEnd w:id="1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3295.63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67.89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就业创业补助资金减少。</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pStyle w:val="9"/>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color w:val="auto"/>
          <w:sz w:val="32"/>
          <w:szCs w:val="32"/>
          <w:highlight w:val="none"/>
          <w:lang w:eastAsia="zh-CN"/>
        </w:rPr>
        <w:drawing>
          <wp:inline distT="0" distB="0" distL="114300" distR="114300">
            <wp:extent cx="4939665" cy="2103120"/>
            <wp:effectExtent l="4445" t="4445" r="8890" b="698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Fonts w:hint="eastAsia" w:ascii="Times New Roman" w:hAnsi="Times New Roman" w:eastAsia="黑体"/>
          <w:color w:val="auto"/>
          <w:sz w:val="32"/>
          <w:szCs w:val="32"/>
          <w:highlight w:val="none"/>
        </w:rPr>
      </w:pPr>
      <w:bookmarkStart w:id="20" w:name="_Toc15396607"/>
      <w:bookmarkStart w:id="21" w:name="_Toc15377209"/>
    </w:p>
    <w:p>
      <w:pPr>
        <w:pStyle w:val="15"/>
        <w:rPr>
          <w:rFonts w:hint="eastAsia" w:ascii="Times New Roman" w:hAnsi="Times New Roman" w:eastAsia="黑体"/>
          <w:color w:val="auto"/>
          <w:sz w:val="32"/>
          <w:szCs w:val="32"/>
          <w:highlight w:val="none"/>
        </w:rPr>
      </w:pPr>
    </w:p>
    <w:p>
      <w:pPr>
        <w:pStyle w:val="9"/>
        <w:rPr>
          <w:rFonts w:hint="eastAsia"/>
        </w:rPr>
      </w:pPr>
    </w:p>
    <w:p>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0"/>
      <w:bookmarkEnd w:id="2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3287.73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99.76</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%。与2023年度相比，一般公共预算财政拨款支出增加86.97万元，增长2.65%。主要变动原因是项目资金科级及以下退休人员活动经费2024年调整为一般公共预算。</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9"/>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color w:val="auto"/>
          <w:sz w:val="32"/>
          <w:szCs w:val="32"/>
          <w:highlight w:val="none"/>
          <w:lang w:eastAsia="zh-CN"/>
        </w:rPr>
        <w:drawing>
          <wp:inline distT="0" distB="0" distL="114300" distR="114300">
            <wp:extent cx="5080635" cy="1756410"/>
            <wp:effectExtent l="4445" t="4445" r="20320" b="1079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3287.73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2717.17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82.65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10.52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0.32</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529.16万元，占16.09%；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30.88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0.94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pStyle w:val="9"/>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pPr>
        <w:pStyle w:val="9"/>
        <w:rPr>
          <w:rFonts w:hint="eastAsia" w:ascii="Times New Roman" w:hAnsi="Times New Roman" w:eastAsia="仿宋_GB2312" w:cs="仿宋_GB2312"/>
          <w:color w:val="auto"/>
          <w:kern w:val="2"/>
          <w:sz w:val="32"/>
          <w:szCs w:val="32"/>
          <w:highlight w:val="none"/>
          <w:lang w:val="en-US" w:eastAsia="zh-CN" w:bidi="ar-SA"/>
        </w:rPr>
      </w:pPr>
    </w:p>
    <w:p>
      <w:pPr>
        <w:pStyle w:val="9"/>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drawing>
          <wp:inline distT="0" distB="0" distL="114300" distR="114300">
            <wp:extent cx="5326380" cy="2521585"/>
            <wp:effectExtent l="4445" t="4445" r="22225" b="762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8460"/>
      <w:bookmarkStart w:id="26" w:name="_Toc15377444"/>
      <w:bookmarkStart w:id="2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3287.73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280.89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社会保障和就业（类）人力资源和社会保障管理事务（款）社会保险经办机构（项）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121.46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163.55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社会保障和就业（类）人力资源和社会保障管理事务（款）其他人力资源和社会保障管理事务支出（项）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1382.03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36.68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18.34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社会保障和就业（类）就业补助（款）其他就业补助支出（项）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556.25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社会保障和就业（类）财政代缴社会保险费支出（款）财政代缴城乡居民基本养老保险费支出（项）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152.37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10.52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529.16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30.88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15"/>
        <w:rPr>
          <w:rFonts w:hint="eastAsia"/>
          <w:lang w:val="en-US" w:eastAsia="zh-CN"/>
        </w:rPr>
      </w:pPr>
    </w:p>
    <w:p>
      <w:pPr>
        <w:tabs>
          <w:tab w:val="right" w:pos="8306"/>
        </w:tabs>
        <w:spacing w:line="600" w:lineRule="exact"/>
        <w:ind w:firstLine="640"/>
        <w:outlineLvl w:val="1"/>
        <w:rPr>
          <w:rStyle w:val="31"/>
          <w:rFonts w:ascii="Times New Roman" w:hAnsi="Times New Roman"/>
          <w:color w:val="auto"/>
          <w:highlight w:val="none"/>
        </w:rPr>
      </w:pPr>
      <w:bookmarkStart w:id="28" w:name="_Toc15377214"/>
      <w:bookmarkStart w:id="2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28"/>
      <w:bookmarkEnd w:id="29"/>
      <w:r>
        <w:rPr>
          <w:rStyle w:val="31"/>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964.06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904.03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60.03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邮电费、差旅费、因公出国（境）费用、维修（护）费、租赁费、公务接待费、委托业务费、工会经费、福利费、其他交通费、其他商品和服务支出、其他资本性支出等。</w:t>
      </w:r>
    </w:p>
    <w:p>
      <w:pPr>
        <w:spacing w:line="600" w:lineRule="exact"/>
        <w:ind w:firstLine="640"/>
        <w:outlineLvl w:val="1"/>
        <w:rPr>
          <w:rStyle w:val="31"/>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0"/>
      <w:bookmarkEnd w:id="3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0.78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1.49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65.63</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rPr>
        <w:t>决算与预算数持平。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0.78</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pStyle w:val="9"/>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bookmarkStart w:id="34" w:name="_Toc9742"/>
      <w:bookmarkStart w:id="35" w:name="_Toc19740"/>
      <w:r>
        <w:rPr>
          <w:rFonts w:hint="eastAsia" w:eastAsia="宋体"/>
          <w:lang w:eastAsia="zh-CN"/>
        </w:rPr>
        <w:object>
          <v:shape id="_x0000_i1025" o:spt="75" type="#_x0000_t75" style="height:148.45pt;width:414.2pt;" o:ole="t" filled="f" o:preferrelative="t" stroked="f" coordsize="21600,21600">
            <v:path/>
            <v:fill on="f" focussize="0,0"/>
            <v:stroke on="f"/>
            <v:imagedata r:id="rId16" o:title=""/>
            <o:lock v:ext="edit" aspectratio="t"/>
            <w10:wrap type="none"/>
            <w10:anchorlock/>
          </v:shape>
          <o:OLEObject Type="Embed" ProgID="Excel.Chart.8" ShapeID="_x0000_i1025" DrawAspect="Content" ObjectID="_1468075725" r:id="rId15">
            <o:LockedField>false</o:LockedField>
          </o:OLEObject>
        </w:object>
      </w:r>
      <w:bookmarkEnd w:id="34"/>
      <w:bookmarkEnd w:id="35"/>
    </w:p>
    <w:p>
      <w:pPr>
        <w:numPr>
          <w:ilvl w:val="0"/>
          <w:numId w:val="0"/>
        </w:numPr>
        <w:spacing w:line="600" w:lineRule="exact"/>
        <w:ind w:firstLine="643" w:firstLineChars="200"/>
        <w:rPr>
          <w:rFonts w:hint="eastAsia"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与2023年持平。</w:t>
      </w:r>
    </w:p>
    <w:p>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0.78万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bookmarkStart w:id="36" w:name="_Toc15396610"/>
      <w:bookmarkStart w:id="37" w:name="_Toc15377218"/>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1.49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65.63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倡导节约</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ascii="仿宋_GB2312" w:eastAsia="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0.78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元，主要用于开展业务活动开支的餐费等。国内公务接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11</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66</w:t>
      </w:r>
      <w:r>
        <w:rPr>
          <w:rFonts w:hint="eastAsia" w:ascii="Times New Roman" w:hAnsi="Times New Roman" w:eastAsia="仿宋_GB2312" w:cs="仿宋_GB2312"/>
          <w:color w:val="auto"/>
          <w:kern w:val="2"/>
          <w:sz w:val="32"/>
          <w:szCs w:val="32"/>
          <w:highlight w:val="none"/>
          <w:lang w:val="en-US" w:eastAsia="zh-CN" w:bidi="ar-SA"/>
        </w:rPr>
        <w:t>人次，共计支出</w:t>
      </w:r>
      <w:r>
        <w:rPr>
          <w:rFonts w:hint="eastAsia" w:eastAsia="仿宋_GB2312" w:cs="仿宋_GB2312"/>
          <w:color w:val="auto"/>
          <w:kern w:val="2"/>
          <w:sz w:val="32"/>
          <w:szCs w:val="32"/>
          <w:highlight w:val="none"/>
          <w:lang w:val="en-US" w:eastAsia="zh-CN" w:bidi="ar-SA"/>
        </w:rPr>
        <w:t>0.78</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仿宋_GB2312" w:eastAsia="仿宋_GB2312"/>
          <w:color w:val="auto"/>
          <w:sz w:val="32"/>
          <w:szCs w:val="32"/>
          <w:highlight w:val="none"/>
          <w:lang w:eastAsia="zh-CN"/>
        </w:rPr>
        <w:t>接待上级部门调研、指导、检查餐费等</w:t>
      </w:r>
      <w:r>
        <w:rPr>
          <w:rFonts w:hint="eastAsia" w:ascii="仿宋_GB2312" w:eastAsia="仿宋_GB2312"/>
          <w:color w:val="auto"/>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6"/>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7.9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0.23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154.86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95.15</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项目资金科级及以下退休人员活动经费2024年纳入一般公共预算。</w:t>
      </w:r>
    </w:p>
    <w:p>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38" w:name="_Toc15377219"/>
      <w:bookmarkStart w:id="39"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8"/>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2023年和2024年持平。</w:t>
      </w:r>
    </w:p>
    <w:p>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0" w:name="_Toc15377221"/>
      <w:bookmarkStart w:id="41"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0"/>
      <w:bookmarkEnd w:id="4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pPr>
        <w:spacing w:line="600" w:lineRule="exact"/>
        <w:ind w:firstLine="640" w:firstLineChars="200"/>
        <w:outlineLvl w:val="2"/>
        <w:rPr>
          <w:rFonts w:hint="eastAsia" w:ascii="仿宋_GB2312" w:hAnsi="仿宋_GB2312" w:eastAsia="仿宋_GB2312"/>
          <w:color w:val="000000"/>
          <w:kern w:val="2"/>
          <w:sz w:val="32"/>
          <w:lang w:val="zh-CN"/>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峨边彝族自治县人力资源和社会保障局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60.03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bookmarkStart w:id="43" w:name="_Toc15377223"/>
      <w:r>
        <w:rPr>
          <w:rFonts w:hint="eastAsia" w:ascii="Times New Roman" w:hAnsi="Times New Roman" w:eastAsia="仿宋_GB2312" w:cs="仿宋_GB2312"/>
          <w:color w:val="auto"/>
          <w:kern w:val="2"/>
          <w:sz w:val="32"/>
          <w:szCs w:val="32"/>
          <w:highlight w:val="none"/>
          <w:lang w:val="en-US" w:eastAsia="zh-CN" w:bidi="ar-SA"/>
        </w:rPr>
        <w:t>比2023年度减少</w:t>
      </w:r>
      <w:r>
        <w:rPr>
          <w:rFonts w:hint="eastAsia" w:eastAsia="仿宋_GB2312" w:cs="仿宋_GB2312"/>
          <w:color w:val="auto"/>
          <w:kern w:val="2"/>
          <w:sz w:val="32"/>
          <w:szCs w:val="32"/>
          <w:highlight w:val="none"/>
          <w:lang w:val="en-US" w:eastAsia="zh-CN" w:bidi="ar-SA"/>
        </w:rPr>
        <w:t>26.12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30.32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_GB2312" w:eastAsia="仿宋_GB2312"/>
          <w:color w:val="000000"/>
          <w:kern w:val="2"/>
          <w:sz w:val="32"/>
          <w:lang w:val="zh-CN"/>
        </w:rPr>
        <w:t>提倡节约，减少公用经费支出。</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峨边彝族自治县人力资源和社会保障局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峨边彝族自治县人力资源和社会保障局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sz w:val="32"/>
          <w:szCs w:val="32"/>
        </w:rPr>
        <w:t>峨边彝族自治县人力资源和社会保障局</w:t>
      </w:r>
      <w:r>
        <w:rPr>
          <w:rFonts w:hint="eastAsia" w:ascii="Times New Roman" w:hAnsi="Times New Roman" w:eastAsia="仿宋_GB2312" w:cs="仿宋_GB2312"/>
          <w:color w:val="auto"/>
          <w:kern w:val="2"/>
          <w:sz w:val="32"/>
          <w:szCs w:val="32"/>
          <w:highlight w:val="none"/>
          <w:lang w:val="en-US" w:eastAsia="zh-CN" w:bidi="ar-SA"/>
        </w:rPr>
        <w:t>在2024年度预算编制阶段，</w:t>
      </w:r>
      <w:r>
        <w:rPr>
          <w:rFonts w:hint="eastAsia" w:ascii="仿宋_GB2312" w:hAnsi="仿宋_GB2312" w:eastAsia="仿宋_GB2312" w:cs="仿宋_GB2312"/>
          <w:sz w:val="32"/>
          <w:szCs w:val="32"/>
        </w:rPr>
        <w:t>组织对行政事业单位科级及以下退休人员活动经费</w:t>
      </w:r>
      <w:r>
        <w:rPr>
          <w:rFonts w:hint="eastAsia" w:ascii="仿宋_GB2312" w:hAnsi="仿宋_GB2312" w:eastAsia="仿宋_GB2312" w:cs="仿宋_GB2312"/>
          <w:sz w:val="32"/>
          <w:szCs w:val="32"/>
          <w:lang w:eastAsia="zh-CN"/>
        </w:rPr>
        <w:t>和</w:t>
      </w:r>
      <w:r>
        <w:rPr>
          <w:rFonts w:hint="eastAsia" w:ascii="仿宋_GB2312" w:hAnsi="宋体" w:eastAsia="仿宋_GB2312"/>
          <w:color w:val="auto"/>
          <w:kern w:val="2"/>
          <w:sz w:val="32"/>
          <w:szCs w:val="32"/>
          <w:lang w:eastAsia="zh-CN"/>
        </w:rPr>
        <w:t>“三支一扶”上级</w:t>
      </w:r>
      <w:r>
        <w:rPr>
          <w:rFonts w:hint="eastAsia" w:ascii="仿宋_GB2312" w:hAnsi="宋体" w:eastAsia="仿宋_GB2312"/>
          <w:color w:val="auto"/>
          <w:kern w:val="2"/>
          <w:sz w:val="32"/>
          <w:szCs w:val="32"/>
        </w:rPr>
        <w:t>补助资金</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r>
        <w:rPr>
          <w:rFonts w:hint="eastAsia" w:ascii="仿宋_GB2312" w:hAnsi="Times New Roman" w:eastAsia="仿宋_GB2312" w:cs="Times New Roman"/>
          <w:color w:val="auto"/>
          <w:sz w:val="32"/>
          <w:szCs w:val="32"/>
          <w:highlight w:val="none"/>
          <w:lang w:val="en-US" w:eastAsia="zh-CN"/>
        </w:rPr>
        <w:t>，绩效自评表详见第四部分附件</w:t>
      </w:r>
      <w:r>
        <w:rPr>
          <w:rFonts w:hint="eastAsia" w:ascii="仿宋_GB2312" w:hAnsi="仿宋_GB2312" w:eastAsia="仿宋_GB2312" w:cs="仿宋_GB2312"/>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rPr>
        <w:t>峨边彝族自治县人力资源和社会保障局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ascii="仿宋_GB2312" w:hAnsi="仿宋_GB2312" w:eastAsia="仿宋_GB2312" w:cs="仿宋_GB2312"/>
          <w:sz w:val="32"/>
          <w:szCs w:val="32"/>
        </w:rPr>
        <w:t>行政事业单位科级及以下退休人员活动经费</w:t>
      </w:r>
      <w:r>
        <w:rPr>
          <w:rFonts w:hint="eastAsia" w:ascii="仿宋_GB2312" w:hAnsi="仿宋_GB2312" w:eastAsia="仿宋_GB2312" w:cs="仿宋_GB2312"/>
          <w:sz w:val="32"/>
          <w:szCs w:val="32"/>
          <w:lang w:eastAsia="zh-CN"/>
        </w:rPr>
        <w:t>和</w:t>
      </w:r>
      <w:r>
        <w:rPr>
          <w:rFonts w:hint="eastAsia" w:ascii="仿宋_GB2312" w:hAnsi="宋体" w:eastAsia="仿宋_GB2312"/>
          <w:color w:val="auto"/>
          <w:kern w:val="2"/>
          <w:sz w:val="32"/>
          <w:szCs w:val="32"/>
          <w:lang w:eastAsia="zh-CN"/>
        </w:rPr>
        <w:t>“三支一扶”上级</w:t>
      </w:r>
      <w:r>
        <w:rPr>
          <w:rFonts w:hint="eastAsia" w:ascii="仿宋_GB2312" w:hAnsi="宋体" w:eastAsia="仿宋_GB2312"/>
          <w:color w:val="auto"/>
          <w:kern w:val="2"/>
          <w:sz w:val="32"/>
          <w:szCs w:val="32"/>
        </w:rPr>
        <w:t>补助资金</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ascii="仿宋_GB2312" w:hAnsi="仿宋_GB2312" w:eastAsia="仿宋_GB2312" w:cs="仿宋_GB2312"/>
          <w:sz w:val="32"/>
          <w:szCs w:val="32"/>
        </w:rPr>
        <w:t>峨边彝族自治县人力资源和社会保障局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w:t>
      </w:r>
      <w:r>
        <w:rPr>
          <w:rFonts w:hint="eastAsia" w:ascii="仿宋_GB2312" w:hAnsi="仿宋_GB2312" w:eastAsia="仿宋_GB2312" w:cs="仿宋_GB2312"/>
          <w:sz w:val="32"/>
          <w:szCs w:val="32"/>
        </w:rPr>
        <w:t>行政事业单位科级及以下退休人员活动经费</w:t>
      </w:r>
      <w:r>
        <w:rPr>
          <w:rFonts w:hint="eastAsia" w:ascii="仿宋_GB2312" w:hAnsi="仿宋_GB2312" w:eastAsia="仿宋_GB2312" w:cs="仿宋_GB2312"/>
          <w:sz w:val="32"/>
          <w:szCs w:val="32"/>
          <w:lang w:eastAsia="zh-CN"/>
        </w:rPr>
        <w:t>和</w:t>
      </w:r>
      <w:r>
        <w:rPr>
          <w:rFonts w:hint="eastAsia" w:ascii="仿宋_GB2312" w:hAnsi="宋体" w:eastAsia="仿宋_GB2312"/>
          <w:color w:val="auto"/>
          <w:kern w:val="2"/>
          <w:sz w:val="32"/>
          <w:szCs w:val="32"/>
          <w:lang w:eastAsia="zh-CN"/>
        </w:rPr>
        <w:t>“三支一扶”上级</w:t>
      </w:r>
      <w:r>
        <w:rPr>
          <w:rFonts w:hint="eastAsia" w:ascii="仿宋_GB2312" w:hAnsi="宋体" w:eastAsia="仿宋_GB2312"/>
          <w:color w:val="auto"/>
          <w:kern w:val="2"/>
          <w:sz w:val="32"/>
          <w:szCs w:val="32"/>
        </w:rPr>
        <w:t>补助资金</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分。绩效自评表详见附件。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96613"/>
      <w:bookmarkStart w:id="46"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numPr>
          <w:ilvl w:val="0"/>
          <w:numId w:val="0"/>
        </w:numPr>
        <w:spacing w:line="600" w:lineRule="exact"/>
        <w:ind w:firstLine="640" w:firstLineChars="200"/>
        <w:rPr>
          <w:rStyle w:val="18"/>
          <w:rFonts w:hint="eastAsia" w:ascii="仿宋" w:hAnsi="仿宋" w:eastAsia="仿宋"/>
          <w:b w:val="0"/>
          <w:bCs w:val="0"/>
          <w:color w:val="auto"/>
          <w:sz w:val="32"/>
          <w:szCs w:val="32"/>
          <w:highlight w:val="none"/>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社会保障和就业（类）人力资源和社会保障管理事务（款）行政运行（项）</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b w:val="0"/>
          <w:bCs w:val="0"/>
          <w:color w:val="auto"/>
          <w:sz w:val="32"/>
          <w:szCs w:val="32"/>
          <w:highlight w:val="none"/>
          <w:lang w:eastAsia="zh-CN"/>
        </w:rPr>
        <w:t>反映行政单位（包括实行公务员管理的事业单位）的基本支出</w:t>
      </w:r>
      <w:r>
        <w:rPr>
          <w:rStyle w:val="18"/>
          <w:rFonts w:hint="eastAsia" w:ascii="仿宋" w:hAnsi="仿宋" w:eastAsia="仿宋"/>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lang w:eastAsia="zh-CN"/>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社会保障和就业（类）人力资源和社会保障管理事务（款）社会保险经办机构（项）</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cs="Times New Roman"/>
          <w:b w:val="0"/>
          <w:bCs w:val="0"/>
          <w:color w:val="auto"/>
          <w:sz w:val="32"/>
          <w:szCs w:val="32"/>
          <w:highlight w:val="none"/>
          <w:lang w:eastAsia="zh-CN"/>
        </w:rPr>
        <w:t>反映社会保险经办机构开展业务工作的支出。</w:t>
      </w:r>
    </w:p>
    <w:p>
      <w:pPr>
        <w:numPr>
          <w:ilvl w:val="0"/>
          <w:numId w:val="0"/>
        </w:numPr>
        <w:spacing w:line="600" w:lineRule="exact"/>
        <w:ind w:firstLine="640" w:firstLineChars="200"/>
        <w:rPr>
          <w:rStyle w:val="18"/>
          <w:rFonts w:hint="eastAsia" w:ascii="仿宋" w:hAnsi="仿宋" w:eastAsia="仿宋" w:cs="Times New Roman"/>
          <w:b w:val="0"/>
          <w:bCs w:val="0"/>
          <w:color w:val="auto"/>
          <w:sz w:val="32"/>
          <w:szCs w:val="32"/>
          <w:highlight w:val="none"/>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社会保障和就业（类）人力资源和社会保障管理事务（款）事业运行（项）</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cs="Times New Roman"/>
          <w:b w:val="0"/>
          <w:bCs w:val="0"/>
          <w:color w:val="auto"/>
          <w:sz w:val="32"/>
          <w:szCs w:val="32"/>
          <w:highlight w:val="none"/>
          <w:lang w:eastAsia="zh-CN"/>
        </w:rPr>
        <w:t>指反映事业单位基本支出</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社会保障和就业（类）人力资源和社会保障管理事务（款）其他人力资源和社会保障管理事务支出（项）</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cs="Times New Roman"/>
          <w:b w:val="0"/>
          <w:bCs w:val="0"/>
          <w:color w:val="auto"/>
          <w:sz w:val="32"/>
          <w:szCs w:val="32"/>
          <w:highlight w:val="none"/>
          <w:lang w:eastAsia="zh-CN"/>
        </w:rPr>
        <w:t>指反映除明确列出项目以外其他用于人力资源和社会保障管理事务方面的支出</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lang w:val="en-US" w:eastAsia="zh-CN"/>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cs="Times New Roman"/>
          <w:b w:val="0"/>
          <w:bCs w:val="0"/>
          <w:color w:val="auto"/>
          <w:sz w:val="32"/>
          <w:szCs w:val="32"/>
          <w:highlight w:val="none"/>
          <w:lang w:eastAsia="zh-CN"/>
        </w:rPr>
        <w:t>指反映机关事业单位实施养老保险制度由单位缴纳的基本养老保险费支出</w:t>
      </w:r>
      <w:r>
        <w:rPr>
          <w:rStyle w:val="18"/>
          <w:rFonts w:hint="eastAsia" w:ascii="仿宋" w:hAnsi="仿宋" w:eastAsia="仿宋" w:cs="Times New Roman"/>
          <w:b w:val="0"/>
          <w:bCs w:val="0"/>
          <w:color w:val="auto"/>
          <w:sz w:val="32"/>
          <w:szCs w:val="32"/>
          <w:highlight w:val="none"/>
        </w:rPr>
        <w:t>。</w:t>
      </w:r>
    </w:p>
    <w:p>
      <w:pPr>
        <w:numPr>
          <w:ilvl w:val="0"/>
          <w:numId w:val="0"/>
        </w:numPr>
        <w:spacing w:line="600" w:lineRule="exact"/>
        <w:ind w:firstLine="640" w:firstLineChars="200"/>
        <w:rPr>
          <w:rStyle w:val="18"/>
          <w:rFonts w:hint="eastAsia" w:ascii="仿宋" w:hAnsi="仿宋" w:eastAsia="仿宋" w:cs="Times New Roman"/>
          <w:b w:val="0"/>
          <w:bCs w:val="0"/>
          <w:color w:val="auto"/>
          <w:sz w:val="32"/>
          <w:szCs w:val="32"/>
          <w:highlight w:val="none"/>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cs="Times New Roman"/>
          <w:b w:val="0"/>
          <w:bCs w:val="0"/>
          <w:color w:val="auto"/>
          <w:sz w:val="32"/>
          <w:szCs w:val="32"/>
          <w:highlight w:val="none"/>
          <w:lang w:eastAsia="zh-CN"/>
        </w:rPr>
        <w:t>指反映机关事业单位实施养老保险制度由单位实际缴纳的职业年金支出</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社会保障和就业（类）就业补助（款）其他就业补助支出（项）</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cs="Times New Roman"/>
          <w:b w:val="0"/>
          <w:bCs w:val="0"/>
          <w:color w:val="auto"/>
          <w:sz w:val="32"/>
          <w:szCs w:val="32"/>
          <w:highlight w:val="none"/>
          <w:lang w:eastAsia="zh-CN"/>
        </w:rPr>
        <w:t>反映明确项目以外按规定确定的其他用于促进就业的补助支出</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lang w:eastAsia="zh-CN"/>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社会保障和就业（类）财政代缴社会保险费支出（款）财政代缴城乡居民基本养老保险费支出（项）</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cs="Times New Roman"/>
          <w:b w:val="0"/>
          <w:bCs w:val="0"/>
          <w:color w:val="auto"/>
          <w:sz w:val="32"/>
          <w:szCs w:val="32"/>
          <w:highlight w:val="none"/>
          <w:lang w:eastAsia="zh-CN"/>
        </w:rPr>
        <w:t>反映财政为生活困难人员缴纳的城乡居民基本养老保险费支出。</w:t>
      </w:r>
    </w:p>
    <w:p>
      <w:pPr>
        <w:numPr>
          <w:ilvl w:val="0"/>
          <w:numId w:val="0"/>
        </w:numPr>
        <w:spacing w:line="600" w:lineRule="exact"/>
        <w:ind w:firstLine="640" w:firstLineChars="200"/>
        <w:rPr>
          <w:rStyle w:val="18"/>
          <w:rFonts w:hint="eastAsia" w:ascii="仿宋" w:hAnsi="仿宋" w:eastAsia="仿宋" w:cs="Times New Roman"/>
          <w:b w:val="0"/>
          <w:bCs w:val="0"/>
          <w:color w:val="auto"/>
          <w:sz w:val="32"/>
          <w:szCs w:val="32"/>
          <w:highlight w:val="none"/>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cs="Times New Roman"/>
          <w:b w:val="0"/>
          <w:bCs w:val="0"/>
          <w:color w:val="auto"/>
          <w:sz w:val="32"/>
          <w:szCs w:val="32"/>
          <w:highlight w:val="none"/>
          <w:lang w:eastAsia="zh-CN"/>
        </w:rPr>
        <w:t>指反映除明确列出项目以外其他用于社会保障和就业方面的支出</w:t>
      </w:r>
      <w:r>
        <w:rPr>
          <w:rStyle w:val="18"/>
          <w:rFonts w:hint="eastAsia" w:ascii="仿宋" w:hAnsi="仿宋" w:eastAsia="仿宋" w:cs="Times New Roman"/>
          <w:b w:val="0"/>
          <w:bCs w:val="0"/>
          <w:color w:val="auto"/>
          <w:sz w:val="32"/>
          <w:szCs w:val="32"/>
          <w:highlight w:val="none"/>
        </w:rPr>
        <w:t>。</w:t>
      </w:r>
    </w:p>
    <w:p>
      <w:pPr>
        <w:numPr>
          <w:ilvl w:val="0"/>
          <w:numId w:val="0"/>
        </w:numPr>
        <w:spacing w:line="600" w:lineRule="exact"/>
        <w:ind w:firstLine="640" w:firstLineChars="200"/>
        <w:rPr>
          <w:rStyle w:val="18"/>
          <w:rFonts w:hint="eastAsia" w:ascii="仿宋" w:hAnsi="仿宋" w:eastAsia="仿宋" w:cs="Times New Roman"/>
          <w:b w:val="0"/>
          <w:bCs w:val="0"/>
          <w:color w:val="auto"/>
          <w:sz w:val="32"/>
          <w:szCs w:val="32"/>
          <w:highlight w:val="none"/>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cs="Times New Roman"/>
          <w:b w:val="0"/>
          <w:bCs w:val="0"/>
          <w:color w:val="auto"/>
          <w:sz w:val="32"/>
          <w:szCs w:val="32"/>
          <w:highlight w:val="none"/>
          <w:lang w:eastAsia="zh-CN"/>
        </w:rPr>
        <w:t>指反映财政部门安排的行政单位（包括实行公务员管理的事业单位）基本医疗保险缴费经费</w:t>
      </w:r>
      <w:r>
        <w:rPr>
          <w:rStyle w:val="18"/>
          <w:rFonts w:hint="eastAsia" w:ascii="仿宋" w:hAnsi="仿宋" w:eastAsia="仿宋" w:cs="Times New Roman"/>
          <w:b w:val="0"/>
          <w:bCs w:val="0"/>
          <w:color w:val="auto"/>
          <w:sz w:val="32"/>
          <w:szCs w:val="32"/>
          <w:highlight w:val="none"/>
        </w:rPr>
        <w:t>。</w:t>
      </w:r>
    </w:p>
    <w:p>
      <w:pPr>
        <w:numPr>
          <w:ilvl w:val="0"/>
          <w:numId w:val="0"/>
        </w:num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城乡社区支出（类）国有土地使用权出让收入安排的支出（款）其他国有土地使用权出让收入安排的支出（项）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反映土地出让收入用于其他方面支出</w:t>
      </w:r>
      <w:r>
        <w:rPr>
          <w:rFonts w:hint="eastAsia" w:eastAsia="仿宋_GB2312" w:cs="仿宋_GB2312"/>
          <w:color w:val="auto"/>
          <w:kern w:val="2"/>
          <w:sz w:val="32"/>
          <w:szCs w:val="32"/>
          <w:highlight w:val="none"/>
          <w:lang w:val="en-US" w:eastAsia="zh-CN" w:bidi="ar-SA"/>
        </w:rPr>
        <w:t>。</w:t>
      </w:r>
    </w:p>
    <w:p>
      <w:pPr>
        <w:spacing w:line="600" w:lineRule="exact"/>
        <w:ind w:firstLine="640" w:firstLineChars="200"/>
        <w:rPr>
          <w:rStyle w:val="18"/>
          <w:rFonts w:hint="eastAsia" w:ascii="仿宋" w:hAnsi="仿宋" w:eastAsia="仿宋" w:cs="Times New Roman"/>
          <w:b w:val="0"/>
          <w:bCs w:val="0"/>
          <w:color w:val="auto"/>
          <w:sz w:val="32"/>
          <w:szCs w:val="32"/>
          <w:highlight w:val="none"/>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cs="Times New Roman"/>
          <w:b w:val="0"/>
          <w:bCs w:val="0"/>
          <w:color w:val="auto"/>
          <w:sz w:val="32"/>
          <w:szCs w:val="32"/>
          <w:highlight w:val="none"/>
          <w:lang w:eastAsia="zh-CN"/>
        </w:rPr>
        <w:t>反映明确项目以外其他用于巩固拓展脱贫攻坚成果同乡村振兴有效衔接方面的支出</w:t>
      </w:r>
      <w:r>
        <w:rPr>
          <w:rStyle w:val="18"/>
          <w:rFonts w:hint="eastAsia" w:ascii="仿宋" w:hAnsi="仿宋" w:eastAsia="仿宋" w:cs="Times New Roman"/>
          <w:b w:val="0"/>
          <w:bCs w:val="0"/>
          <w:color w:val="auto"/>
          <w:sz w:val="32"/>
          <w:szCs w:val="32"/>
          <w:highlight w:val="none"/>
        </w:rPr>
        <w:t>。</w:t>
      </w:r>
    </w:p>
    <w:p>
      <w:pPr>
        <w:spacing w:line="600" w:lineRule="exact"/>
        <w:ind w:firstLine="640" w:firstLineChars="2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cs="Times New Roman"/>
          <w:b w:val="0"/>
          <w:bCs w:val="0"/>
          <w:color w:val="auto"/>
          <w:sz w:val="32"/>
          <w:szCs w:val="32"/>
          <w:highlight w:val="none"/>
          <w:lang w:eastAsia="zh-CN"/>
        </w:rPr>
        <w:t>指反映行政事业单位按人力资源和社会保障部、财政部规定的基本工资和津贴补贴以及规定比例为职工缴费的住房公积金</w:t>
      </w:r>
      <w:r>
        <w:rPr>
          <w:rStyle w:val="18"/>
          <w:rFonts w:hint="eastAsia" w:ascii="仿宋" w:hAnsi="仿宋" w:eastAsia="仿宋" w:cs="Times New Roman"/>
          <w:b w:val="0"/>
          <w:bCs w:val="0"/>
          <w:color w:val="auto"/>
          <w:sz w:val="32"/>
          <w:szCs w:val="32"/>
          <w:highlight w:val="none"/>
        </w:rPr>
        <w:t>。</w:t>
      </w:r>
    </w:p>
    <w:p>
      <w:pPr>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15</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16</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项目支出：指在基本支出之外为完成特定行政任务和事业发展目标所发生的支出。</w:t>
      </w:r>
      <w:r>
        <w:rPr>
          <w:rFonts w:ascii="仿宋_GB2312" w:eastAsia="仿宋_GB2312"/>
          <w:b w:val="0"/>
          <w:bCs w:val="0"/>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b w:val="0"/>
          <w:bCs w:val="0"/>
          <w:color w:val="auto"/>
          <w:sz w:val="32"/>
          <w:szCs w:val="32"/>
          <w:highlight w:val="none"/>
          <w:lang w:val="en-US" w:eastAsia="zh-CN"/>
        </w:rPr>
        <w:t>17</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“三公”经费：指部门用财政拨款安排的因公出国</w:t>
      </w:r>
      <w:r>
        <w:rPr>
          <w:rFonts w:hint="eastAsia" w:ascii="仿宋_GB2312" w:eastAsia="仿宋_GB2312"/>
          <w:color w:val="auto"/>
          <w:sz w:val="32"/>
          <w:szCs w:val="32"/>
          <w:highlight w:val="none"/>
        </w:rPr>
        <w:t>（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w:t>
      </w:r>
      <w:r>
        <w:rPr>
          <w:rFonts w:hint="eastAsia" w:ascii="Times New Roman" w:hAnsi="Times New Roman" w:eastAsia="仿宋_GB2312" w:cs="仿宋_GB2312"/>
          <w:color w:val="auto"/>
          <w:kern w:val="2"/>
          <w:sz w:val="32"/>
          <w:szCs w:val="32"/>
          <w:highlight w:val="none"/>
          <w:lang w:val="en-US" w:eastAsia="zh-CN" w:bidi="ar-SA"/>
        </w:rPr>
        <w:t>办公费、印刷费、咨询费、手续费、邮电费、差旅费、维修（护）费、租赁费、公务接待费、委托业务费、工会经费、福利费、其他交通费、其他商品和服务支出、其他资本性支出等。</w:t>
      </w:r>
    </w:p>
    <w:p>
      <w:pPr>
        <w:spacing w:line="600" w:lineRule="exact"/>
        <w:jc w:val="center"/>
        <w:rPr>
          <w:rStyle w:val="30"/>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pPr>
        <w:keepNext w:val="0"/>
        <w:keepLines w:val="0"/>
        <w:pageBreakBefore w:val="0"/>
        <w:kinsoku/>
        <w:wordWrap/>
        <w:overflowPunct/>
        <w:topLinePunct w:val="0"/>
        <w:autoSpaceDE/>
        <w:autoSpaceDN/>
        <w:bidi w:val="0"/>
        <w:spacing w:line="572" w:lineRule="exact"/>
        <w:jc w:val="left"/>
        <w:textAlignment w:val="auto"/>
        <w:outlineLvl w:val="0"/>
        <w:rPr>
          <w:rFonts w:hint="eastAsia" w:eastAsia="宋体"/>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pPr>
        <w:widowControl/>
        <w:numPr>
          <w:ilvl w:val="0"/>
          <w:numId w:val="0"/>
        </w:numPr>
        <w:spacing w:line="580" w:lineRule="exact"/>
        <w:contextualSpacing/>
        <w:jc w:val="center"/>
        <w:rPr>
          <w:rFonts w:hint="eastAsia" w:ascii="方正小标宋简体" w:hAnsi="宋体" w:eastAsia="方正小标宋简体"/>
          <w:color w:val="auto"/>
          <w:sz w:val="44"/>
          <w:szCs w:val="44"/>
          <w:shd w:val="clear" w:color="auto" w:fill="FFFFFF"/>
          <w:lang w:eastAsia="zh-CN"/>
        </w:rPr>
      </w:pPr>
    </w:p>
    <w:p>
      <w:pPr>
        <w:widowControl/>
        <w:numPr>
          <w:ilvl w:val="0"/>
          <w:numId w:val="0"/>
        </w:numPr>
        <w:spacing w:line="580" w:lineRule="exact"/>
        <w:contextualSpacing/>
        <w:jc w:val="center"/>
        <w:rPr>
          <w:rFonts w:hint="eastAsia" w:ascii="方正小标宋简体" w:hAnsi="宋体" w:eastAsia="方正小标宋简体"/>
          <w:color w:val="auto"/>
          <w:sz w:val="44"/>
          <w:szCs w:val="44"/>
          <w:shd w:val="clear" w:color="auto" w:fill="FFFFFF"/>
          <w:lang w:eastAsia="zh-CN"/>
        </w:rPr>
      </w:pPr>
      <w:r>
        <w:rPr>
          <w:rFonts w:hint="eastAsia" w:ascii="方正小标宋简体" w:hAnsi="宋体" w:eastAsia="方正小标宋简体"/>
          <w:color w:val="auto"/>
          <w:sz w:val="44"/>
          <w:szCs w:val="44"/>
          <w:shd w:val="clear" w:color="auto" w:fill="FFFFFF"/>
          <w:lang w:eastAsia="zh-CN"/>
        </w:rPr>
        <w:t>峨边彝族自治县人力资源和社会保障局</w:t>
      </w:r>
    </w:p>
    <w:p>
      <w:pPr>
        <w:widowControl/>
        <w:numPr>
          <w:ilvl w:val="0"/>
          <w:numId w:val="0"/>
        </w:numPr>
        <w:spacing w:line="580" w:lineRule="exact"/>
        <w:contextualSpacing/>
        <w:jc w:val="center"/>
        <w:rPr>
          <w:rFonts w:ascii="方正仿宋_GBK" w:hAnsi="宋体" w:eastAsia="方正仿宋_GBK" w:cs="宋体"/>
          <w:color w:val="auto"/>
          <w:kern w:val="0"/>
          <w:sz w:val="33"/>
          <w:szCs w:val="33"/>
          <w:shd w:val="clear" w:color="auto" w:fill="FFFFFF"/>
        </w:rPr>
      </w:pPr>
      <w:r>
        <w:rPr>
          <w:rFonts w:hint="eastAsia" w:ascii="方正小标宋简体" w:hAnsi="宋体" w:eastAsia="方正小标宋简体"/>
          <w:color w:val="auto"/>
          <w:sz w:val="44"/>
          <w:szCs w:val="44"/>
          <w:shd w:val="clear" w:color="auto" w:fill="FFFFFF"/>
          <w:lang w:eastAsia="zh-CN"/>
        </w:rPr>
        <w:t>部门整体支出预算绩效自评报告</w:t>
      </w:r>
    </w:p>
    <w:p>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rPr>
        <w:t>一、</w:t>
      </w:r>
      <w:r>
        <w:rPr>
          <w:rFonts w:hint="eastAsia" w:ascii="仿宋" w:hAnsi="仿宋" w:eastAsia="仿宋" w:cs="仿宋"/>
          <w:color w:val="auto"/>
          <w:kern w:val="0"/>
          <w:sz w:val="32"/>
          <w:szCs w:val="32"/>
          <w:shd w:val="clear" w:color="auto" w:fill="FFFFFF"/>
          <w:lang w:val="zh-CN"/>
        </w:rPr>
        <w:t>部门基本情况</w:t>
      </w:r>
    </w:p>
    <w:p>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（一）机构组成。</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2"/>
          <w:sz w:val="32"/>
          <w:szCs w:val="32"/>
          <w:lang w:val="zh-CN" w:eastAsia="zh-CN" w:bidi="ar-SA"/>
        </w:rPr>
        <w:t>峨边彝族自治县人力资源和社会保障局预算单位1个，其中：行政单位</w:t>
      </w: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kern w:val="2"/>
          <w:sz w:val="32"/>
          <w:szCs w:val="32"/>
          <w:lang w:val="zh-CN" w:eastAsia="zh-CN" w:bidi="ar-SA"/>
        </w:rPr>
        <w:t>个，未独立核算的下属事业单位</w:t>
      </w: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kern w:val="2"/>
          <w:sz w:val="32"/>
          <w:szCs w:val="32"/>
          <w:lang w:val="zh-CN" w:eastAsia="zh-CN" w:bidi="ar-SA"/>
        </w:rPr>
        <w:t>个</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zh-CN" w:eastAsia="zh-CN" w:bidi="ar-SA"/>
        </w:rPr>
        <w:t>仲裁院</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zh-CN" w:eastAsia="zh-CN" w:bidi="ar-SA"/>
        </w:rPr>
        <w:t>。下设办公室、事业单位人事管理股（职称职位股）、社会保险股（就业促进股）、劳动保障监察股（劳动保障监察大队）。</w:t>
      </w:r>
    </w:p>
    <w:p>
      <w:pPr>
        <w:widowControl/>
        <w:numPr>
          <w:ilvl w:val="0"/>
          <w:numId w:val="1"/>
        </w:numPr>
        <w:adjustRightInd w:val="0"/>
        <w:snapToGrid w:val="0"/>
        <w:spacing w:line="580" w:lineRule="exact"/>
        <w:ind w:firstLine="640" w:firstLineChars="200"/>
        <w:contextualSpacing/>
        <w:jc w:val="left"/>
        <w:rPr>
          <w:rFonts w:hint="eastAsia" w:ascii="仿宋" w:hAnsi="仿宋" w:eastAsia="仿宋" w:cs="仿宋"/>
          <w:color w:val="auto"/>
          <w:sz w:val="32"/>
          <w:szCs w:val="32"/>
          <w:lang w:val="zh-CN"/>
        </w:rPr>
      </w:pPr>
      <w:r>
        <w:rPr>
          <w:rFonts w:hint="eastAsia" w:ascii="仿宋" w:hAnsi="仿宋" w:eastAsia="仿宋" w:cs="仿宋"/>
          <w:color w:val="auto"/>
          <w:kern w:val="0"/>
          <w:sz w:val="32"/>
          <w:szCs w:val="32"/>
          <w:shd w:val="clear" w:color="auto" w:fill="FFFFFF"/>
          <w:lang w:val="zh-CN"/>
        </w:rPr>
        <w:t>机构职能和人员概况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zh-CN" w:eastAsia="zh-CN" w:bidi="ar-SA"/>
        </w:rPr>
        <w:t>职能简介：负责全县机关、企事业单位工作人员宏观规划、结构调整和监督管理，对全县政府系统进行指导、监督检查、协调服务；编制全县机关、企事业单位工作人员工资计划。综合管理全县专业技术人员工作。综合管理全县机关、事业单位工作人员的工资、工龄职称工作。负责全县人事劳动争议工作。负责促进就业工作。统筹建立覆盖全县城乡的社会保障体系。负责退休、退职政策的执行并结合我县实情进行实施。负责政府奖励、表彰（表扬）工作，负责有关惩戒与申诉控告工作，负责指导各类机关、事业、企业、社团人员的聘用。</w:t>
      </w:r>
    </w:p>
    <w:p>
      <w:pPr>
        <w:keepNext w:val="0"/>
        <w:keepLines w:val="0"/>
        <w:pageBreakBefore w:val="0"/>
        <w:widowControl/>
        <w:numPr>
          <w:ilvl w:val="0"/>
          <w:numId w:val="0"/>
        </w:numPr>
        <w:tabs>
          <w:tab w:val="left" w:pos="3840"/>
        </w:tab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lang w:val="zh-CN" w:eastAsia="zh-CN" w:bidi="ar-SA"/>
        </w:rPr>
        <w:t>人员概况</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zh-CN" w:eastAsia="zh-CN" w:bidi="ar-SA"/>
        </w:rPr>
        <w:t>峨边彝族自治县人力资源和社会保障局行政编制</w:t>
      </w:r>
      <w:r>
        <w:rPr>
          <w:rFonts w:hint="eastAsia" w:ascii="仿宋" w:hAnsi="仿宋" w:eastAsia="仿宋" w:cs="仿宋"/>
          <w:color w:val="auto"/>
          <w:kern w:val="2"/>
          <w:sz w:val="32"/>
          <w:szCs w:val="32"/>
          <w:lang w:val="en-US" w:eastAsia="zh-CN" w:bidi="ar-SA"/>
        </w:rPr>
        <w:t>8名</w:t>
      </w:r>
      <w:r>
        <w:rPr>
          <w:rFonts w:hint="eastAsia" w:ascii="仿宋" w:hAnsi="仿宋" w:eastAsia="仿宋" w:cs="仿宋"/>
          <w:color w:val="auto"/>
          <w:kern w:val="2"/>
          <w:sz w:val="32"/>
          <w:szCs w:val="32"/>
          <w:lang w:val="zh-CN" w:eastAsia="zh-CN" w:bidi="ar-SA"/>
        </w:rPr>
        <w:t>、机关工勤编制</w:t>
      </w: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lang w:val="zh-CN" w:eastAsia="zh-CN" w:bidi="ar-SA"/>
        </w:rPr>
        <w:t>名；下属事业单位</w:t>
      </w:r>
      <w:r>
        <w:rPr>
          <w:rFonts w:hint="eastAsia" w:ascii="仿宋" w:hAnsi="仿宋" w:eastAsia="仿宋" w:cs="仿宋"/>
          <w:color w:val="auto"/>
          <w:kern w:val="2"/>
          <w:sz w:val="32"/>
          <w:szCs w:val="32"/>
          <w:lang w:val="en-US" w:eastAsia="zh-CN" w:bidi="ar-SA"/>
        </w:rPr>
        <w:t>仲裁院事业编制3名。</w:t>
      </w:r>
    </w:p>
    <w:p>
      <w:pPr>
        <w:widowControl/>
        <w:numPr>
          <w:ilvl w:val="0"/>
          <w:numId w:val="1"/>
        </w:numPr>
        <w:adjustRightInd w:val="0"/>
        <w:snapToGrid w:val="0"/>
        <w:spacing w:line="580" w:lineRule="exact"/>
        <w:ind w:left="0" w:leftChars="0" w:firstLine="640" w:firstLineChars="200"/>
        <w:contextualSpacing/>
        <w:jc w:val="left"/>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年度主要工作任务。</w:t>
      </w:r>
    </w:p>
    <w:p>
      <w:pPr>
        <w:pStyle w:val="12"/>
        <w:numPr>
          <w:ilvl w:val="0"/>
          <w:numId w:val="0"/>
        </w:numPr>
        <w:ind w:leftChars="200"/>
        <w:rPr>
          <w:rFonts w:hint="eastAsia" w:ascii="仿宋" w:hAnsi="仿宋" w:eastAsia="仿宋" w:cs="仿宋"/>
          <w:color w:val="auto"/>
          <w:sz w:val="32"/>
          <w:szCs w:val="32"/>
          <w:lang w:val="zh-CN"/>
        </w:rPr>
      </w:pPr>
    </w:p>
    <w:p>
      <w:pPr>
        <w:pStyle w:val="12"/>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本部门2024年主要工作任务及完成情况：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z w:val="32"/>
          <w:szCs w:val="32"/>
          <w:lang w:val="en-US" w:eastAsia="zh-CN"/>
        </w:rPr>
        <w:t>1.强化政治引领，努力抓班子带队伍。</w:t>
      </w:r>
      <w:r>
        <w:rPr>
          <w:rFonts w:hint="eastAsia" w:ascii="仿宋" w:hAnsi="仿宋" w:eastAsia="仿宋" w:cs="仿宋"/>
          <w:b w:val="0"/>
          <w:bCs w:val="0"/>
          <w:color w:val="auto"/>
          <w:spacing w:val="0"/>
          <w:sz w:val="32"/>
          <w:szCs w:val="32"/>
          <w:lang w:val="en-US" w:eastAsia="zh-CN"/>
        </w:rPr>
        <w:t>坚持党建统揽，围绕节奏更快、效率更高、质量更优要求和县委工作部署抓落实。召开党组会18次、理论中心学习10次，班子议事会11次；督促机关党委健全“三会一课”制度，加强15个离退休党支部日常管理；继</w:t>
      </w:r>
      <w:r>
        <w:rPr>
          <w:rFonts w:hint="eastAsia" w:ascii="仿宋" w:hAnsi="仿宋" w:eastAsia="仿宋" w:cs="仿宋"/>
          <w:b w:val="0"/>
          <w:bCs w:val="0"/>
          <w:color w:val="auto"/>
          <w:sz w:val="32"/>
          <w:szCs w:val="32"/>
          <w:lang w:val="en-US" w:eastAsia="zh-CN"/>
        </w:rPr>
        <w:t>续选派2名年轻得力干部驻村帮扶，工作在村、岗位在村、吃住在村。落实分管+业务骨干“师带徒”加大对5名新入职干部的传帮带培养；</w:t>
      </w:r>
      <w:r>
        <w:rPr>
          <w:rFonts w:hint="eastAsia" w:ascii="仿宋" w:hAnsi="仿宋" w:eastAsia="仿宋" w:cs="仿宋"/>
          <w:b w:val="0"/>
          <w:bCs w:val="0"/>
          <w:color w:val="auto"/>
          <w:spacing w:val="0"/>
          <w:sz w:val="32"/>
          <w:szCs w:val="32"/>
          <w:lang w:val="en-US" w:eastAsia="zh-CN"/>
        </w:rPr>
        <w:t>组织机关干部参加人社系统技能练兵比武、学法用法考试等，党组班子和干部职工学理论、用政策、钻业务能力得到提高，干事精神和团队活力得到增强。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2.突出人才先行，努力聚人才纳贤才。推进人才立法，按步骤完成《峨边彝族自治县人才发展促进条例》制定和送审。坚持公开公平竞争择优原则，公开招聘事业人员24人，考核招聘省属公费师生20人，</w:t>
      </w:r>
      <w:r>
        <w:rPr>
          <w:rFonts w:hint="eastAsia" w:ascii="仿宋" w:hAnsi="仿宋" w:eastAsia="仿宋" w:cs="仿宋"/>
          <w:b w:val="0"/>
          <w:bCs w:val="0"/>
          <w:snapToGrid w:val="0"/>
          <w:color w:val="auto"/>
          <w:kern w:val="0"/>
          <w:sz w:val="32"/>
          <w:szCs w:val="32"/>
          <w:u w:val="none"/>
          <w:lang w:val="en-US" w:eastAsia="zh-CN"/>
        </w:rPr>
        <w:t>考核聘用服务期满特岗教师为农村义教阶段中小学教师10人、</w:t>
      </w:r>
      <w:r>
        <w:rPr>
          <w:rFonts w:hint="eastAsia" w:ascii="仿宋" w:hAnsi="仿宋" w:eastAsia="仿宋" w:cs="仿宋"/>
          <w:b w:val="0"/>
          <w:bCs w:val="0"/>
          <w:color w:val="auto"/>
          <w:sz w:val="32"/>
          <w:szCs w:val="32"/>
          <w:lang w:val="en-US" w:eastAsia="zh-CN"/>
        </w:rPr>
        <w:t>大学生乡村医生5人、订单定向医学生8名，新招募“三支一扶”人员70名。严密招考组织工作，全过程公正透明，守住人事考试安全底线。开展岗位职称情况摸底调研，草拟专技岗位竞聘上岗管理办法，会同组织、人才部门制定了峨边彝族自治县公务员职级晋升和事业单位管理岗位职员等级晋升管理办法（试行），完成20个涉改部门和乡镇岗位设置调整。强化事业人员管理，完成2023年事业人员年度考核工作；指导行业部门2024年专技职称评审，</w:t>
      </w:r>
      <w:r>
        <w:rPr>
          <w:rFonts w:hint="eastAsia" w:ascii="仿宋" w:hAnsi="仿宋" w:eastAsia="仿宋" w:cs="仿宋"/>
          <w:b w:val="0"/>
          <w:bCs w:val="0"/>
          <w:color w:val="auto"/>
          <w:spacing w:val="8"/>
          <w:kern w:val="2"/>
          <w:sz w:val="32"/>
          <w:szCs w:val="32"/>
          <w:shd w:val="clear" w:color="auto" w:fill="FFFFFF"/>
          <w:lang w:val="en-US" w:eastAsia="zh-CN" w:bidi="ar-SA"/>
        </w:rPr>
        <w:t>审批办理事业人员晋升薪级2325人，办理</w:t>
      </w:r>
      <w:r>
        <w:rPr>
          <w:rFonts w:hint="eastAsia" w:ascii="仿宋" w:hAnsi="仿宋" w:eastAsia="仿宋" w:cs="仿宋"/>
          <w:b w:val="0"/>
          <w:bCs w:val="0"/>
          <w:color w:val="auto"/>
          <w:sz w:val="32"/>
          <w:szCs w:val="32"/>
          <w:lang w:val="en-US" w:eastAsia="zh-CN"/>
        </w:rPr>
        <w:t>退休80名，办理事业人员一次性抚恤金、丧葬费11人。按程序调配优化事业干部71人，其中调出县外16人，县内调动55人。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突出就业优先，努力稳就业促创业。积极应对就业严峻形势，多措并举确保全县就业总体稳定。开展职业技能培训48期1776人，完成目标任务177%。城镇新增就业764人，完成目标任务109%；城镇失业人员再就业201人，完成目标任务100.5%；就业困难人员就业82人，完成目标任务103%；农村公益性岗位安置就业困难人员2203人。组建</w:t>
      </w:r>
      <w:r>
        <w:rPr>
          <w:rFonts w:hint="eastAsia" w:ascii="仿宋" w:hAnsi="仿宋" w:eastAsia="仿宋" w:cs="仿宋"/>
          <w:b w:val="0"/>
          <w:bCs w:val="0"/>
          <w:color w:val="auto"/>
          <w:sz w:val="32"/>
          <w:szCs w:val="32"/>
          <w:highlight w:val="none"/>
        </w:rPr>
        <w:t>县乡村三级劳务体系，</w:t>
      </w:r>
      <w:r>
        <w:rPr>
          <w:rFonts w:hint="eastAsia" w:ascii="仿宋" w:hAnsi="仿宋" w:eastAsia="仿宋" w:cs="仿宋"/>
          <w:b w:val="0"/>
          <w:bCs w:val="0"/>
          <w:color w:val="auto"/>
          <w:sz w:val="32"/>
          <w:szCs w:val="32"/>
          <w:highlight w:val="none"/>
          <w:lang w:val="en-US" w:eastAsia="zh-CN"/>
        </w:rPr>
        <w:t>新建</w:t>
      </w:r>
      <w:r>
        <w:rPr>
          <w:rFonts w:hint="eastAsia" w:ascii="仿宋" w:hAnsi="仿宋" w:eastAsia="仿宋" w:cs="仿宋"/>
          <w:b w:val="0"/>
          <w:bCs w:val="0"/>
          <w:color w:val="auto"/>
          <w:sz w:val="32"/>
          <w:szCs w:val="32"/>
          <w:highlight w:val="none"/>
        </w:rPr>
        <w:t>劳务专业合作社12家</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新</w:t>
      </w:r>
      <w:r>
        <w:rPr>
          <w:rFonts w:hint="eastAsia" w:ascii="仿宋" w:hAnsi="仿宋" w:eastAsia="仿宋" w:cs="仿宋"/>
          <w:b w:val="0"/>
          <w:bCs w:val="0"/>
          <w:color w:val="auto"/>
          <w:sz w:val="32"/>
          <w:szCs w:val="32"/>
          <w:highlight w:val="none"/>
        </w:rPr>
        <w:t>认定</w:t>
      </w:r>
      <w:r>
        <w:rPr>
          <w:rFonts w:hint="eastAsia" w:ascii="仿宋" w:hAnsi="仿宋" w:eastAsia="仿宋" w:cs="仿宋"/>
          <w:b w:val="0"/>
          <w:bCs w:val="0"/>
          <w:color w:val="auto"/>
          <w:sz w:val="32"/>
          <w:szCs w:val="32"/>
          <w:lang w:val="en-US" w:eastAsia="zh-CN"/>
        </w:rPr>
        <w:t>劳务</w:t>
      </w:r>
      <w:r>
        <w:rPr>
          <w:rFonts w:hint="eastAsia" w:ascii="仿宋" w:hAnsi="仿宋" w:eastAsia="仿宋" w:cs="仿宋"/>
          <w:b w:val="0"/>
          <w:bCs w:val="0"/>
          <w:color w:val="auto"/>
          <w:sz w:val="32"/>
          <w:szCs w:val="32"/>
          <w:highlight w:val="none"/>
        </w:rPr>
        <w:t>经纪人64人</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lang w:val="en-US" w:eastAsia="zh-CN"/>
        </w:rPr>
        <w:t>开展</w:t>
      </w:r>
      <w:r>
        <w:rPr>
          <w:rFonts w:hint="eastAsia" w:ascii="仿宋" w:hAnsi="仿宋" w:eastAsia="仿宋" w:cs="仿宋"/>
          <w:b w:val="0"/>
          <w:bCs w:val="0"/>
          <w:color w:val="auto"/>
          <w:sz w:val="32"/>
          <w:szCs w:val="32"/>
          <w:highlight w:val="none"/>
          <w:lang w:val="en-US" w:eastAsia="zh-CN"/>
        </w:rPr>
        <w:t>线上线下</w:t>
      </w:r>
      <w:r>
        <w:rPr>
          <w:rFonts w:hint="eastAsia" w:ascii="仿宋" w:hAnsi="仿宋" w:eastAsia="仿宋" w:cs="仿宋"/>
          <w:b w:val="0"/>
          <w:bCs w:val="0"/>
          <w:color w:val="auto"/>
          <w:sz w:val="32"/>
          <w:szCs w:val="32"/>
          <w:highlight w:val="none"/>
        </w:rPr>
        <w:t>招聘</w:t>
      </w:r>
      <w:r>
        <w:rPr>
          <w:rFonts w:hint="eastAsia" w:ascii="仿宋" w:hAnsi="仿宋" w:eastAsia="仿宋" w:cs="仿宋"/>
          <w:b w:val="0"/>
          <w:bCs w:val="0"/>
          <w:color w:val="auto"/>
          <w:sz w:val="32"/>
          <w:szCs w:val="32"/>
          <w:highlight w:val="none"/>
          <w:lang w:val="en-US" w:eastAsia="zh-CN"/>
        </w:rPr>
        <w:t>35</w:t>
      </w:r>
      <w:r>
        <w:rPr>
          <w:rFonts w:hint="eastAsia" w:ascii="仿宋" w:hAnsi="仿宋" w:eastAsia="仿宋" w:cs="仿宋"/>
          <w:b w:val="0"/>
          <w:bCs w:val="0"/>
          <w:color w:val="auto"/>
          <w:sz w:val="32"/>
          <w:szCs w:val="32"/>
          <w:highlight w:val="none"/>
        </w:rPr>
        <w:t>场，</w:t>
      </w:r>
      <w:r>
        <w:rPr>
          <w:rFonts w:hint="eastAsia" w:ascii="仿宋" w:hAnsi="仿宋" w:eastAsia="仿宋" w:cs="仿宋"/>
          <w:b w:val="0"/>
          <w:bCs w:val="0"/>
          <w:color w:val="auto"/>
          <w:sz w:val="32"/>
          <w:szCs w:val="32"/>
          <w:highlight w:val="none"/>
          <w:lang w:eastAsia="zh-CN"/>
        </w:rPr>
        <w:t>推送</w:t>
      </w:r>
      <w:r>
        <w:rPr>
          <w:rFonts w:hint="eastAsia" w:ascii="仿宋" w:hAnsi="仿宋" w:eastAsia="仿宋" w:cs="仿宋"/>
          <w:b w:val="0"/>
          <w:bCs w:val="0"/>
          <w:color w:val="auto"/>
          <w:sz w:val="32"/>
          <w:szCs w:val="32"/>
          <w:highlight w:val="none"/>
          <w:lang w:val="en-US" w:eastAsia="zh-CN"/>
        </w:rPr>
        <w:t>招工</w:t>
      </w:r>
      <w:r>
        <w:rPr>
          <w:rFonts w:hint="eastAsia" w:ascii="仿宋" w:hAnsi="仿宋" w:eastAsia="仿宋" w:cs="仿宋"/>
          <w:b w:val="0"/>
          <w:bCs w:val="0"/>
          <w:color w:val="auto"/>
          <w:sz w:val="32"/>
          <w:szCs w:val="32"/>
          <w:highlight w:val="none"/>
          <w:lang w:eastAsia="zh-CN"/>
        </w:rPr>
        <w:t>信息</w:t>
      </w:r>
      <w:r>
        <w:rPr>
          <w:rFonts w:hint="eastAsia" w:ascii="仿宋" w:hAnsi="仿宋" w:eastAsia="仿宋" w:cs="仿宋"/>
          <w:b w:val="0"/>
          <w:bCs w:val="0"/>
          <w:color w:val="auto"/>
          <w:sz w:val="32"/>
          <w:szCs w:val="32"/>
          <w:highlight w:val="none"/>
          <w:lang w:val="en-US" w:eastAsia="zh-CN"/>
        </w:rPr>
        <w:t>11</w:t>
      </w:r>
      <w:r>
        <w:rPr>
          <w:rFonts w:hint="eastAsia" w:ascii="仿宋" w:hAnsi="仿宋" w:eastAsia="仿宋" w:cs="仿宋"/>
          <w:b w:val="0"/>
          <w:bCs w:val="0"/>
          <w:color w:val="auto"/>
          <w:sz w:val="32"/>
          <w:szCs w:val="32"/>
          <w:highlight w:val="none"/>
        </w:rPr>
        <w:t>万余</w:t>
      </w:r>
      <w:r>
        <w:rPr>
          <w:rFonts w:hint="eastAsia" w:ascii="仿宋" w:hAnsi="仿宋" w:eastAsia="仿宋" w:cs="仿宋"/>
          <w:b w:val="0"/>
          <w:bCs w:val="0"/>
          <w:color w:val="auto"/>
          <w:sz w:val="32"/>
          <w:szCs w:val="32"/>
          <w:highlight w:val="none"/>
          <w:lang w:eastAsia="zh-CN"/>
        </w:rPr>
        <w:t>条</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lang w:val="en-US" w:eastAsia="zh-CN"/>
        </w:rPr>
        <w:t>发布就业岗位2.9万余个，农村劳动力转移就业4.88万人，脱贫人口务工就业11245人。兑现转移就业增收奖补993人122.16万元，兑现跨区域一次性交通补贴4281人265.62万元；发放稳岗返还补贴资金91.52万元；发放见习补贴29.33万元。推进创业服务，组织创业项目跨省资源对接17人，邀请专家实地巡诊项目4个，发放创业担保贷款323万元、创业补贴16万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lang w:val="en-US" w:eastAsia="zh-CN"/>
        </w:rPr>
        <w:t>4.突出民生为本，努力强保障守底线。</w:t>
      </w:r>
      <w:r>
        <w:rPr>
          <w:rFonts w:hint="eastAsia" w:ascii="仿宋" w:hAnsi="仿宋" w:eastAsia="仿宋" w:cs="仿宋"/>
          <w:b w:val="0"/>
          <w:bCs w:val="0"/>
          <w:color w:val="auto"/>
          <w:sz w:val="32"/>
          <w:szCs w:val="32"/>
          <w:highlight w:val="none"/>
          <w:lang w:val="en-US" w:eastAsia="zh-CN"/>
        </w:rPr>
        <w:t>紧扣改革发展稳定大局，关注灵活就业、农民工、新业态就业等特殊群体，大力实施全民参保计划。全县城镇职工基本养老保险参保17661人,工伤保险参保人数14285人，失业保险参保人数10003人。城乡居民社会养老保险覆盖</w:t>
      </w:r>
      <w:r>
        <w:rPr>
          <w:rFonts w:hint="eastAsia" w:ascii="仿宋" w:hAnsi="仿宋" w:eastAsia="仿宋" w:cs="仿宋"/>
          <w:b w:val="0"/>
          <w:bCs w:val="0"/>
          <w:color w:val="auto"/>
          <w:sz w:val="32"/>
          <w:szCs w:val="32"/>
          <w:lang w:val="en-US" w:eastAsia="zh-CN"/>
        </w:rPr>
        <w:t>61003人，为</w:t>
      </w:r>
      <w:r>
        <w:rPr>
          <w:rFonts w:hint="eastAsia" w:ascii="仿宋" w:hAnsi="仿宋" w:eastAsia="仿宋" w:cs="仿宋"/>
          <w:b w:val="0"/>
          <w:bCs w:val="0"/>
          <w:color w:val="auto"/>
          <w:sz w:val="32"/>
          <w:szCs w:val="32"/>
          <w:highlight w:val="none"/>
        </w:rPr>
        <w:t>低保特困等缴费困难群体代缴城乡居民养老保险</w:t>
      </w:r>
      <w:r>
        <w:rPr>
          <w:rFonts w:hint="eastAsia" w:ascii="仿宋" w:hAnsi="仿宋" w:eastAsia="仿宋" w:cs="仿宋"/>
          <w:b w:val="0"/>
          <w:bCs w:val="0"/>
          <w:color w:val="auto"/>
          <w:kern w:val="0"/>
          <w:sz w:val="32"/>
          <w:szCs w:val="32"/>
          <w:lang w:val="en-US" w:eastAsia="zh-CN" w:bidi="ar"/>
        </w:rPr>
        <w:t>15214人。</w:t>
      </w:r>
      <w:r>
        <w:rPr>
          <w:rFonts w:hint="eastAsia" w:ascii="仿宋" w:hAnsi="仿宋" w:eastAsia="仿宋" w:cs="仿宋"/>
          <w:b w:val="0"/>
          <w:bCs w:val="0"/>
          <w:color w:val="auto"/>
          <w:sz w:val="32"/>
          <w:szCs w:val="32"/>
          <w:highlight w:val="none"/>
          <w:lang w:val="en-US" w:eastAsia="zh-CN"/>
        </w:rPr>
        <w:t>截止11月底支出企业职工、机关事业单位、工伤保险和城乡居民社会养老保险金5.55794亿元。开展渐进式延迟退休政策宣传和业务衔接，加强社保经办规范化管理，引导群众网上办就近办。开展上门退休待遇资格认证300余人，社保业务经办主动评价率达97%。巩固“事前预防、事中核验、事后稽查”三道防线，抽查社保经办业务</w:t>
      </w:r>
      <w:r>
        <w:rPr>
          <w:rFonts w:hint="eastAsia" w:ascii="仿宋" w:hAnsi="仿宋" w:eastAsia="仿宋" w:cs="仿宋"/>
          <w:b w:val="0"/>
          <w:bCs w:val="0"/>
          <w:color w:val="auto"/>
          <w:kern w:val="2"/>
          <w:sz w:val="32"/>
          <w:szCs w:val="32"/>
          <w:lang w:val="en-US" w:eastAsia="zh-CN" w:bidi="ar-SA"/>
        </w:rPr>
        <w:t>2533</w:t>
      </w:r>
      <w:r>
        <w:rPr>
          <w:rFonts w:hint="eastAsia" w:ascii="仿宋" w:hAnsi="仿宋" w:eastAsia="仿宋" w:cs="仿宋"/>
          <w:b w:val="0"/>
          <w:bCs w:val="0"/>
          <w:color w:val="auto"/>
          <w:sz w:val="32"/>
          <w:szCs w:val="32"/>
          <w:highlight w:val="none"/>
          <w:lang w:val="en-US" w:eastAsia="zh-CN"/>
        </w:rPr>
        <w:t>笔，核销疑点数据3条，挽回基金损失0.19万元，确保基金安全，管好群众的保命钱、养老钱、血汗钱。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sz w:val="32"/>
          <w:szCs w:val="32"/>
          <w:lang w:val="en-US" w:eastAsia="zh-CN"/>
        </w:rPr>
        <w:t>5.突出和谐至上，努力双维护保稳定。</w:t>
      </w:r>
      <w:r>
        <w:rPr>
          <w:rFonts w:hint="eastAsia" w:ascii="仿宋" w:hAnsi="仿宋" w:eastAsia="仿宋" w:cs="仿宋"/>
          <w:b w:val="0"/>
          <w:bCs w:val="0"/>
          <w:color w:val="auto"/>
          <w:kern w:val="2"/>
          <w:sz w:val="32"/>
          <w:szCs w:val="32"/>
          <w:highlight w:val="none"/>
          <w:lang w:val="en-US" w:eastAsia="zh-CN" w:bidi="ar-SA"/>
        </w:rPr>
        <w:t>坚持执法与服务相结合、维权与维稳并重，发挥劳动监察、劳动仲裁职能，构建新时代和谐劳动关系。组织劳动法律政策宣传10场次，走访检查企业20余家，发放劳动保障法律法规宣传资料6000余份，解答民工咨询500余人次。受理认定工伤申请90起。协调处理欠薪案件20起，追回320人工资587万元；受理劳动关系争议案件141件，结案141件，结案率为100%，为173名劳动者挽回经济损失727.1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b w:val="0"/>
          <w:bCs w:val="0"/>
          <w:color w:val="auto"/>
          <w:sz w:val="32"/>
          <w:szCs w:val="32"/>
          <w:lang w:val="en-US" w:eastAsia="zh-CN"/>
        </w:rPr>
        <w:t>6.突出创优争先，努力挑担子做贡献。积极争取2025年公共就业服务基层延伸项目，有望争取到省级预算资金100万元。认真牵头和配合做好总部经济园项目，完成权属清理、业态规划和建设方案编制等工作。扎实做好城镇居民增收基础工作，前三季度全县城镇居民人均可支配收入32690元，同比增长4.7%，全市第一，第四季度保持合理增长，为全年“争三拼第一”奠定了基础。</w:t>
      </w:r>
    </w:p>
    <w:p>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（四）部门整体支出绩效目标。</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整体支出绩效目标实现情况：1.按时发放工资、津补贴、按实按时进行经费支付，保障机关正常运行；2.按实拨付科级及以下退休人员活动经费和活动小组工作经费174.12万元（半年发放一次，上半年发放2057人，下半年发放2029人）；3.按要求完成中级及以下职称评审工作；4.完成事业人员招聘和“三支一扶”人员招募工作，2024年招聘事业人员78人，招募“三支一扶”人员70人；5.完成对辖区内各用人单位执行劳动保障法律、法规、政策行为的监察工作；6.按时办结劳动仲裁相关案件，切实做好劳动关系和维权工作；7.按要求及时划拨退休活动组工作经费和完成对退休干部的日常管理和慰问工作；8.做好大中专毕业生学籍档案日常管理和有关档案转接工作。</w:t>
      </w:r>
    </w:p>
    <w:p>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（一）部门财政资金收入情况。</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本部门2024年财政拨款预算收入3295.63万元，其中一般公共预算拨款收入3287.73万元，政府性基金预算拨款收入7.9万元。</w:t>
      </w:r>
    </w:p>
    <w:p>
      <w:pPr>
        <w:widowControl/>
        <w:numPr>
          <w:ilvl w:val="0"/>
          <w:numId w:val="2"/>
        </w:numPr>
        <w:adjustRightInd w:val="0"/>
        <w:snapToGrid w:val="0"/>
        <w:spacing w:line="580" w:lineRule="exact"/>
        <w:ind w:firstLine="640" w:firstLineChars="200"/>
        <w:contextualSpacing/>
        <w:jc w:val="left"/>
        <w:rPr>
          <w:rFonts w:hint="eastAsia" w:ascii="仿宋" w:hAnsi="仿宋" w:eastAsia="仿宋" w:cs="仿宋"/>
          <w:color w:val="auto"/>
          <w:sz w:val="32"/>
          <w:szCs w:val="32"/>
          <w:lang w:val="zh-CN"/>
        </w:rPr>
      </w:pPr>
      <w:r>
        <w:rPr>
          <w:rFonts w:hint="eastAsia" w:ascii="仿宋" w:hAnsi="仿宋" w:eastAsia="仿宋" w:cs="仿宋"/>
          <w:color w:val="auto"/>
          <w:kern w:val="0"/>
          <w:sz w:val="32"/>
          <w:szCs w:val="32"/>
          <w:shd w:val="clear" w:color="auto" w:fill="FFFFFF"/>
          <w:lang w:val="zh-CN"/>
        </w:rPr>
        <w:t>部门财政资金支出情况。</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eastAsia="zh-CN"/>
        </w:rPr>
        <w:t>基本支出</w:t>
      </w:r>
      <w:r>
        <w:rPr>
          <w:rFonts w:hint="eastAsia" w:ascii="仿宋" w:hAnsi="仿宋" w:eastAsia="仿宋" w:cs="仿宋"/>
          <w:color w:val="auto"/>
          <w:sz w:val="32"/>
          <w:szCs w:val="32"/>
          <w:lang w:val="en-US" w:eastAsia="zh-CN"/>
        </w:rPr>
        <w:t>964.06万元，项目支出2331.57万元，其中项目17个，具体支出为：行政事业单位科级及以下退休人员活动及管理经费174.12万元；高校毕业生“三支一扶”经费上级补助资金681.31万元；2023年度中央和省级财政就业创业补助资金145.36万元；2023年和2024年东西协作项目“乐在浙里”劳务协作项目150.12万元；人社公共服务能力建设上级资金4.66万元；2024年就业创业补助资金中省县403.1万元；职业年金贴息52.15万元；政府代缴困难群众城乡居民养老保险152.37万元；财政对企业职工基本养老保险差额补助100万元；企业退休职工管理工作经费19.74万元；招聘会、农民工工作等经费6.79万元；招工成本补贴1万元；总部经济园建设7.9万元；省管森工企业离退休人员社会化管理工作经费1.71万元；2024年乡村振兴补助资金项目（省市县）372.44万元；人事人才平台建设经费尾款58.8万元。</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（三）部门财政资金结转结余情况。</w:t>
      </w:r>
    </w:p>
    <w:p>
      <w:pPr>
        <w:pStyle w:val="12"/>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lang w:val="zh-CN" w:eastAsia="zh-CN" w:bidi="ar-SA"/>
        </w:rPr>
        <w:t>本部门无结转结余。</w:t>
      </w:r>
    </w:p>
    <w:p>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三、部门整体绩效管理情况（根据部门整体支出绩效自评</w:t>
      </w:r>
      <w:r>
        <w:rPr>
          <w:rFonts w:hint="eastAsia" w:ascii="仿宋" w:hAnsi="仿宋" w:eastAsia="仿宋" w:cs="仿宋"/>
          <w:color w:val="auto"/>
          <w:kern w:val="0"/>
          <w:sz w:val="32"/>
          <w:szCs w:val="32"/>
          <w:shd w:val="clear" w:color="auto" w:fill="FFFFFF"/>
          <w:lang w:eastAsia="zh-CN"/>
        </w:rPr>
        <w:t>和部门预算项目支出绩效自评情况</w:t>
      </w:r>
      <w:r>
        <w:rPr>
          <w:rFonts w:hint="eastAsia" w:ascii="仿宋" w:hAnsi="仿宋" w:eastAsia="仿宋" w:cs="仿宋"/>
          <w:color w:val="auto"/>
          <w:kern w:val="0"/>
          <w:sz w:val="32"/>
          <w:szCs w:val="32"/>
          <w:shd w:val="clear" w:color="auto" w:fill="FFFFFF"/>
        </w:rPr>
        <w:t>进行描述）</w:t>
      </w:r>
    </w:p>
    <w:p>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（一）部门整体履职绩效分析。围绕部门整体绩效目标完成情况和部门履职情况进行绩效分析。</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1.稳中求进，就业局势保持稳定。</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2.扩面提标，社会保障水平不断增强。</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3.依法维权，构建和谐劳动关系。</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4.招才引智，推进人才队伍建设。</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5.务实有力，人社帮扶再上新台阶。</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6.优化行风，提升人社公共服务能力。</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eastAsia="zh-CN"/>
        </w:rPr>
        <w:t>全面完成整体绩效目标</w:t>
      </w:r>
      <w:r>
        <w:rPr>
          <w:rFonts w:hint="eastAsia" w:ascii="仿宋" w:hAnsi="仿宋" w:eastAsia="仿宋" w:cs="仿宋"/>
          <w:color w:val="auto"/>
          <w:sz w:val="32"/>
          <w:szCs w:val="32"/>
          <w:lang w:val="en-US" w:eastAsia="zh-CN"/>
        </w:rPr>
        <w:t>,达到预期效果。</w:t>
      </w:r>
    </w:p>
    <w:p>
      <w:pPr>
        <w:widowControl/>
        <w:numPr>
          <w:ilvl w:val="0"/>
          <w:numId w:val="3"/>
        </w:numPr>
        <w:adjustRightInd w:val="0"/>
        <w:snapToGrid w:val="0"/>
        <w:spacing w:line="580" w:lineRule="exact"/>
        <w:ind w:firstLine="640" w:firstLineChars="200"/>
        <w:contextualSpacing/>
        <w:jc w:val="left"/>
        <w:rPr>
          <w:rFonts w:hint="eastAsia" w:ascii="仿宋" w:hAnsi="仿宋" w:eastAsia="仿宋" w:cs="仿宋"/>
          <w:color w:val="auto"/>
          <w:sz w:val="32"/>
          <w:szCs w:val="32"/>
          <w:lang w:val="zh-CN"/>
        </w:rPr>
      </w:pPr>
      <w:r>
        <w:rPr>
          <w:rFonts w:hint="eastAsia" w:ascii="仿宋" w:hAnsi="仿宋" w:eastAsia="仿宋" w:cs="仿宋"/>
          <w:color w:val="auto"/>
          <w:kern w:val="0"/>
          <w:sz w:val="32"/>
          <w:szCs w:val="32"/>
          <w:shd w:val="clear" w:color="auto" w:fill="FFFFFF"/>
          <w:lang w:val="zh-CN"/>
        </w:rPr>
        <w:t>特定目标类项目绩效分析。包括项目绩效目标制定、目标实现、支出控制、及时处置、执行进度、预算完成情况、资金结余率（低效无效率）和违规记录等情况。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整体情况</w:t>
      </w:r>
    </w:p>
    <w:p>
      <w:pPr>
        <w:pStyle w:val="12"/>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2024年我单位全面完成预算项目绩效目标，具体为：</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1）按时发放工资、津补贴、按实按时进行经费支付，保障机关正常运行；（2）按实拨付科级及以下退休人员活动经费和活动小组工作经费174.12万元（半年发放一次，上半年发放2057人，下半年发放2029人）；（3）按要求完成中级及以下职称评审工作；（4）完成事业人员招聘和“三支一扶”人员招募工作，2024年招聘事业人员78人，招募“三支一扶”人员70人；（5）完成对辖区内各用人单位执行劳动保障法律、法规、政策行为的监察工作；（6）按时办结劳动仲裁相关案件，切实做好劳动关系和维权工作；（7）按要求及时划拨退休活动组工作补贴和完成对退休干部的日常管理和慰问工作；（8）做好大中专毕业生学籍档案日常管理和有关档案转接工作。</w:t>
      </w:r>
    </w:p>
    <w:p>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zh-CN"/>
        </w:rPr>
        <w:t>2.100万以上项目：</w:t>
      </w:r>
    </w:p>
    <w:p>
      <w:pPr>
        <w:widowControl/>
        <w:adjustRightInd w:val="0"/>
        <w:snapToGrid w:val="0"/>
        <w:spacing w:line="580" w:lineRule="exact"/>
        <w:ind w:firstLine="640" w:firstLineChars="200"/>
        <w:contextualSpacing/>
        <w:jc w:val="left"/>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shd w:val="clear" w:color="auto" w:fill="FFFFFF"/>
          <w:lang w:val="zh-CN"/>
        </w:rPr>
        <w:t>项目1：</w:t>
      </w:r>
      <w:r>
        <w:rPr>
          <w:rFonts w:hint="eastAsia" w:ascii="仿宋" w:hAnsi="仿宋" w:eastAsia="仿宋" w:cs="仿宋"/>
          <w:color w:val="auto"/>
          <w:sz w:val="32"/>
          <w:szCs w:val="32"/>
          <w:lang w:val="en-US" w:eastAsia="zh-CN"/>
        </w:rPr>
        <w:t>行政事业单位科级及以下退休人员活动及管理经费174.12万元；</w:t>
      </w:r>
    </w:p>
    <w:p>
      <w:pPr>
        <w:widowControl/>
        <w:adjustRightInd w:val="0"/>
        <w:snapToGrid w:val="0"/>
        <w:spacing w:line="580" w:lineRule="exact"/>
        <w:ind w:firstLine="640" w:firstLineChars="200"/>
        <w:contextualSpacing/>
        <w:jc w:val="left"/>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shd w:val="clear" w:color="auto" w:fill="FFFFFF"/>
          <w:lang w:val="zh-CN"/>
        </w:rPr>
        <w:t>项目2：</w:t>
      </w:r>
      <w:r>
        <w:rPr>
          <w:rFonts w:hint="eastAsia" w:ascii="仿宋" w:hAnsi="仿宋" w:eastAsia="仿宋" w:cs="仿宋"/>
          <w:color w:val="auto"/>
          <w:sz w:val="32"/>
          <w:szCs w:val="32"/>
          <w:lang w:val="en-US" w:eastAsia="zh-CN"/>
        </w:rPr>
        <w:t>高校毕业生“三支一扶”经费上级补助资金681.31万元；</w:t>
      </w:r>
    </w:p>
    <w:p>
      <w:pPr>
        <w:pStyle w:val="1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eastAsia="zh-CN"/>
        </w:rPr>
        <w:t>项目</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val="zh-CN" w:eastAsia="zh-CN"/>
        </w:rPr>
        <w:t>：</w:t>
      </w:r>
      <w:r>
        <w:rPr>
          <w:rFonts w:hint="eastAsia" w:ascii="仿宋" w:hAnsi="仿宋" w:eastAsia="仿宋" w:cs="仿宋"/>
          <w:color w:val="auto"/>
          <w:sz w:val="32"/>
          <w:szCs w:val="32"/>
          <w:lang w:val="en-US" w:eastAsia="zh-CN"/>
        </w:rPr>
        <w:t>2023年度中央和省级财政就业创业补助资金145.36万元；</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项目4：2东西协作项目“乐在浙里”劳务协作项目150.12万元；</w:t>
      </w:r>
    </w:p>
    <w:p>
      <w:pPr>
        <w:pStyle w:val="1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项目5：政府代缴困难群众城乡居民养老保险100.71万元；</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项目6：高校毕业生“三支一扶”经费上级补助资金464.60万元；</w:t>
      </w:r>
    </w:p>
    <w:p>
      <w:pPr>
        <w:pStyle w:val="12"/>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项目7：财政对企业职工基本养老保险差额补助100万元；</w:t>
      </w:r>
    </w:p>
    <w:p>
      <w:pPr>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项目8：2024年度中央就业创业补助资金356万元；</w:t>
      </w:r>
    </w:p>
    <w:p>
      <w:pPr>
        <w:pStyle w:val="12"/>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项目9：2024年乡村振兴补助资金项目（省级）280万元。</w:t>
      </w:r>
    </w:p>
    <w:p>
      <w:pPr>
        <w:pStyle w:val="12"/>
        <w:rPr>
          <w:color w:val="auto"/>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tbl>
      <w:tblPr>
        <w:tblStyle w:val="20"/>
        <w:tblW w:w="8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0"/>
        <w:gridCol w:w="510"/>
        <w:gridCol w:w="1034"/>
        <w:gridCol w:w="368"/>
        <w:gridCol w:w="1682"/>
        <w:gridCol w:w="1838"/>
        <w:gridCol w:w="340"/>
        <w:gridCol w:w="340"/>
        <w:gridCol w:w="407"/>
        <w:gridCol w:w="405"/>
        <w:gridCol w:w="302"/>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8534" w:type="dxa"/>
            <w:gridSpan w:val="12"/>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部门整体支出绩效自评打分表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指标解释</w:t>
            </w:r>
          </w:p>
        </w:tc>
        <w:tc>
          <w:tcPr>
            <w:tcW w:w="1838"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计分标准</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评价方式</w:t>
            </w:r>
          </w:p>
        </w:tc>
        <w:tc>
          <w:tcPr>
            <w:tcW w:w="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评价属性</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部门打分</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838"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34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整体评价</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样本评价</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定性评价</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定量评价</w:t>
            </w: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pPr>
              <w:jc w:val="center"/>
              <w:rPr>
                <w:rFonts w:hint="eastAsia" w:ascii="宋体" w:hAnsi="宋体" w:eastAsia="宋体" w:cs="宋体"/>
                <w:b/>
                <w:i w:val="0"/>
                <w:color w:val="000000"/>
                <w:sz w:val="24"/>
                <w:szCs w:val="24"/>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1"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部门预算项目绩效管理（70分）</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目标管理（40分）</w:t>
            </w:r>
          </w:p>
        </w:tc>
        <w:tc>
          <w:tcPr>
            <w:tcW w:w="103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是否开展部门内部绩效目标审核工作。</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部门组织对本部门（含下属单位）绩效目标开展内部审核的，得10分，否则不得分。</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8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4"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根据年度绩效目标实现情况，评价部门绩效目标是否科学合理、规范完整、细化量化并与预算安排相匹配。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1.绩效目标编制科学合理的，得2分，否则酌情扣分。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5.评价部门绩效目标纳入部门党组（委）会（办公会）集体决策范围的得2分，否则不得分。                                                                                                                    </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评价部门整体支出绩效目标实现程度与预期目标的偏离度。</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6"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评价部门预算项目绩效目标实际实现程度与预期目标的偏离度。</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动态调整（20分）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支出控制</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部门公用经费及非定额公用支出控制情况。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及时处置</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评价部门开展绩效运行监控后，将绩效监控结果应用到预算调整的情况。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评价部门在6、9、11月的预算执行情况。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部门预算执行进度在6、9、11月应达到序时进度的80%、90%、90%，即实际支出进度分别达到40%、67.5%、82.5%。                                                     6、9、11月部门预算执行进度达到量化指标的分别得1分、2分、2分，未达到目标进度的的按其实际进度占目标进度的比重计算得分。                                             </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完成结果（10分）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资金结余率（低效无效率）</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评价部门预算项目年终资金结余情况。                 </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部门预算项目资金结余率小于0.1的项目数/部门预算项目总数*5。</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违规记录</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根据审计监督、财会监督和部门自查结果反映部门上一年度部门预算管理是否存在相关问题。</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绩效结果应用（30分）</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内部应用（10分）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预算挂钩</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部门内部绩效结果与预算挂钩情况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1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信息公开（10分)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评价部门是否按要求将部门整体绩效自评情况和自行组织的评价情况向社会公开。</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按要求将相关绩效信息随同决算公开的，得10分，否则不得分。</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整改反馈（10分）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问题整改</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评价部门根据绩效管理结果整改问题、完善政策、改进管理的情况。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1"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应用反馈</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评价部门按要求及时向财政部门反馈结果应用情况。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部门在规定时间内向财政部门反馈应用绩效结果报告的，得5分，否则不得分。</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2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扣分项（10分）</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被评价单位配合评价工作情况。</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jc w:val="center"/>
              <w:rPr>
                <w:rFonts w:hint="eastAsia" w:ascii="宋体" w:hAnsi="宋体" w:eastAsia="宋体" w:cs="宋体"/>
                <w:i w:val="0"/>
                <w:color w:val="000000"/>
                <w:sz w:val="24"/>
                <w:szCs w:val="24"/>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74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 门 整 体 自 评 得 分</w:t>
            </w:r>
          </w:p>
        </w:tc>
        <w:tc>
          <w:tcPr>
            <w:tcW w:w="302"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zh-CN"/>
        </w:rPr>
      </w:pPr>
    </w:p>
    <w:p>
      <w:pPr>
        <w:pStyle w:val="12"/>
        <w:widowControl w:val="0"/>
        <w:numPr>
          <w:ilvl w:val="0"/>
          <w:numId w:val="0"/>
        </w:numPr>
        <w:snapToGrid w:val="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rPr>
        <w:t>附件</w:t>
      </w:r>
      <w:r>
        <w:rPr>
          <w:rFonts w:hint="eastAsia" w:ascii="仿宋" w:hAnsi="仿宋" w:eastAsia="仿宋" w:cs="仿宋"/>
          <w:color w:val="auto"/>
          <w:sz w:val="32"/>
          <w:szCs w:val="32"/>
          <w:lang w:val="en-US" w:eastAsia="zh-CN"/>
        </w:rPr>
        <w:t>2</w:t>
      </w:r>
    </w:p>
    <w:p>
      <w:pPr>
        <w:pStyle w:val="36"/>
        <w:spacing w:line="60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项目支出绩效自评报告</w:t>
      </w:r>
    </w:p>
    <w:p>
      <w:pPr>
        <w:pStyle w:val="36"/>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（行政事业单位科级及以下退休人员活动及管理经费）</w:t>
      </w:r>
    </w:p>
    <w:p>
      <w:pPr>
        <w:pStyle w:val="36"/>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介绍项目基本情况，重点说明以下内容：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项目资金申报及批复情况。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lang w:val="zh-CN"/>
        </w:rPr>
        <w:t>根据峨边彝族自治县人民政府关于《关于增加机关事业单位科级及以下（含科级）退休人员活动经费预算的请示》议定事项（峨边府常定〔</w:t>
      </w:r>
      <w:r>
        <w:rPr>
          <w:rFonts w:hint="eastAsia" w:ascii="仿宋" w:hAnsi="仿宋" w:eastAsia="仿宋" w:cs="仿宋"/>
          <w:color w:val="auto"/>
          <w:sz w:val="32"/>
          <w:szCs w:val="32"/>
          <w:lang w:val="en-US" w:eastAsia="zh-CN"/>
        </w:rPr>
        <w:t>2018〕42号</w:t>
      </w:r>
      <w:r>
        <w:rPr>
          <w:rFonts w:hint="eastAsia" w:ascii="仿宋" w:hAnsi="仿宋" w:eastAsia="仿宋" w:cs="仿宋"/>
          <w:color w:val="auto"/>
          <w:sz w:val="32"/>
          <w:szCs w:val="32"/>
          <w:lang w:val="zh-CN"/>
        </w:rPr>
        <w:t>）的通知精神，</w:t>
      </w:r>
      <w:r>
        <w:rPr>
          <w:rFonts w:hint="eastAsia" w:ascii="仿宋" w:hAnsi="仿宋" w:eastAsia="仿宋" w:cs="仿宋"/>
          <w:color w:val="auto"/>
          <w:sz w:val="32"/>
          <w:szCs w:val="32"/>
          <w:lang w:val="en-US" w:eastAsia="zh-CN"/>
        </w:rPr>
        <w:t>行政事业单位科级及以下退休人员活动经费（按实）</w:t>
      </w:r>
      <w:r>
        <w:rPr>
          <w:rFonts w:hint="eastAsia" w:ascii="仿宋" w:hAnsi="仿宋" w:eastAsia="仿宋" w:cs="仿宋"/>
          <w:color w:val="auto"/>
          <w:sz w:val="32"/>
          <w:szCs w:val="32"/>
          <w:u w:val="none"/>
          <w:lang w:val="en-US" w:eastAsia="zh-CN"/>
        </w:rPr>
        <w:t>项目，2024年预算批复资金174.12万元，该项目资金全部是县级资金。</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项目绩效目标。</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 w:hAnsi="仿宋" w:eastAsia="仿宋" w:cs="仿宋"/>
          <w:color w:val="auto"/>
          <w:sz w:val="32"/>
          <w:szCs w:val="32"/>
          <w:lang w:val="zh-CN"/>
        </w:rPr>
      </w:pPr>
      <w:r>
        <w:rPr>
          <w:rFonts w:hint="eastAsia" w:ascii="仿宋" w:hAnsi="仿宋" w:eastAsia="仿宋" w:cs="仿宋"/>
          <w:b w:val="0"/>
          <w:bCs/>
          <w:color w:val="auto"/>
          <w:sz w:val="32"/>
          <w:szCs w:val="32"/>
          <w:lang w:val="zh-CN"/>
        </w:rPr>
        <w:t>该经费</w:t>
      </w:r>
      <w:r>
        <w:rPr>
          <w:rFonts w:hint="eastAsia" w:ascii="仿宋" w:hAnsi="仿宋" w:eastAsia="仿宋" w:cs="仿宋"/>
          <w:color w:val="auto"/>
          <w:sz w:val="32"/>
          <w:szCs w:val="32"/>
          <w:lang w:val="zh-CN"/>
        </w:rPr>
        <w:t>由各活动组统一掌握使用，主要用于购买学习资</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料、订阅报刊杂志、组织开展活动和看望病员、节日慰问等。按实际人数半年拨付一次，每人</w:t>
      </w:r>
      <w:r>
        <w:rPr>
          <w:rFonts w:hint="eastAsia" w:ascii="仿宋" w:hAnsi="仿宋" w:eastAsia="仿宋" w:cs="仿宋"/>
          <w:color w:val="auto"/>
          <w:sz w:val="32"/>
          <w:szCs w:val="32"/>
          <w:lang w:val="en-US" w:eastAsia="zh-CN"/>
        </w:rPr>
        <w:t>每年800元，2024年共2057名退休人员，实际拨付活动经费和活动组工作经费</w:t>
      </w:r>
      <w:r>
        <w:rPr>
          <w:rFonts w:hint="eastAsia" w:ascii="仿宋" w:hAnsi="仿宋" w:eastAsia="仿宋" w:cs="仿宋"/>
          <w:color w:val="auto"/>
          <w:sz w:val="32"/>
          <w:szCs w:val="32"/>
          <w:u w:val="none"/>
          <w:lang w:val="en-US" w:eastAsia="zh-CN"/>
        </w:rPr>
        <w:t>174.12</w:t>
      </w:r>
      <w:r>
        <w:rPr>
          <w:rFonts w:hint="eastAsia" w:ascii="仿宋" w:hAnsi="仿宋" w:eastAsia="仿宋" w:cs="仿宋"/>
          <w:color w:val="auto"/>
          <w:sz w:val="32"/>
          <w:szCs w:val="32"/>
          <w:lang w:val="en-US" w:eastAsia="zh-CN"/>
        </w:rPr>
        <w:t>万元，于2024年11月30日前全面完成。</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项目资金申报相符性。</w:t>
      </w:r>
    </w:p>
    <w:p>
      <w:pPr>
        <w:numPr>
          <w:ilvl w:val="0"/>
          <w:numId w:val="0"/>
        </w:numPr>
        <w:adjustRightInd w:val="0"/>
        <w:snapToGrid w:val="0"/>
        <w:spacing w:line="560" w:lineRule="exact"/>
        <w:ind w:left="720" w:leftChars="0"/>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rPr>
        <w:t>行政事业单位科级及以下退休人员活动及管理经费</w:t>
      </w:r>
      <w:r>
        <w:rPr>
          <w:rFonts w:hint="eastAsia" w:ascii="仿宋" w:hAnsi="仿宋" w:eastAsia="仿宋" w:cs="仿宋"/>
          <w:color w:val="auto"/>
          <w:sz w:val="32"/>
          <w:szCs w:val="32"/>
          <w:lang w:val="zh-CN"/>
        </w:rPr>
        <w:t>项</w:t>
      </w:r>
    </w:p>
    <w:p>
      <w:pPr>
        <w:numPr>
          <w:ilvl w:val="0"/>
          <w:numId w:val="0"/>
        </w:numPr>
        <w:adjustRightInd w:val="0"/>
        <w:snapToGrid w:val="0"/>
        <w:spacing w:line="560" w:lineRule="exac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目资金申报内容与实际相符，申报目标合理可行。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color w:val="auto"/>
          <w:sz w:val="32"/>
          <w:szCs w:val="32"/>
          <w:lang w:val="zh-CN"/>
        </w:rPr>
      </w:pPr>
      <w:r>
        <w:rPr>
          <w:rFonts w:hint="eastAsia" w:ascii="仿宋" w:hAnsi="仿宋" w:eastAsia="仿宋" w:cs="仿宋"/>
          <w:color w:val="auto"/>
          <w:sz w:val="32"/>
          <w:szCs w:val="32"/>
          <w:lang w:val="zh-CN"/>
        </w:rPr>
        <w:tab/>
      </w:r>
      <w:r>
        <w:rPr>
          <w:rFonts w:hint="eastAsia" w:ascii="仿宋" w:hAnsi="仿宋" w:eastAsia="仿宋" w:cs="仿宋"/>
          <w:b/>
          <w:color w:val="auto"/>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1．资金计划及到位。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rPr>
        <w:t>行政事业单位科级及以下退休人员活动及管理经费</w:t>
      </w:r>
      <w:r>
        <w:rPr>
          <w:rFonts w:hint="eastAsia" w:ascii="仿宋" w:hAnsi="仿宋" w:eastAsia="仿宋" w:cs="仿宋"/>
          <w:color w:val="auto"/>
          <w:sz w:val="32"/>
          <w:szCs w:val="32"/>
          <w:u w:val="none"/>
          <w:lang w:val="en-US" w:eastAsia="zh-CN"/>
        </w:rPr>
        <w:t>项目按</w:t>
      </w:r>
      <w:r>
        <w:rPr>
          <w:rFonts w:hint="eastAsia" w:ascii="仿宋" w:hAnsi="仿宋" w:eastAsia="仿宋" w:cs="仿宋"/>
          <w:color w:val="auto"/>
          <w:sz w:val="32"/>
          <w:szCs w:val="32"/>
          <w:lang w:val="zh-CN"/>
        </w:rPr>
        <w:t>每人每年</w:t>
      </w:r>
      <w:r>
        <w:rPr>
          <w:rFonts w:hint="eastAsia" w:ascii="仿宋" w:hAnsi="仿宋" w:eastAsia="仿宋" w:cs="仿宋"/>
          <w:color w:val="auto"/>
          <w:sz w:val="32"/>
          <w:szCs w:val="32"/>
          <w:lang w:val="en-US" w:eastAsia="zh-CN"/>
        </w:rPr>
        <w:t>800元活动经费</w:t>
      </w:r>
      <w:r>
        <w:rPr>
          <w:rFonts w:hint="eastAsia" w:ascii="仿宋" w:hAnsi="仿宋" w:eastAsia="仿宋" w:cs="仿宋"/>
          <w:color w:val="auto"/>
          <w:sz w:val="32"/>
          <w:szCs w:val="32"/>
          <w:lang w:val="zh-CN"/>
        </w:rPr>
        <w:t>列入预算计划，管理经费按</w:t>
      </w:r>
      <w:r>
        <w:rPr>
          <w:rFonts w:hint="eastAsia" w:ascii="仿宋" w:hAnsi="仿宋" w:eastAsia="仿宋" w:cs="仿宋"/>
          <w:color w:val="auto"/>
          <w:sz w:val="32"/>
          <w:szCs w:val="32"/>
          <w:lang w:val="en-US" w:eastAsia="zh-CN"/>
        </w:rPr>
        <w:t>10万元列入预算，</w:t>
      </w:r>
      <w:r>
        <w:rPr>
          <w:rFonts w:hint="eastAsia" w:ascii="仿宋" w:hAnsi="仿宋" w:eastAsia="仿宋" w:cs="仿宋"/>
          <w:color w:val="auto"/>
          <w:sz w:val="32"/>
          <w:szCs w:val="32"/>
          <w:lang w:val="zh-CN"/>
        </w:rPr>
        <w:t>财政全额按实拨付，到位及时，</w:t>
      </w:r>
      <w:r>
        <w:rPr>
          <w:rFonts w:hint="eastAsia" w:ascii="仿宋" w:hAnsi="仿宋" w:eastAsia="仿宋" w:cs="仿宋"/>
          <w:color w:val="auto"/>
          <w:sz w:val="32"/>
          <w:szCs w:val="32"/>
          <w:u w:val="none"/>
          <w:lang w:val="zh-CN" w:eastAsia="zh-CN"/>
        </w:rPr>
        <w:t>截止</w:t>
      </w:r>
      <w:r>
        <w:rPr>
          <w:rFonts w:hint="eastAsia" w:ascii="仿宋" w:hAnsi="仿宋" w:eastAsia="仿宋" w:cs="仿宋"/>
          <w:color w:val="auto"/>
          <w:sz w:val="32"/>
          <w:szCs w:val="32"/>
          <w:u w:val="none"/>
          <w:lang w:val="en-US" w:eastAsia="zh-CN"/>
        </w:rPr>
        <w:t>2024年11月30日，</w:t>
      </w:r>
      <w:r>
        <w:rPr>
          <w:rFonts w:hint="eastAsia" w:ascii="仿宋" w:hAnsi="仿宋" w:eastAsia="仿宋" w:cs="仿宋"/>
          <w:color w:val="auto"/>
          <w:kern w:val="2"/>
          <w:sz w:val="32"/>
          <w:szCs w:val="32"/>
        </w:rPr>
        <w:t>行政事业单位科级及以下退休人员活动及管理经费</w:t>
      </w:r>
      <w:r>
        <w:rPr>
          <w:rFonts w:hint="eastAsia" w:ascii="仿宋" w:hAnsi="仿宋" w:eastAsia="仿宋" w:cs="仿宋"/>
          <w:color w:val="auto"/>
          <w:sz w:val="32"/>
          <w:szCs w:val="32"/>
          <w:u w:val="none"/>
          <w:lang w:val="en-US" w:eastAsia="zh-CN"/>
        </w:rPr>
        <w:t>项目在</w:t>
      </w:r>
      <w:r>
        <w:rPr>
          <w:rFonts w:hint="eastAsia" w:ascii="仿宋" w:hAnsi="仿宋" w:eastAsia="仿宋" w:cs="仿宋"/>
          <w:color w:val="auto"/>
          <w:sz w:val="32"/>
          <w:szCs w:val="32"/>
          <w:lang w:val="zh-CN"/>
        </w:rPr>
        <w:t>资金到位</w:t>
      </w:r>
      <w:r>
        <w:rPr>
          <w:rFonts w:hint="eastAsia" w:ascii="仿宋" w:hAnsi="仿宋" w:eastAsia="仿宋" w:cs="仿宋"/>
          <w:color w:val="auto"/>
          <w:sz w:val="32"/>
          <w:szCs w:val="32"/>
          <w:lang w:val="en-US" w:eastAsia="zh-CN"/>
        </w:rPr>
        <w:t>174.12万元</w:t>
      </w:r>
      <w:r>
        <w:rPr>
          <w:rFonts w:hint="eastAsia" w:ascii="仿宋" w:hAnsi="仿宋" w:eastAsia="仿宋" w:cs="仿宋"/>
          <w:color w:val="auto"/>
          <w:sz w:val="32"/>
          <w:szCs w:val="32"/>
          <w:lang w:val="zh-CN"/>
        </w:rPr>
        <w:t>。资金到位情况与资金计划进行比对，到位比例</w:t>
      </w:r>
      <w:r>
        <w:rPr>
          <w:rFonts w:hint="eastAsia" w:ascii="仿宋" w:hAnsi="仿宋" w:eastAsia="仿宋" w:cs="仿宋"/>
          <w:color w:val="auto"/>
          <w:sz w:val="32"/>
          <w:szCs w:val="32"/>
          <w:lang w:val="en-US" w:eastAsia="zh-CN"/>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2．资金使用。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rPr>
        <w:t>行政事业单位科级及以下退休人员活动及管理经费</w:t>
      </w:r>
      <w:r>
        <w:rPr>
          <w:rFonts w:hint="eastAsia" w:ascii="仿宋" w:hAnsi="仿宋" w:eastAsia="仿宋" w:cs="仿宋"/>
          <w:color w:val="auto"/>
          <w:sz w:val="32"/>
          <w:szCs w:val="32"/>
          <w:u w:val="none"/>
          <w:lang w:val="en-US" w:eastAsia="zh-CN"/>
        </w:rPr>
        <w:t>项目资金按实拨付，</w:t>
      </w:r>
      <w:r>
        <w:rPr>
          <w:rFonts w:hint="eastAsia" w:ascii="仿宋" w:hAnsi="仿宋" w:eastAsia="仿宋" w:cs="仿宋"/>
          <w:color w:val="auto"/>
          <w:sz w:val="32"/>
          <w:szCs w:val="32"/>
          <w:u w:val="none"/>
          <w:lang w:val="zh-CN" w:eastAsia="zh-CN"/>
        </w:rPr>
        <w:t>截止</w:t>
      </w:r>
      <w:r>
        <w:rPr>
          <w:rFonts w:hint="eastAsia" w:ascii="仿宋" w:hAnsi="仿宋" w:eastAsia="仿宋" w:cs="仿宋"/>
          <w:color w:val="auto"/>
          <w:sz w:val="32"/>
          <w:szCs w:val="32"/>
          <w:u w:val="none"/>
          <w:lang w:val="en-US" w:eastAsia="zh-CN"/>
        </w:rPr>
        <w:t>2024年11月30日，2057名退休人员每人每年800元，项目</w:t>
      </w:r>
      <w:r>
        <w:rPr>
          <w:rFonts w:hint="eastAsia" w:ascii="仿宋" w:hAnsi="仿宋" w:eastAsia="仿宋" w:cs="仿宋"/>
          <w:color w:val="auto"/>
          <w:sz w:val="32"/>
          <w:szCs w:val="32"/>
          <w:lang w:val="zh-CN"/>
        </w:rPr>
        <w:t>资金拨付使用</w:t>
      </w:r>
      <w:r>
        <w:rPr>
          <w:rFonts w:hint="eastAsia" w:ascii="仿宋" w:hAnsi="仿宋" w:eastAsia="仿宋" w:cs="仿宋"/>
          <w:color w:val="auto"/>
          <w:sz w:val="32"/>
          <w:szCs w:val="32"/>
          <w:lang w:val="en-US" w:eastAsia="zh-CN"/>
        </w:rPr>
        <w:t>174.12万元，使用比例100%。资金支付合规合法，资金使用与预算相符。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（二）项目财务管理情况。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项目实施单位严格按照管理办法实施，财务管理制度健全，严格执行财务管理制度，账务处理及时，会计核算规范。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（三）项目组织实施情况。</w:t>
      </w:r>
    </w:p>
    <w:p>
      <w:pPr>
        <w:adjustRightInd w:val="0"/>
        <w:snapToGrid w:val="0"/>
        <w:spacing w:line="560" w:lineRule="exact"/>
        <w:ind w:firstLine="72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该项目根据事业单位管理股核定实际人数拨付资金，</w:t>
      </w:r>
      <w:r>
        <w:rPr>
          <w:rFonts w:hint="eastAsia" w:ascii="仿宋" w:hAnsi="仿宋" w:eastAsia="仿宋" w:cs="仿宋"/>
          <w:color w:val="auto"/>
          <w:sz w:val="32"/>
          <w:szCs w:val="32"/>
          <w:lang w:val="zh-CN"/>
        </w:rPr>
        <w:t>当年减少的人员，经费在下半年中减少。</w:t>
      </w:r>
      <w:r>
        <w:rPr>
          <w:rFonts w:hint="eastAsia" w:ascii="仿宋" w:hAnsi="仿宋" w:eastAsia="仿宋" w:cs="仿宋"/>
          <w:b w:val="0"/>
          <w:bCs/>
          <w:color w:val="auto"/>
          <w:sz w:val="32"/>
          <w:szCs w:val="32"/>
          <w:lang w:val="en-US" w:eastAsia="zh-CN"/>
        </w:rPr>
        <w:t>不定期对活动小组经费支出情况进行检查。</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rPr>
        <w:t>三、项目绩效情况</w:t>
      </w:r>
      <w:r>
        <w:rPr>
          <w:rFonts w:hint="eastAsia" w:ascii="仿宋" w:hAnsi="仿宋" w:eastAsia="仿宋" w:cs="仿宋"/>
          <w:color w:val="auto"/>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（一）项目完成情况。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 w:hAnsi="仿宋" w:eastAsia="仿宋" w:cs="仿宋"/>
          <w:color w:val="auto"/>
          <w:sz w:val="32"/>
          <w:szCs w:val="32"/>
          <w:lang w:val="zh-CN"/>
        </w:rPr>
      </w:pPr>
      <w:r>
        <w:rPr>
          <w:rFonts w:hint="eastAsia" w:ascii="仿宋" w:hAnsi="仿宋" w:eastAsia="仿宋" w:cs="仿宋"/>
          <w:b w:val="0"/>
          <w:bCs/>
          <w:color w:val="auto"/>
          <w:sz w:val="32"/>
          <w:szCs w:val="32"/>
          <w:lang w:val="zh-CN"/>
        </w:rPr>
        <w:t>该经费</w:t>
      </w:r>
      <w:r>
        <w:rPr>
          <w:rFonts w:hint="eastAsia" w:ascii="仿宋" w:hAnsi="仿宋" w:eastAsia="仿宋" w:cs="仿宋"/>
          <w:color w:val="auto"/>
          <w:sz w:val="32"/>
          <w:szCs w:val="32"/>
          <w:lang w:val="zh-CN"/>
        </w:rPr>
        <w:t>由各活动组统一掌握使用，主要用于购买学习资</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料、订阅报刊杂志、组织开展活动和看望病员、节日慰</w:t>
      </w:r>
    </w:p>
    <w:p>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 w:hAnsi="仿宋" w:eastAsia="仿宋" w:cs="仿宋"/>
          <w:b/>
          <w:color w:val="auto"/>
          <w:sz w:val="32"/>
          <w:szCs w:val="32"/>
          <w:lang w:val="en-US" w:eastAsia="zh-CN"/>
        </w:rPr>
      </w:pPr>
      <w:r>
        <w:rPr>
          <w:rFonts w:hint="eastAsia" w:ascii="仿宋" w:hAnsi="仿宋" w:eastAsia="仿宋" w:cs="仿宋"/>
          <w:color w:val="auto"/>
          <w:sz w:val="32"/>
          <w:szCs w:val="32"/>
          <w:lang w:val="zh-CN"/>
        </w:rPr>
        <w:t>问等。按实际人数半年拨付一次，每人</w:t>
      </w:r>
      <w:r>
        <w:rPr>
          <w:rFonts w:hint="eastAsia" w:ascii="仿宋" w:hAnsi="仿宋" w:eastAsia="仿宋" w:cs="仿宋"/>
          <w:color w:val="auto"/>
          <w:sz w:val="32"/>
          <w:szCs w:val="32"/>
          <w:lang w:val="en-US" w:eastAsia="zh-CN"/>
        </w:rPr>
        <w:t>800元每年，2024年共2057名退休人员，实际拨付资金174.12万元，于2024年11月30日前全面完成。满意度达95%以上。</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该项目的实施，充实了机关事业单位科级及以下退休人员退休生活、提升退休生活质量，提高社会满意度。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（一）存在的问题。</w:t>
      </w:r>
    </w:p>
    <w:p>
      <w:pPr>
        <w:widowControl/>
        <w:adjustRightInd w:val="0"/>
        <w:snapToGrid w:val="0"/>
        <w:spacing w:line="580" w:lineRule="exact"/>
        <w:ind w:firstLine="640" w:firstLineChars="200"/>
        <w:contextualSpacing/>
        <w:jc w:val="left"/>
        <w:rPr>
          <w:rFonts w:hint="eastAsia" w:ascii="仿宋" w:hAnsi="仿宋" w:eastAsia="仿宋" w:cs="仿宋"/>
          <w:b/>
          <w:color w:val="auto"/>
          <w:sz w:val="32"/>
          <w:szCs w:val="32"/>
          <w:lang w:val="zh-CN"/>
        </w:rPr>
      </w:pPr>
      <w:r>
        <w:rPr>
          <w:rFonts w:hint="eastAsia" w:ascii="仿宋" w:hAnsi="仿宋" w:eastAsia="仿宋" w:cs="仿宋"/>
          <w:b w:val="0"/>
          <w:bCs/>
          <w:color w:val="auto"/>
          <w:sz w:val="32"/>
          <w:szCs w:val="32"/>
          <w:lang w:val="zh-CN"/>
        </w:rPr>
        <w:t>还需进一步持续加强资金监管。</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720" w:leftChars="0"/>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相关建议。</w:t>
      </w:r>
    </w:p>
    <w:p>
      <w:pPr>
        <w:numPr>
          <w:ilvl w:val="0"/>
          <w:numId w:val="0"/>
        </w:numPr>
        <w:adjustRightInd w:val="0"/>
        <w:snapToGrid w:val="0"/>
        <w:spacing w:line="560" w:lineRule="exact"/>
        <w:ind w:left="720" w:leftChars="0"/>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由于退休人员人数众多，活动组较多，资金监管难度大，</w:t>
      </w:r>
    </w:p>
    <w:p>
      <w:pPr>
        <w:pStyle w:val="2"/>
        <w:rPr>
          <w:rFonts w:hint="eastAsia" w:ascii="仿宋" w:hAnsi="仿宋" w:eastAsia="仿宋" w:cs="仿宋"/>
          <w:b w:val="0"/>
          <w:bCs/>
          <w:color w:val="auto"/>
          <w:sz w:val="32"/>
          <w:szCs w:val="32"/>
          <w:lang w:val="zh-CN" w:eastAsia="zh-CN"/>
        </w:rPr>
      </w:pPr>
      <w:r>
        <w:rPr>
          <w:rFonts w:hint="eastAsia" w:ascii="仿宋" w:hAnsi="仿宋" w:eastAsia="仿宋" w:cs="仿宋"/>
          <w:b w:val="0"/>
          <w:bCs/>
          <w:color w:val="auto"/>
          <w:sz w:val="32"/>
          <w:szCs w:val="32"/>
          <w:lang w:val="zh-CN"/>
        </w:rPr>
        <w:t>建议活动经费由财政对各预算单位直接拨付，分散监管</w:t>
      </w:r>
      <w:r>
        <w:rPr>
          <w:rFonts w:hint="eastAsia" w:ascii="仿宋" w:hAnsi="仿宋" w:eastAsia="仿宋" w:cs="仿宋"/>
          <w:b w:val="0"/>
          <w:bCs/>
          <w:color w:val="auto"/>
          <w:sz w:val="32"/>
          <w:szCs w:val="32"/>
          <w:lang w:val="zh-CN" w:eastAsia="zh-CN"/>
        </w:rPr>
        <w:t>。</w:t>
      </w:r>
    </w:p>
    <w:p>
      <w:pPr>
        <w:rPr>
          <w:rFonts w:hint="eastAsia"/>
          <w:color w:val="auto"/>
          <w:lang w:val="en-US" w:eastAsia="zh-CN"/>
        </w:rPr>
      </w:pPr>
    </w:p>
    <w:p>
      <w:pPr>
        <w:pStyle w:val="36"/>
        <w:spacing w:line="60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项目支出绩效自评报告</w:t>
      </w:r>
    </w:p>
    <w:p>
      <w:pPr>
        <w:pStyle w:val="36"/>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（高校毕业生“三支一扶”经费上级补助资金）</w:t>
      </w:r>
    </w:p>
    <w:p>
      <w:pPr>
        <w:pStyle w:val="36"/>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介绍项目基本情况，重点说明以下内容：</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项目资金申报及批复情况。</w:t>
      </w:r>
      <w:r>
        <w:rPr>
          <w:rFonts w:hint="eastAsia" w:ascii="仿宋" w:hAnsi="仿宋" w:eastAsia="仿宋" w:cs="仿宋"/>
          <w:color w:val="auto"/>
          <w:sz w:val="32"/>
          <w:szCs w:val="32"/>
          <w:lang w:val="zh-CN"/>
        </w:rPr>
        <w:t>对项目资金申报、批复等情况进行说明（如涉及预算调整，应说明预算调整程序及相关情况），评价其是否符合资金管理办法等相关规定。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川财社〔2023〕168号-四川省财政厅四川省人力资源和社会保障厅关于提前下达2024年高校毕业生“三支一扶”计划中央和省级财政补助资金预算指标的通知和川财社〔2024〕88号-四川省财政厅四川省人力资源和社会保障厅关于下达2024年高校毕业生“三支一扶”计划中央和省级财政补助资金预算的通知，乐市财政社〔2024〕102号关于下达2024年高校毕业生“三支一扶”计划中央和省级财政补助资金的通知，下达我县“三支一扶”上级资金共678.61万元，其中中央资金446.35万元、省级资金232.26万元，及时足额到位。另上年结转资金2.7万元已拨付到位。</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项目绩效目标。</w:t>
      </w:r>
      <w:r>
        <w:rPr>
          <w:rFonts w:hint="eastAsia" w:ascii="仿宋" w:hAnsi="仿宋" w:eastAsia="仿宋" w:cs="仿宋"/>
          <w:color w:val="auto"/>
          <w:sz w:val="32"/>
          <w:szCs w:val="32"/>
          <w:lang w:val="zh-CN"/>
        </w:rPr>
        <w:t>说明项目主要内容，计划实现的具体绩效目标（定性和定量目标）以及项目实施进度计划等。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rPr>
        <w:t>高校毕业生“三支一扶”经费上级补助资金</w:t>
      </w:r>
      <w:r>
        <w:rPr>
          <w:rFonts w:hint="eastAsia" w:ascii="仿宋" w:hAnsi="仿宋" w:eastAsia="仿宋" w:cs="仿宋"/>
          <w:color w:val="auto"/>
          <w:kern w:val="2"/>
          <w:sz w:val="32"/>
          <w:szCs w:val="32"/>
          <w:lang w:eastAsia="zh-CN"/>
        </w:rPr>
        <w:t>主要用于“三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eastAsia="zh-CN"/>
        </w:rPr>
        <w:t>支一扶”人员工作生活补贴发放，安家费发放、五险一金缴纳、往届在岗提升培训和新招募岗前培训。</w:t>
      </w:r>
      <w:r>
        <w:rPr>
          <w:rFonts w:hint="eastAsia" w:ascii="仿宋" w:hAnsi="仿宋" w:eastAsia="仿宋" w:cs="仿宋"/>
          <w:color w:val="auto"/>
          <w:sz w:val="32"/>
          <w:szCs w:val="32"/>
          <w:lang w:val="en-US" w:eastAsia="zh-CN"/>
        </w:rPr>
        <w:t>2024年“三支一扶”人员172人，全面完成了“三支一扶”人员工作生活补贴发放和</w:t>
      </w:r>
      <w:r>
        <w:rPr>
          <w:rFonts w:hint="eastAsia" w:ascii="仿宋" w:hAnsi="仿宋" w:eastAsia="仿宋" w:cs="仿宋"/>
          <w:color w:val="auto"/>
          <w:kern w:val="2"/>
          <w:sz w:val="32"/>
          <w:szCs w:val="32"/>
          <w:lang w:eastAsia="zh-CN"/>
        </w:rPr>
        <w:t>五险一金缴纳，发放</w:t>
      </w:r>
      <w:r>
        <w:rPr>
          <w:rFonts w:hint="eastAsia" w:ascii="仿宋" w:hAnsi="仿宋" w:eastAsia="仿宋" w:cs="仿宋"/>
          <w:color w:val="auto"/>
          <w:kern w:val="2"/>
          <w:sz w:val="32"/>
          <w:szCs w:val="32"/>
          <w:lang w:val="en-US" w:eastAsia="zh-CN"/>
        </w:rPr>
        <w:t>75人</w:t>
      </w:r>
      <w:r>
        <w:rPr>
          <w:rFonts w:hint="eastAsia" w:ascii="仿宋" w:hAnsi="仿宋" w:eastAsia="仿宋" w:cs="仿宋"/>
          <w:color w:val="auto"/>
          <w:kern w:val="2"/>
          <w:sz w:val="32"/>
          <w:szCs w:val="32"/>
          <w:lang w:eastAsia="zh-CN"/>
        </w:rPr>
        <w:t>安家费，完成往届在岗</w:t>
      </w:r>
      <w:r>
        <w:rPr>
          <w:rFonts w:hint="eastAsia" w:ascii="仿宋" w:hAnsi="仿宋" w:eastAsia="仿宋" w:cs="仿宋"/>
          <w:color w:val="auto"/>
          <w:kern w:val="2"/>
          <w:sz w:val="32"/>
          <w:szCs w:val="32"/>
          <w:lang w:val="en-US" w:eastAsia="zh-CN"/>
        </w:rPr>
        <w:t>31人</w:t>
      </w:r>
      <w:r>
        <w:rPr>
          <w:rFonts w:hint="eastAsia" w:ascii="仿宋" w:hAnsi="仿宋" w:eastAsia="仿宋" w:cs="仿宋"/>
          <w:color w:val="auto"/>
          <w:kern w:val="2"/>
          <w:sz w:val="32"/>
          <w:szCs w:val="32"/>
          <w:lang w:eastAsia="zh-CN"/>
        </w:rPr>
        <w:t>提升培训和新招募</w:t>
      </w:r>
      <w:r>
        <w:rPr>
          <w:rFonts w:hint="eastAsia" w:ascii="仿宋" w:hAnsi="仿宋" w:eastAsia="仿宋" w:cs="仿宋"/>
          <w:color w:val="auto"/>
          <w:kern w:val="2"/>
          <w:sz w:val="32"/>
          <w:szCs w:val="32"/>
          <w:lang w:val="en-US" w:eastAsia="zh-CN"/>
        </w:rPr>
        <w:t>70人</w:t>
      </w:r>
      <w:r>
        <w:rPr>
          <w:rFonts w:hint="eastAsia" w:ascii="仿宋" w:hAnsi="仿宋" w:eastAsia="仿宋" w:cs="仿宋"/>
          <w:color w:val="auto"/>
          <w:kern w:val="2"/>
          <w:sz w:val="32"/>
          <w:szCs w:val="32"/>
          <w:lang w:eastAsia="zh-CN"/>
        </w:rPr>
        <w:t>岗前培训。</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项目资金申报相符性。</w:t>
      </w:r>
      <w:r>
        <w:rPr>
          <w:rFonts w:hint="eastAsia" w:ascii="仿宋" w:hAnsi="仿宋" w:eastAsia="仿宋" w:cs="仿宋"/>
          <w:color w:val="auto"/>
          <w:sz w:val="32"/>
          <w:szCs w:val="32"/>
          <w:lang w:val="zh-CN"/>
        </w:rPr>
        <w:t>说明项目申报内容是否与具体实施内容相符、申报目标是否合理可行等。</w:t>
      </w:r>
    </w:p>
    <w:p>
      <w:pPr>
        <w:numPr>
          <w:ilvl w:val="0"/>
          <w:numId w:val="0"/>
        </w:numPr>
        <w:adjustRightInd w:val="0"/>
        <w:snapToGrid w:val="0"/>
        <w:spacing w:line="560" w:lineRule="exact"/>
        <w:ind w:left="720" w:leftChars="0"/>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rPr>
        <w:t>高校毕业生“三支一扶”经费上级补助资金</w:t>
      </w:r>
      <w:r>
        <w:rPr>
          <w:rFonts w:hint="eastAsia" w:ascii="仿宋" w:hAnsi="仿宋" w:eastAsia="仿宋" w:cs="仿宋"/>
          <w:color w:val="auto"/>
          <w:sz w:val="32"/>
          <w:szCs w:val="32"/>
          <w:lang w:val="zh-CN"/>
        </w:rPr>
        <w:t>项目资金申报</w:t>
      </w:r>
    </w:p>
    <w:p>
      <w:pPr>
        <w:numPr>
          <w:ilvl w:val="0"/>
          <w:numId w:val="0"/>
        </w:numPr>
        <w:adjustRightInd w:val="0"/>
        <w:snapToGrid w:val="0"/>
        <w:spacing w:line="560" w:lineRule="exact"/>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color w:val="auto"/>
          <w:sz w:val="32"/>
          <w:szCs w:val="32"/>
          <w:lang w:val="zh-CN"/>
        </w:rPr>
      </w:pPr>
      <w:r>
        <w:rPr>
          <w:rFonts w:hint="eastAsia" w:ascii="仿宋" w:hAnsi="仿宋" w:eastAsia="仿宋" w:cs="仿宋"/>
          <w:color w:val="auto"/>
          <w:sz w:val="32"/>
          <w:szCs w:val="32"/>
          <w:lang w:val="zh-CN"/>
        </w:rPr>
        <w:tab/>
      </w:r>
      <w:r>
        <w:rPr>
          <w:rFonts w:hint="eastAsia" w:ascii="仿宋" w:hAnsi="仿宋" w:eastAsia="仿宋" w:cs="仿宋"/>
          <w:b/>
          <w:color w:val="auto"/>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1．资金计划及到位。说明该项目各类资金计划及截止评价时点实际到位情况，包括中央、省、市（州）、县（市、区）财政资金、项目单位自筹资金及其他渠道资金。将资金到位情况与资金计划进行比对，分析说明资金到位率、到位及时性。如有资金未到位或到位不及时等情况应说明原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川财社〔2023〕168号-四川省财政厅四川省人力资源和社会保障厅关于提前下达2024年高校毕业生“三支一扶”计划中央和省级财政补助资金预算指标的通知和川财社〔2024〕88号-四川省财政厅四川省人力资源和社会保障厅关于下达2024年高校毕业生“三支一扶”计划中央和省级财政补助资金预算的通知，乐市财政社〔2024〕102号关于下达2024年高校毕业生“三支一扶”计划中央和省级财政补助资金的通知，下达我县“三支一扶”上级资金共678.61万元，其中中央资金446.35万元、省级资金232.26万元，及时足额到位。另上年结转资金2.7万元已拨付到位。资金到位率100%。</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资金使用。说明截止评价时点项目资金的实际支出情况，资金开支范围、标准及支付进度等，支付依据是否合规合法，资金支付是否与预算相符，并对相关问题进行说明。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kern w:val="0"/>
          <w:sz w:val="32"/>
          <w:szCs w:val="32"/>
          <w:lang w:eastAsia="zh-CN"/>
        </w:rPr>
        <w:t>按照中共四川省委组织部</w:t>
      </w:r>
      <w:r>
        <w:rPr>
          <w:rFonts w:hint="eastAsia" w:ascii="仿宋" w:hAnsi="仿宋" w:eastAsia="仿宋" w:cs="仿宋"/>
          <w:color w:val="auto"/>
          <w:kern w:val="0"/>
          <w:sz w:val="32"/>
          <w:szCs w:val="32"/>
          <w:lang w:val="en-US" w:eastAsia="zh-CN"/>
        </w:rPr>
        <w:t xml:space="preserve"> 四川省人力资源和社会保障厅等十部门《关于实施第四轮高校毕业生“三支一扶”计划的通知》精神，参照所在单位事业人员工资标准核定“三支一扶”人员工作生活补贴，2024年实际支出中央资金446.35万元，省级资金232.26万元，主要用于</w:t>
      </w:r>
      <w:r>
        <w:rPr>
          <w:rFonts w:hint="eastAsia" w:ascii="仿宋" w:hAnsi="仿宋" w:eastAsia="仿宋" w:cs="仿宋"/>
          <w:color w:val="auto"/>
          <w:kern w:val="2"/>
          <w:sz w:val="32"/>
          <w:szCs w:val="32"/>
          <w:lang w:eastAsia="zh-CN"/>
        </w:rPr>
        <w:t>工作生活补贴发放，安家费发放、五险一金缴纳、往届在岗提升培训和新招募岗前培训。</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说明项目财务管理制度建设、机构设置、会计核算及账务处理等相关情况。对照项目资金管理办法，评价项目是否严格执行财务管理制度、财务处理是否及时、会计核算是否规范等。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项目实施单位严格按照管理办法实施，财务管理制度健全，严格执行财务管理制度，账务处理及时，会计核算规范。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pPr>
        <w:adjustRightInd w:val="0"/>
        <w:snapToGrid w:val="0"/>
        <w:spacing w:line="560" w:lineRule="exact"/>
        <w:ind w:firstLine="720"/>
        <w:rPr>
          <w:rFonts w:hint="eastAsia" w:ascii="仿宋" w:hAnsi="仿宋" w:eastAsia="仿宋" w:cs="仿宋"/>
          <w:color w:val="auto"/>
          <w:sz w:val="32"/>
          <w:szCs w:val="32"/>
          <w:lang w:val="zh-CN"/>
        </w:rPr>
      </w:pPr>
      <w:r>
        <w:rPr>
          <w:rFonts w:hint="eastAsia" w:ascii="仿宋" w:hAnsi="仿宋" w:eastAsia="仿宋" w:cs="仿宋"/>
          <w:b w:val="0"/>
          <w:bCs/>
          <w:color w:val="auto"/>
          <w:sz w:val="32"/>
          <w:szCs w:val="32"/>
          <w:lang w:val="en-US" w:eastAsia="zh-CN"/>
        </w:rPr>
        <w:t>该项目股室根据</w:t>
      </w:r>
      <w:r>
        <w:rPr>
          <w:rFonts w:hint="eastAsia" w:ascii="仿宋" w:hAnsi="仿宋" w:eastAsia="仿宋" w:cs="仿宋"/>
          <w:color w:val="auto"/>
          <w:kern w:val="0"/>
          <w:sz w:val="32"/>
          <w:szCs w:val="32"/>
          <w:lang w:eastAsia="zh-CN"/>
        </w:rPr>
        <w:t>中共四川省委组织部</w:t>
      </w:r>
      <w:r>
        <w:rPr>
          <w:rFonts w:hint="eastAsia" w:ascii="仿宋" w:hAnsi="仿宋" w:eastAsia="仿宋" w:cs="仿宋"/>
          <w:color w:val="auto"/>
          <w:kern w:val="0"/>
          <w:sz w:val="32"/>
          <w:szCs w:val="32"/>
          <w:lang w:val="en-US" w:eastAsia="zh-CN"/>
        </w:rPr>
        <w:t xml:space="preserve"> 四川省人力资源和社会保障厅等十部门《关于实施第四轮高校毕业生“三支一扶”计划的通知》精神，</w:t>
      </w:r>
      <w:r>
        <w:rPr>
          <w:rFonts w:hint="eastAsia" w:ascii="仿宋" w:hAnsi="仿宋" w:eastAsia="仿宋" w:cs="仿宋"/>
          <w:b w:val="0"/>
          <w:bCs/>
          <w:color w:val="auto"/>
          <w:sz w:val="32"/>
          <w:szCs w:val="32"/>
          <w:lang w:val="en-US" w:eastAsia="zh-CN"/>
        </w:rPr>
        <w:t>核定“三支一扶”人员工作生活补贴和五险一金缴费，按实支出，人员变动及时调整</w:t>
      </w:r>
      <w:r>
        <w:rPr>
          <w:rFonts w:hint="eastAsia" w:ascii="仿宋" w:hAnsi="仿宋" w:eastAsia="仿宋" w:cs="仿宋"/>
          <w:color w:val="auto"/>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rPr>
        <w:t>三、项目绩效情况</w:t>
      </w:r>
      <w:r>
        <w:rPr>
          <w:rFonts w:hint="eastAsia" w:ascii="仿宋" w:hAnsi="仿宋" w:eastAsia="仿宋" w:cs="仿宋"/>
          <w:color w:val="auto"/>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包括项目完成数量、质量、时效、成本，</w:t>
      </w:r>
      <w:r>
        <w:rPr>
          <w:rFonts w:hint="eastAsia" w:ascii="仿宋" w:hAnsi="仿宋" w:eastAsia="仿宋" w:cs="仿宋"/>
          <w:color w:val="auto"/>
          <w:sz w:val="32"/>
          <w:szCs w:val="32"/>
          <w:lang w:eastAsia="zh-CN"/>
        </w:rPr>
        <w:t>项目资金结余情况，违规记录</w:t>
      </w:r>
      <w:r>
        <w:rPr>
          <w:rFonts w:hint="eastAsia" w:ascii="仿宋" w:hAnsi="仿宋" w:eastAsia="仿宋" w:cs="仿宋"/>
          <w:color w:val="auto"/>
          <w:sz w:val="32"/>
          <w:szCs w:val="32"/>
          <w:lang w:val="zh-CN"/>
        </w:rPr>
        <w:t>等情况，对照项目计划完成目标，对截止评价时点的任务量完成、质量标准、进度计划、成本控制目标的实现程度进行自评、分析、说明。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2024年及时足额发放172人工作生活补贴和五险一金缴费，</w:t>
      </w:r>
      <w:r>
        <w:rPr>
          <w:rFonts w:hint="eastAsia" w:ascii="仿宋" w:hAnsi="仿宋" w:eastAsia="仿宋" w:cs="仿宋"/>
          <w:color w:val="auto"/>
          <w:kern w:val="2"/>
          <w:sz w:val="32"/>
          <w:szCs w:val="32"/>
          <w:lang w:eastAsia="zh-CN"/>
        </w:rPr>
        <w:t>发放</w:t>
      </w:r>
      <w:r>
        <w:rPr>
          <w:rFonts w:hint="eastAsia" w:ascii="仿宋" w:hAnsi="仿宋" w:eastAsia="仿宋" w:cs="仿宋"/>
          <w:color w:val="auto"/>
          <w:kern w:val="2"/>
          <w:sz w:val="32"/>
          <w:szCs w:val="32"/>
          <w:lang w:val="en-US" w:eastAsia="zh-CN"/>
        </w:rPr>
        <w:t>75人</w:t>
      </w:r>
      <w:r>
        <w:rPr>
          <w:rFonts w:hint="eastAsia" w:ascii="仿宋" w:hAnsi="仿宋" w:eastAsia="仿宋" w:cs="仿宋"/>
          <w:color w:val="auto"/>
          <w:kern w:val="2"/>
          <w:sz w:val="32"/>
          <w:szCs w:val="32"/>
          <w:lang w:eastAsia="zh-CN"/>
        </w:rPr>
        <w:t>安家费，完成往届在岗</w:t>
      </w:r>
      <w:r>
        <w:rPr>
          <w:rFonts w:hint="eastAsia" w:ascii="仿宋" w:hAnsi="仿宋" w:eastAsia="仿宋" w:cs="仿宋"/>
          <w:color w:val="auto"/>
          <w:kern w:val="2"/>
          <w:sz w:val="32"/>
          <w:szCs w:val="32"/>
          <w:lang w:val="en-US" w:eastAsia="zh-CN"/>
        </w:rPr>
        <w:t>31人</w:t>
      </w:r>
      <w:r>
        <w:rPr>
          <w:rFonts w:hint="eastAsia" w:ascii="仿宋" w:hAnsi="仿宋" w:eastAsia="仿宋" w:cs="仿宋"/>
          <w:color w:val="auto"/>
          <w:kern w:val="2"/>
          <w:sz w:val="32"/>
          <w:szCs w:val="32"/>
          <w:lang w:eastAsia="zh-CN"/>
        </w:rPr>
        <w:t>提升培训和新招募</w:t>
      </w:r>
      <w:r>
        <w:rPr>
          <w:rFonts w:hint="eastAsia" w:ascii="仿宋" w:hAnsi="仿宋" w:eastAsia="仿宋" w:cs="仿宋"/>
          <w:color w:val="auto"/>
          <w:kern w:val="2"/>
          <w:sz w:val="32"/>
          <w:szCs w:val="32"/>
          <w:lang w:val="en-US" w:eastAsia="zh-CN"/>
        </w:rPr>
        <w:t>70人</w:t>
      </w:r>
      <w:r>
        <w:rPr>
          <w:rFonts w:hint="eastAsia" w:ascii="仿宋" w:hAnsi="仿宋" w:eastAsia="仿宋" w:cs="仿宋"/>
          <w:color w:val="auto"/>
          <w:kern w:val="2"/>
          <w:sz w:val="32"/>
          <w:szCs w:val="32"/>
          <w:lang w:eastAsia="zh-CN"/>
        </w:rPr>
        <w:t>岗前培训。中央资金共支出</w:t>
      </w:r>
      <w:r>
        <w:rPr>
          <w:rFonts w:hint="eastAsia" w:ascii="仿宋" w:hAnsi="仿宋" w:eastAsia="仿宋" w:cs="仿宋"/>
          <w:color w:val="auto"/>
          <w:kern w:val="2"/>
          <w:sz w:val="32"/>
          <w:szCs w:val="32"/>
          <w:lang w:val="en-US" w:eastAsia="zh-CN"/>
        </w:rPr>
        <w:t>446.35万元，省级资金共支出232.26万元，无结余。</w:t>
      </w:r>
    </w:p>
    <w:p>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lang w:val="zh-CN"/>
        </w:rPr>
      </w:pPr>
      <w:r>
        <w:rPr>
          <w:rFonts w:hint="eastAsia" w:ascii="仿宋" w:hAnsi="仿宋" w:eastAsia="仿宋" w:cs="仿宋"/>
          <w:b/>
          <w:color w:val="auto"/>
          <w:sz w:val="32"/>
          <w:szCs w:val="32"/>
          <w:lang w:val="zh-CN"/>
        </w:rPr>
        <w:t>项目效益情况。</w:t>
      </w:r>
      <w:r>
        <w:rPr>
          <w:rFonts w:hint="eastAsia" w:ascii="仿宋" w:hAnsi="仿宋" w:eastAsia="仿宋" w:cs="仿宋"/>
          <w:color w:val="auto"/>
          <w:sz w:val="32"/>
          <w:szCs w:val="32"/>
          <w:lang w:val="zh-CN"/>
        </w:rPr>
        <w:t>从项目经济、社会、生态、可持续效益以及服务对象满意度等方面对项目效益进行全面分析评价。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发挥引领高校毕业生到基层就业创业示范引领作用，为基层输送培养青年人才，优化基层人才队伍结构，不断提升“三支一扶”人员和基层服务单位满意度。</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 w:hAnsi="仿宋" w:eastAsia="仿宋" w:cs="仿宋"/>
          <w:color w:val="auto"/>
          <w:sz w:val="32"/>
          <w:szCs w:val="32"/>
          <w:lang w:val="zh-CN"/>
        </w:rPr>
      </w:pPr>
      <w:r>
        <w:rPr>
          <w:rFonts w:hint="eastAsia" w:ascii="仿宋" w:hAnsi="仿宋" w:eastAsia="仿宋" w:cs="仿宋"/>
          <w:b/>
          <w:bCs w:val="0"/>
          <w:color w:val="auto"/>
          <w:sz w:val="32"/>
          <w:szCs w:val="32"/>
          <w:lang w:val="zh-CN"/>
        </w:rPr>
        <w:t>（二）相关</w:t>
      </w:r>
      <w:r>
        <w:rPr>
          <w:rFonts w:hint="eastAsia" w:ascii="仿宋" w:hAnsi="仿宋" w:eastAsia="仿宋" w:cs="仿宋"/>
          <w:b/>
          <w:color w:val="auto"/>
          <w:sz w:val="32"/>
          <w:szCs w:val="32"/>
          <w:lang w:val="zh-CN"/>
        </w:rPr>
        <w:t>建议。</w:t>
      </w:r>
      <w:r>
        <w:rPr>
          <w:rFonts w:hint="eastAsia" w:ascii="仿宋" w:hAnsi="仿宋" w:eastAsia="仿宋" w:cs="仿宋"/>
          <w:color w:val="auto"/>
          <w:sz w:val="32"/>
          <w:szCs w:val="32"/>
          <w:lang w:val="zh-CN"/>
        </w:rPr>
        <w:t>提出项目(相关政策)改进完善的建议意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无</w:t>
      </w:r>
    </w:p>
    <w:p>
      <w:pPr>
        <w:pStyle w:val="2"/>
        <w:rPr>
          <w:rFonts w:hint="eastAsia" w:ascii="仿宋" w:hAnsi="仿宋" w:eastAsia="仿宋" w:cs="仿宋"/>
          <w:color w:val="auto"/>
          <w:sz w:val="32"/>
          <w:szCs w:val="32"/>
          <w:lang w:val="zh-CN"/>
        </w:rPr>
      </w:pPr>
    </w:p>
    <w:p>
      <w:pPr>
        <w:rPr>
          <w:rFonts w:hint="eastAsia" w:ascii="仿宋" w:hAnsi="仿宋" w:eastAsia="仿宋" w:cs="仿宋"/>
          <w:color w:val="auto"/>
          <w:sz w:val="32"/>
          <w:szCs w:val="32"/>
          <w:lang w:val="zh-CN"/>
        </w:rPr>
      </w:pPr>
    </w:p>
    <w:p>
      <w:pPr>
        <w:pStyle w:val="2"/>
        <w:rPr>
          <w:rFonts w:hint="eastAsia" w:ascii="仿宋" w:hAnsi="仿宋" w:eastAsia="仿宋" w:cs="仿宋"/>
          <w:color w:val="auto"/>
          <w:sz w:val="32"/>
          <w:szCs w:val="32"/>
          <w:lang w:val="zh-CN"/>
        </w:rPr>
      </w:pPr>
    </w:p>
    <w:p>
      <w:pPr>
        <w:rPr>
          <w:rFonts w:hint="eastAsia" w:ascii="仿宋" w:hAnsi="仿宋" w:eastAsia="仿宋" w:cs="仿宋"/>
          <w:color w:val="auto"/>
          <w:sz w:val="32"/>
          <w:szCs w:val="32"/>
          <w:lang w:val="zh-CN"/>
        </w:rPr>
      </w:pPr>
    </w:p>
    <w:p>
      <w:pPr>
        <w:pStyle w:val="2"/>
        <w:rPr>
          <w:rFonts w:hint="eastAsia" w:ascii="仿宋" w:hAnsi="仿宋" w:eastAsia="仿宋" w:cs="仿宋"/>
          <w:color w:val="auto"/>
          <w:sz w:val="32"/>
          <w:szCs w:val="32"/>
          <w:lang w:val="zh-CN"/>
        </w:rPr>
      </w:pPr>
    </w:p>
    <w:p>
      <w:pPr>
        <w:rPr>
          <w:rFonts w:hint="eastAsia" w:ascii="仿宋" w:hAnsi="仿宋" w:eastAsia="仿宋" w:cs="仿宋"/>
          <w:color w:val="auto"/>
          <w:sz w:val="32"/>
          <w:szCs w:val="32"/>
          <w:lang w:val="zh-CN"/>
        </w:rPr>
      </w:pPr>
    </w:p>
    <w:p>
      <w:pPr>
        <w:pStyle w:val="2"/>
        <w:rPr>
          <w:rFonts w:hint="eastAsia" w:ascii="仿宋" w:hAnsi="仿宋" w:eastAsia="仿宋" w:cs="仿宋"/>
          <w:color w:val="auto"/>
          <w:sz w:val="32"/>
          <w:szCs w:val="32"/>
          <w:lang w:val="zh-CN"/>
        </w:rPr>
      </w:pPr>
    </w:p>
    <w:p>
      <w:pPr>
        <w:rPr>
          <w:rFonts w:hint="eastAsia" w:ascii="仿宋" w:hAnsi="仿宋" w:eastAsia="仿宋" w:cs="仿宋"/>
          <w:color w:val="auto"/>
          <w:sz w:val="32"/>
          <w:szCs w:val="32"/>
          <w:lang w:val="zh-CN"/>
        </w:rPr>
      </w:pPr>
    </w:p>
    <w:p>
      <w:pPr>
        <w:pStyle w:val="2"/>
        <w:rPr>
          <w:rFonts w:hint="eastAsia"/>
          <w:lang w:val="zh-CN"/>
        </w:rPr>
      </w:pPr>
    </w:p>
    <w:bookmarkEnd w:id="47"/>
    <w:p>
      <w:pPr>
        <w:widowControl/>
        <w:jc w:val="center"/>
        <w:rPr>
          <w:rFonts w:hint="eastAsia" w:ascii="Times New Roman" w:hAnsi="Times New Roman" w:eastAsia="仿宋"/>
          <w:b w:val="0"/>
          <w:color w:val="auto"/>
          <w:highlight w:val="none"/>
        </w:rPr>
      </w:pPr>
      <w:bookmarkStart w:id="49" w:name="_Toc15396618"/>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9"/>
      <w:bookmarkStart w:id="50" w:name="_Toc15396619"/>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7" w:type="first"/>
      <w:footerReference r:id="rId6" w:type="default"/>
      <w:pgSz w:w="11906" w:h="16838"/>
      <w:pgMar w:top="1440" w:right="1701" w:bottom="1440" w:left="1701" w:header="851" w:footer="992" w:gutter="0"/>
      <w:pgNumType w:fmt="numberInDash"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3717C"/>
    <w:multiLevelType w:val="singleLevel"/>
    <w:tmpl w:val="83B3717C"/>
    <w:lvl w:ilvl="0" w:tentative="0">
      <w:start w:val="2"/>
      <w:numFmt w:val="chineseCounting"/>
      <w:suff w:val="nothing"/>
      <w:lvlText w:val="(%1）"/>
      <w:lvlJc w:val="left"/>
      <w:rPr>
        <w:rFonts w:hint="eastAsia"/>
      </w:rPr>
    </w:lvl>
  </w:abstractNum>
  <w:abstractNum w:abstractNumId="1">
    <w:nsid w:val="8BAFE5EC"/>
    <w:multiLevelType w:val="singleLevel"/>
    <w:tmpl w:val="8BAFE5EC"/>
    <w:lvl w:ilvl="0" w:tentative="0">
      <w:start w:val="2"/>
      <w:numFmt w:val="decimal"/>
      <w:suff w:val="nothing"/>
      <w:lvlText w:val="%1．"/>
      <w:lvlJc w:val="left"/>
    </w:lvl>
  </w:abstractNum>
  <w:abstractNum w:abstractNumId="2">
    <w:nsid w:val="DB4F8DA3"/>
    <w:multiLevelType w:val="singleLevel"/>
    <w:tmpl w:val="DB4F8DA3"/>
    <w:lvl w:ilvl="0" w:tentative="0">
      <w:start w:val="2"/>
      <w:numFmt w:val="chineseCounting"/>
      <w:suff w:val="nothing"/>
      <w:lvlText w:val="（%1）"/>
      <w:lvlJc w:val="left"/>
      <w:rPr>
        <w:rFonts w:hint="eastAsia"/>
      </w:rPr>
    </w:lvl>
  </w:abstractNum>
  <w:abstractNum w:abstractNumId="3">
    <w:nsid w:val="E6A13A9A"/>
    <w:multiLevelType w:val="singleLevel"/>
    <w:tmpl w:val="E6A13A9A"/>
    <w:lvl w:ilvl="0" w:tentative="0">
      <w:start w:val="2"/>
      <w:numFmt w:val="chineseCounting"/>
      <w:suff w:val="nothing"/>
      <w:lvlText w:val="（%1）"/>
      <w:lvlJc w:val="left"/>
      <w:rPr>
        <w:rFonts w:hint="eastAsia"/>
      </w:rPr>
    </w:lvl>
  </w:abstractNum>
  <w:abstractNum w:abstractNumId="4">
    <w:nsid w:val="E80BD808"/>
    <w:multiLevelType w:val="singleLevel"/>
    <w:tmpl w:val="E80BD808"/>
    <w:lvl w:ilvl="0" w:tentative="0">
      <w:start w:val="1"/>
      <w:numFmt w:val="chineseCounting"/>
      <w:suff w:val="nothing"/>
      <w:lvlText w:val="（%1）"/>
      <w:lvlJc w:val="left"/>
      <w:rPr>
        <w:rFonts w:hint="eastAsia"/>
      </w:rPr>
    </w:lvl>
  </w:abstractNum>
  <w:abstractNum w:abstractNumId="5">
    <w:nsid w:val="1F78C749"/>
    <w:multiLevelType w:val="singleLevel"/>
    <w:tmpl w:val="1F78C749"/>
    <w:lvl w:ilvl="0" w:tentative="0">
      <w:start w:val="2"/>
      <w:numFmt w:val="chineseCounting"/>
      <w:suff w:val="nothing"/>
      <w:lvlText w:val="（%1）"/>
      <w:lvlJc w:val="left"/>
      <w:rPr>
        <w:rFonts w:hint="eastAsia"/>
      </w:rPr>
    </w:lvl>
  </w:abstractNum>
  <w:abstractNum w:abstractNumId="6">
    <w:nsid w:val="40D29C60"/>
    <w:multiLevelType w:val="singleLevel"/>
    <w:tmpl w:val="40D29C60"/>
    <w:lvl w:ilvl="0" w:tentative="0">
      <w:start w:val="2"/>
      <w:numFmt w:val="chineseCounting"/>
      <w:suff w:val="nothing"/>
      <w:lvlText w:val="（%1）"/>
      <w:lvlJc w:val="left"/>
      <w:rPr>
        <w:rFonts w:hint="eastAsia"/>
      </w:rPr>
    </w:lvl>
  </w:abstractNum>
  <w:abstractNum w:abstractNumId="7">
    <w:nsid w:val="51EE566D"/>
    <w:multiLevelType w:val="singleLevel"/>
    <w:tmpl w:val="51EE566D"/>
    <w:lvl w:ilvl="0" w:tentative="0">
      <w:start w:val="2"/>
      <w:numFmt w:val="chineseCounting"/>
      <w:suff w:val="nothing"/>
      <w:lvlText w:val="（%1）"/>
      <w:lvlJc w:val="left"/>
      <w:rPr>
        <w:rFonts w:hint="eastAsia"/>
      </w:rPr>
    </w:lvl>
  </w:abstractNum>
  <w:abstractNum w:abstractNumId="8">
    <w:nsid w:val="5405AD74"/>
    <w:multiLevelType w:val="singleLevel"/>
    <w:tmpl w:val="5405AD74"/>
    <w:lvl w:ilvl="0" w:tentative="0">
      <w:start w:val="1"/>
      <w:numFmt w:val="chineseCounting"/>
      <w:suff w:val="nothing"/>
      <w:lvlText w:val="（%1）"/>
      <w:lvlJc w:val="left"/>
      <w:rPr>
        <w:rFonts w:hint="eastAsia"/>
      </w:rPr>
    </w:lvl>
  </w:abstractNum>
  <w:num w:numId="1">
    <w:abstractNumId w:val="5"/>
  </w:num>
  <w:num w:numId="2">
    <w:abstractNumId w:val="2"/>
  </w:num>
  <w:num w:numId="3">
    <w:abstractNumId w:val="3"/>
  </w:num>
  <w:num w:numId="4">
    <w:abstractNumId w:val="8"/>
  </w:num>
  <w:num w:numId="5">
    <w:abstractNumId w:val="7"/>
  </w:num>
  <w:num w:numId="6">
    <w:abstractNumId w:val="0"/>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FD6073"/>
    <w:rsid w:val="04916F1E"/>
    <w:rsid w:val="050928AA"/>
    <w:rsid w:val="061E35DE"/>
    <w:rsid w:val="066E0107"/>
    <w:rsid w:val="07996F6E"/>
    <w:rsid w:val="07DFD8BA"/>
    <w:rsid w:val="09867E8F"/>
    <w:rsid w:val="0A075080"/>
    <w:rsid w:val="0A2032A3"/>
    <w:rsid w:val="0CA8290A"/>
    <w:rsid w:val="0D35B1ED"/>
    <w:rsid w:val="0E254B6B"/>
    <w:rsid w:val="0F98263C"/>
    <w:rsid w:val="101860EC"/>
    <w:rsid w:val="101F47CC"/>
    <w:rsid w:val="10C055FF"/>
    <w:rsid w:val="10F31A23"/>
    <w:rsid w:val="11694EBD"/>
    <w:rsid w:val="11772AA4"/>
    <w:rsid w:val="118107EC"/>
    <w:rsid w:val="12E24EE2"/>
    <w:rsid w:val="13D50BC4"/>
    <w:rsid w:val="14B17F78"/>
    <w:rsid w:val="16054DB1"/>
    <w:rsid w:val="165E0673"/>
    <w:rsid w:val="16B831D5"/>
    <w:rsid w:val="16BB723D"/>
    <w:rsid w:val="17E50567"/>
    <w:rsid w:val="186504BB"/>
    <w:rsid w:val="19203702"/>
    <w:rsid w:val="19A445FC"/>
    <w:rsid w:val="1A3A52E9"/>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AE754C"/>
    <w:rsid w:val="2DF04E50"/>
    <w:rsid w:val="2E586DFA"/>
    <w:rsid w:val="2F040D46"/>
    <w:rsid w:val="2F6B035B"/>
    <w:rsid w:val="2FAE5751"/>
    <w:rsid w:val="2FB1A395"/>
    <w:rsid w:val="2FD9A7D8"/>
    <w:rsid w:val="2FDBF714"/>
    <w:rsid w:val="30AB6865"/>
    <w:rsid w:val="319F7F4E"/>
    <w:rsid w:val="32607484"/>
    <w:rsid w:val="32BD1EF1"/>
    <w:rsid w:val="3304709D"/>
    <w:rsid w:val="336D3B49"/>
    <w:rsid w:val="33A773CB"/>
    <w:rsid w:val="349D6851"/>
    <w:rsid w:val="35903957"/>
    <w:rsid w:val="36A81C8D"/>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3E2EDD"/>
    <w:rsid w:val="3E740A63"/>
    <w:rsid w:val="3E78745D"/>
    <w:rsid w:val="3EE17838"/>
    <w:rsid w:val="3F55381A"/>
    <w:rsid w:val="3F7F7599"/>
    <w:rsid w:val="3FF4CAE0"/>
    <w:rsid w:val="3FF7B227"/>
    <w:rsid w:val="422043A2"/>
    <w:rsid w:val="422E0C3F"/>
    <w:rsid w:val="43026462"/>
    <w:rsid w:val="44E268DA"/>
    <w:rsid w:val="450D13D7"/>
    <w:rsid w:val="45506656"/>
    <w:rsid w:val="45F859F7"/>
    <w:rsid w:val="474424C0"/>
    <w:rsid w:val="475F2F3F"/>
    <w:rsid w:val="486A6C7A"/>
    <w:rsid w:val="48872E0E"/>
    <w:rsid w:val="49CB3243"/>
    <w:rsid w:val="4A627F82"/>
    <w:rsid w:val="4B0E749A"/>
    <w:rsid w:val="4B2477C4"/>
    <w:rsid w:val="4B4F25DA"/>
    <w:rsid w:val="4BE068DB"/>
    <w:rsid w:val="4D577224"/>
    <w:rsid w:val="4DBE2EA3"/>
    <w:rsid w:val="4DBF1CEB"/>
    <w:rsid w:val="4DF0007C"/>
    <w:rsid w:val="4EAB630A"/>
    <w:rsid w:val="4ECE2238"/>
    <w:rsid w:val="4F833267"/>
    <w:rsid w:val="4FE9BD67"/>
    <w:rsid w:val="4FFB052F"/>
    <w:rsid w:val="512A1F99"/>
    <w:rsid w:val="51846152"/>
    <w:rsid w:val="537E6D0A"/>
    <w:rsid w:val="53A13EB6"/>
    <w:rsid w:val="53F74C96"/>
    <w:rsid w:val="55170BA8"/>
    <w:rsid w:val="553218C9"/>
    <w:rsid w:val="567E1AA5"/>
    <w:rsid w:val="56E47B74"/>
    <w:rsid w:val="57175D52"/>
    <w:rsid w:val="57A5472D"/>
    <w:rsid w:val="57BD3DD4"/>
    <w:rsid w:val="57E57945"/>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700C45"/>
    <w:rsid w:val="63B3701E"/>
    <w:rsid w:val="647F5392"/>
    <w:rsid w:val="65E66580"/>
    <w:rsid w:val="664B1D71"/>
    <w:rsid w:val="664B4E8E"/>
    <w:rsid w:val="669954EC"/>
    <w:rsid w:val="67277B67"/>
    <w:rsid w:val="67AA3209"/>
    <w:rsid w:val="689B4F14"/>
    <w:rsid w:val="698D0931"/>
    <w:rsid w:val="6A7FE5F3"/>
    <w:rsid w:val="6AAE05FC"/>
    <w:rsid w:val="6B053271"/>
    <w:rsid w:val="6BDD78B3"/>
    <w:rsid w:val="6C4A05C8"/>
    <w:rsid w:val="6C8742B8"/>
    <w:rsid w:val="6CD63680"/>
    <w:rsid w:val="6D4A273B"/>
    <w:rsid w:val="6D965305"/>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783C3F"/>
    <w:rsid w:val="78E875D7"/>
    <w:rsid w:val="79086DAD"/>
    <w:rsid w:val="79D7FD79"/>
    <w:rsid w:val="79EE5BA4"/>
    <w:rsid w:val="7A894339"/>
    <w:rsid w:val="7AD284E8"/>
    <w:rsid w:val="7AFE6924"/>
    <w:rsid w:val="7AFF7572"/>
    <w:rsid w:val="7B1D0B75"/>
    <w:rsid w:val="7B6C7DFB"/>
    <w:rsid w:val="7BBFBED0"/>
    <w:rsid w:val="7BC3E394"/>
    <w:rsid w:val="7C1F3737"/>
    <w:rsid w:val="7CBFC87B"/>
    <w:rsid w:val="7CFE0F48"/>
    <w:rsid w:val="7D272ABC"/>
    <w:rsid w:val="7D5633A4"/>
    <w:rsid w:val="7D7EC23E"/>
    <w:rsid w:val="7DBC3C74"/>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6">
    <w:name w:val="annotation text"/>
    <w:basedOn w:val="1"/>
    <w:semiHidden/>
    <w:unhideWhenUsed/>
    <w:qFormat/>
    <w:uiPriority w:val="99"/>
    <w:pPr>
      <w:jc w:val="left"/>
    </w:p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3"/>
    <w:qFormat/>
    <w:uiPriority w:val="9"/>
    <w:rPr>
      <w:rFonts w:ascii="Times New Roman" w:hAnsi="Times New Roman"/>
      <w:b/>
      <w:bCs/>
      <w:kern w:val="44"/>
      <w:sz w:val="44"/>
      <w:szCs w:val="44"/>
    </w:rPr>
  </w:style>
  <w:style w:type="character" w:customStyle="1" w:styleId="31">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1"/>
    <w:semiHidden/>
    <w:qFormat/>
    <w:uiPriority w:val="99"/>
    <w:rPr>
      <w:rFonts w:ascii="Times New Roman" w:hAnsi="Times New Roman"/>
      <w:kern w:val="2"/>
      <w:sz w:val="18"/>
      <w:szCs w:val="18"/>
    </w:rPr>
  </w:style>
  <w:style w:type="character" w:customStyle="1" w:styleId="34">
    <w:name w:val="标题 3 Char"/>
    <w:basedOn w:val="17"/>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a:t>
            </a:r>
            <a:r>
              <a:rPr lang="en-US" altLang="zh-CN"/>
              <a:t>(</a:t>
            </a:r>
            <a:r>
              <a:rPr altLang="zh-CN"/>
              <a:t>单位：万元）</a:t>
            </a:r>
            <a:endParaRPr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3363.52</c:v>
                </c:pt>
                <c:pt idx="1">
                  <c:v>3295.63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年本年收入</a:t>
            </a:r>
            <a:endParaRPr altLang="en-US"/>
          </a:p>
        </c:rich>
      </c:tx>
      <c:layout>
        <c:manualLayout>
          <c:xMode val="edge"/>
          <c:yMode val="edge"/>
          <c:x val="0.366769151934409"/>
          <c:y val="0.027472527472527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manualLayout>
                  <c:x val="0.0612497295291086"/>
                  <c:y val="-0.0031608279735998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一般公共预算收入</c:v>
                </c:pt>
                <c:pt idx="1">
                  <c:v>政府性基金预算收入</c:v>
                </c:pt>
              </c:strCache>
            </c:strRef>
          </c:cat>
          <c:val>
            <c:numRef>
              <c:f>Sheet1!$B$2:$B$3</c:f>
              <c:numCache>
                <c:formatCode>0.00%</c:formatCode>
                <c:ptCount val="2"/>
                <c:pt idx="0">
                  <c:v>0.9976</c:v>
                </c:pt>
                <c:pt idx="1">
                  <c:v>0.0024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0.2925</c:v>
                </c:pt>
                <c:pt idx="1">
                  <c:v>0.7075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财政拨款收、支决算总计（单位：万元）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3363.52</c:v>
                </c:pt>
                <c:pt idx="1">
                  <c:v>3295.63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一般公共预算财政拨款支出决算（单位：万元）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3200.76</c:v>
                </c:pt>
                <c:pt idx="1">
                  <c:v>3287.73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1239866475918"/>
          <c:y val="0.01888693024427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37095876312324"/>
                  <c:y val="-0.02106303560485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52434197204481"/>
                  <c:y val="0.00946379301776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926062720892105"/>
                  <c:y val="-0.010287367587855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c:v>
                </c:pt>
                <c:pt idx="1">
                  <c:v>农林水</c:v>
                </c:pt>
                <c:pt idx="2">
                  <c:v>卫生健康</c:v>
                </c:pt>
                <c:pt idx="3">
                  <c:v>住房保障</c:v>
                </c:pt>
              </c:strCache>
            </c:strRef>
          </c:cat>
          <c:val>
            <c:numRef>
              <c:f>Sheet1!$B$2:$B$5</c:f>
              <c:numCache>
                <c:formatCode>0.00%</c:formatCode>
                <c:ptCount val="4"/>
                <c:pt idx="0">
                  <c:v>0.8265</c:v>
                </c:pt>
                <c:pt idx="1">
                  <c:v>0.1609</c:v>
                </c:pt>
                <c:pt idx="2">
                  <c:v>0.0032</c:v>
                </c:pt>
                <c:pt idx="3">
                  <c:v>0.0094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1137</TotalTime>
  <ScaleCrop>false</ScaleCrop>
  <LinksUpToDate>false</LinksUpToDate>
  <CharactersWithSpaces>8692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2025-10-30T09:25:00Z</cp:lastPrinted>
  <dcterms:modified xsi:type="dcterms:W3CDTF">2025-11-19T01:12:00Z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04787F2533EB45DC91BCDE4AB213247F</vt:lpwstr>
  </property>
</Properties>
</file>