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ascii="方正黑体_GBK" w:hAnsi="宋体" w:eastAsia="方正黑体_GBK"/>
          <w:sz w:val="33"/>
          <w:szCs w:val="33"/>
          <w:lang w:val="zh-CN"/>
        </w:rPr>
      </w:pPr>
      <w:r>
        <w:rPr>
          <w:rFonts w:hint="eastAsia" w:ascii="方正黑体_GBK" w:hAnsi="宋体" w:eastAsia="方正黑体_GBK"/>
          <w:sz w:val="33"/>
          <w:szCs w:val="33"/>
          <w:lang w:val="zh-CN"/>
        </w:rPr>
        <w:t>附件</w:t>
      </w:r>
      <w:r>
        <w:rPr>
          <w:rFonts w:hint="eastAsia" w:eastAsia="方正黑体_GBK"/>
          <w:sz w:val="33"/>
          <w:szCs w:val="33"/>
        </w:rPr>
        <w:t>1</w:t>
      </w:r>
    </w:p>
    <w:p>
      <w:pPr>
        <w:widowControl/>
        <w:spacing w:line="580" w:lineRule="exact"/>
        <w:ind w:firstLine="883" w:firstLineChars="200"/>
        <w:contextualSpacing/>
        <w:jc w:val="center"/>
        <w:rPr>
          <w:rFonts w:ascii="宋体"/>
          <w:b/>
          <w:sz w:val="44"/>
          <w:szCs w:val="44"/>
          <w:shd w:val="clear" w:color="auto" w:fill="FFFFFF"/>
        </w:rPr>
      </w:pPr>
    </w:p>
    <w:p>
      <w:pPr>
        <w:widowControl/>
        <w:spacing w:line="580" w:lineRule="exact"/>
        <w:contextualSpacing/>
        <w:jc w:val="center"/>
        <w:rPr>
          <w:rFonts w:ascii="方正小标宋简体" w:eastAsia="方正小标宋简体"/>
          <w:sz w:val="44"/>
          <w:szCs w:val="44"/>
          <w:shd w:val="clear" w:color="auto" w:fill="FFFFFF"/>
        </w:rPr>
      </w:pPr>
      <w:r>
        <w:rPr>
          <w:rFonts w:hint="eastAsia" w:ascii="方正小标宋简体" w:hAnsi="宋体" w:eastAsia="方正小标宋简体"/>
          <w:sz w:val="44"/>
          <w:szCs w:val="44"/>
          <w:shd w:val="clear" w:color="auto" w:fill="FFFFFF"/>
          <w:lang w:eastAsia="zh-CN"/>
        </w:rPr>
        <w:t>峨边人社局</w:t>
      </w:r>
      <w:r>
        <w:rPr>
          <w:rFonts w:hint="eastAsia" w:ascii="方正小标宋简体" w:hAnsi="宋体" w:eastAsia="方正小标宋简体"/>
          <w:sz w:val="44"/>
          <w:szCs w:val="44"/>
          <w:shd w:val="clear" w:color="auto" w:fill="FFFFFF"/>
        </w:rPr>
        <w:t>部门整体绩效自评报告</w:t>
      </w:r>
    </w:p>
    <w:p>
      <w:pPr>
        <w:widowControl/>
        <w:adjustRightInd w:val="0"/>
        <w:snapToGrid w:val="0"/>
        <w:spacing w:line="580" w:lineRule="exact"/>
        <w:contextualSpacing/>
        <w:jc w:val="left"/>
        <w:rPr>
          <w:rFonts w:ascii="方正仿宋_GBK" w:hAnsi="宋体" w:eastAsia="方正仿宋_GBK" w:cs="宋体"/>
          <w:color w:val="000000"/>
          <w:kern w:val="0"/>
          <w:sz w:val="33"/>
          <w:szCs w:val="33"/>
          <w:shd w:val="clear" w:color="auto" w:fill="FFFFFF"/>
        </w:rPr>
      </w:pP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ascii="黑体" w:hAnsi="黑体" w:eastAsia="黑体" w:cs="宋体"/>
          <w:color w:val="000000"/>
          <w:kern w:val="0"/>
          <w:szCs w:val="32"/>
          <w:shd w:val="clear" w:color="auto" w:fill="FFFFFF"/>
          <w:lang w:val="zh-CN"/>
        </w:rPr>
      </w:pPr>
      <w:r>
        <w:rPr>
          <w:rFonts w:hint="eastAsia" w:ascii="黑体" w:hAnsi="黑体" w:eastAsia="黑体" w:cs="宋体"/>
          <w:color w:val="000000"/>
          <w:kern w:val="0"/>
          <w:szCs w:val="32"/>
          <w:shd w:val="clear" w:color="auto" w:fill="FFFFFF"/>
        </w:rPr>
        <w:t>一、</w:t>
      </w:r>
      <w:r>
        <w:rPr>
          <w:rFonts w:hint="eastAsia" w:ascii="黑体" w:hAnsi="黑体" w:eastAsia="黑体" w:cs="宋体"/>
          <w:color w:val="000000"/>
          <w:kern w:val="0"/>
          <w:szCs w:val="32"/>
          <w:shd w:val="clear" w:color="auto" w:fill="FFFFFF"/>
          <w:lang w:val="zh-CN"/>
        </w:rPr>
        <w:t>部门基本情况</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（一）机构组成</w:t>
      </w:r>
    </w:p>
    <w:p>
      <w:pPr>
        <w:keepNext w:val="0"/>
        <w:keepLines w:val="0"/>
        <w:pageBreakBefore w:val="0"/>
        <w:widowControl/>
        <w:numPr>
          <w:ilvl w:val="0"/>
          <w:numId w:val="0"/>
        </w:numPr>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hint="eastAsia" w:ascii="仿宋_GB2312" w:hAnsi="仿宋_GB2312" w:eastAsia="仿宋_GB2312" w:cs="仿宋_GB2312"/>
          <w:kern w:val="2"/>
          <w:sz w:val="32"/>
          <w:szCs w:val="32"/>
          <w:lang w:val="zh-CN" w:eastAsia="zh-CN" w:bidi="ar-SA"/>
        </w:rPr>
      </w:pPr>
      <w:r>
        <w:rPr>
          <w:rFonts w:hint="eastAsia" w:ascii="仿宋_GB2312" w:hAnsi="仿宋_GB2312" w:eastAsia="仿宋_GB2312" w:cs="仿宋_GB2312"/>
          <w:kern w:val="2"/>
          <w:sz w:val="32"/>
          <w:szCs w:val="32"/>
          <w:lang w:val="zh-CN" w:eastAsia="zh-CN" w:bidi="ar-SA"/>
        </w:rPr>
        <w:t>峨边彝族自治县人力资源和社会保障局预算单位1个，其中：行政单位</w:t>
      </w:r>
      <w:r>
        <w:rPr>
          <w:rFonts w:hint="eastAsia" w:ascii="仿宋_GB2312" w:hAnsi="仿宋_GB2312" w:eastAsia="仿宋_GB2312" w:cs="仿宋_GB2312"/>
          <w:kern w:val="2"/>
          <w:sz w:val="32"/>
          <w:szCs w:val="32"/>
          <w:lang w:val="en-US" w:eastAsia="zh-CN" w:bidi="ar-SA"/>
        </w:rPr>
        <w:t>1</w:t>
      </w:r>
      <w:r>
        <w:rPr>
          <w:rFonts w:hint="eastAsia" w:ascii="仿宋_GB2312" w:hAnsi="仿宋_GB2312" w:eastAsia="仿宋_GB2312" w:cs="仿宋_GB2312"/>
          <w:kern w:val="2"/>
          <w:sz w:val="32"/>
          <w:szCs w:val="32"/>
          <w:lang w:val="zh-CN" w:eastAsia="zh-CN" w:bidi="ar-SA"/>
        </w:rPr>
        <w:t>个，未独立核算的下属事业单位</w:t>
      </w:r>
      <w:r>
        <w:rPr>
          <w:rFonts w:hint="eastAsia" w:ascii="仿宋_GB2312" w:hAnsi="仿宋_GB2312" w:eastAsia="仿宋_GB2312" w:cs="仿宋_GB2312"/>
          <w:kern w:val="2"/>
          <w:sz w:val="32"/>
          <w:szCs w:val="32"/>
          <w:lang w:val="en-US" w:eastAsia="zh-CN" w:bidi="ar-SA"/>
        </w:rPr>
        <w:t>1</w:t>
      </w:r>
      <w:r>
        <w:rPr>
          <w:rFonts w:hint="eastAsia" w:ascii="仿宋_GB2312" w:hAnsi="仿宋_GB2312" w:eastAsia="仿宋_GB2312" w:cs="仿宋_GB2312"/>
          <w:kern w:val="2"/>
          <w:sz w:val="32"/>
          <w:szCs w:val="32"/>
          <w:lang w:val="zh-CN" w:eastAsia="zh-CN" w:bidi="ar-SA"/>
        </w:rPr>
        <w:t>个</w:t>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zh-CN" w:eastAsia="zh-CN" w:bidi="ar-SA"/>
        </w:rPr>
        <w:t>仲裁院</w:t>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zh-CN" w:eastAsia="zh-CN" w:bidi="ar-SA"/>
        </w:rPr>
        <w:t>。下设办公室、事业单位人事管理股（职称职位股）、社会保险股（就业促进股）、劳动保障监察股（劳动保障监察大队）。</w:t>
      </w:r>
    </w:p>
    <w:p>
      <w:pPr>
        <w:keepNext w:val="0"/>
        <w:keepLines w:val="0"/>
        <w:pageBreakBefore w:val="0"/>
        <w:widowControl/>
        <w:numPr>
          <w:ilvl w:val="0"/>
          <w:numId w:val="1"/>
        </w:numPr>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机构职能和人员概况</w:t>
      </w:r>
    </w:p>
    <w:p>
      <w:pPr>
        <w:keepNext w:val="0"/>
        <w:keepLines w:val="0"/>
        <w:pageBreakBefore w:val="0"/>
        <w:widowControl/>
        <w:numPr>
          <w:ilvl w:val="0"/>
          <w:numId w:val="0"/>
        </w:numPr>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hint="eastAsia" w:ascii="仿宋_GB2312" w:hAnsi="仿宋_GB2312" w:eastAsia="仿宋_GB2312" w:cs="仿宋_GB2312"/>
          <w:kern w:val="2"/>
          <w:sz w:val="32"/>
          <w:szCs w:val="32"/>
          <w:lang w:val="zh-CN" w:eastAsia="zh-CN" w:bidi="ar-SA"/>
        </w:rPr>
      </w:pPr>
      <w:r>
        <w:rPr>
          <w:rFonts w:hint="eastAsia" w:ascii="仿宋_GB2312" w:hAnsi="仿宋_GB2312" w:eastAsia="仿宋_GB2312" w:cs="仿宋_GB2312"/>
          <w:kern w:val="2"/>
          <w:sz w:val="32"/>
          <w:szCs w:val="32"/>
          <w:lang w:val="zh-CN" w:eastAsia="zh-CN" w:bidi="ar-SA"/>
        </w:rPr>
        <w:t>职能简介：负责全县机关、企事业单位工作人员宏观规划、结构调整和监督管理，对全县政府系统进行指导、监督检查、协调服务；编制全县机关、企事业单位工作人员工资计划。综合管理全县专业技术人员工作。综合管理全县机关、事业单位工作人员的工资、工龄职称工作。负责全县人事劳动争议工作。负责促进就业工作。统筹建立覆盖全县城乡的社会保障体系。负责退休、退职政策的执行并结合我县实情进行实施。负责政府奖励、表彰（表扬）工作，负责有关惩戒与申诉控告工作，负责指导各类机关、事业、企业、社团人员的聘用。</w:t>
      </w:r>
    </w:p>
    <w:p>
      <w:pPr>
        <w:keepNext w:val="0"/>
        <w:keepLines w:val="0"/>
        <w:pageBreakBefore w:val="0"/>
        <w:widowControl/>
        <w:numPr>
          <w:ilvl w:val="0"/>
          <w:numId w:val="0"/>
        </w:numPr>
        <w:tabs>
          <w:tab w:val="left" w:pos="3840"/>
        </w:tabs>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hint="eastAsia" w:ascii="仿宋_GB2312" w:hAnsi="仿宋_GB2312" w:eastAsia="仿宋_GB2312" w:cs="仿宋_GB2312"/>
          <w:kern w:val="2"/>
          <w:sz w:val="32"/>
          <w:szCs w:val="32"/>
          <w:lang w:val="zh-CN" w:eastAsia="zh-CN" w:bidi="ar-SA"/>
        </w:rPr>
      </w:pPr>
      <w:r>
        <w:rPr>
          <w:rFonts w:hint="eastAsia" w:ascii="仿宋_GB2312" w:hAnsi="仿宋_GB2312" w:eastAsia="仿宋_GB2312" w:cs="仿宋_GB2312"/>
          <w:kern w:val="2"/>
          <w:sz w:val="32"/>
          <w:szCs w:val="32"/>
          <w:lang w:val="zh-CN" w:eastAsia="zh-CN" w:bidi="ar-SA"/>
        </w:rPr>
        <w:t>人员概况</w:t>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zh-CN" w:eastAsia="zh-CN" w:bidi="ar-SA"/>
        </w:rPr>
        <w:t>峨边彝族自治县人力资源和社会保障局行政编制</w:t>
      </w:r>
      <w:r>
        <w:rPr>
          <w:rFonts w:hint="eastAsia" w:ascii="仿宋_GB2312" w:hAnsi="仿宋_GB2312" w:eastAsia="仿宋_GB2312" w:cs="仿宋_GB2312"/>
          <w:kern w:val="2"/>
          <w:sz w:val="32"/>
          <w:szCs w:val="32"/>
          <w:lang w:val="en-US" w:eastAsia="zh-CN" w:bidi="ar-SA"/>
        </w:rPr>
        <w:t>8名</w:t>
      </w:r>
      <w:r>
        <w:rPr>
          <w:rFonts w:hint="eastAsia" w:ascii="仿宋_GB2312" w:hAnsi="仿宋_GB2312" w:eastAsia="仿宋_GB2312" w:cs="仿宋_GB2312"/>
          <w:kern w:val="2"/>
          <w:sz w:val="32"/>
          <w:szCs w:val="32"/>
          <w:lang w:val="zh-CN" w:eastAsia="zh-CN" w:bidi="ar-SA"/>
        </w:rPr>
        <w:t>、机关工勤编制</w:t>
      </w:r>
      <w:r>
        <w:rPr>
          <w:rFonts w:hint="eastAsia" w:ascii="仿宋_GB2312" w:hAnsi="仿宋_GB2312" w:eastAsia="仿宋_GB2312" w:cs="仿宋_GB2312"/>
          <w:kern w:val="2"/>
          <w:sz w:val="32"/>
          <w:szCs w:val="32"/>
          <w:lang w:val="en-US" w:eastAsia="zh-CN" w:bidi="ar-SA"/>
        </w:rPr>
        <w:t>2</w:t>
      </w:r>
      <w:r>
        <w:rPr>
          <w:rFonts w:hint="eastAsia" w:ascii="仿宋_GB2312" w:hAnsi="仿宋_GB2312" w:eastAsia="仿宋_GB2312" w:cs="仿宋_GB2312"/>
          <w:kern w:val="2"/>
          <w:sz w:val="32"/>
          <w:szCs w:val="32"/>
          <w:lang w:val="zh-CN" w:eastAsia="zh-CN" w:bidi="ar-SA"/>
        </w:rPr>
        <w:t>名；下属事业单位</w:t>
      </w:r>
      <w:r>
        <w:rPr>
          <w:rFonts w:hint="eastAsia" w:ascii="仿宋_GB2312" w:hAnsi="仿宋_GB2312" w:eastAsia="仿宋_GB2312" w:cs="仿宋_GB2312"/>
          <w:kern w:val="2"/>
          <w:sz w:val="32"/>
          <w:szCs w:val="32"/>
          <w:lang w:val="en-US" w:eastAsia="zh-CN" w:bidi="ar-SA"/>
        </w:rPr>
        <w:t>仲裁院事业编制3名。</w:t>
      </w:r>
    </w:p>
    <w:p>
      <w:pPr>
        <w:keepNext w:val="0"/>
        <w:keepLines w:val="0"/>
        <w:pageBreakBefore w:val="0"/>
        <w:widowControl/>
        <w:numPr>
          <w:ilvl w:val="0"/>
          <w:numId w:val="1"/>
        </w:numPr>
        <w:kinsoku/>
        <w:wordWrap/>
        <w:overflowPunct/>
        <w:topLinePunct w:val="0"/>
        <w:autoSpaceDE/>
        <w:autoSpaceDN/>
        <w:bidi w:val="0"/>
        <w:adjustRightInd w:val="0"/>
        <w:snapToGrid w:val="0"/>
        <w:spacing w:line="600" w:lineRule="exact"/>
        <w:ind w:left="0" w:leftChars="0" w:firstLine="640" w:firstLineChars="200"/>
        <w:contextualSpacing/>
        <w:jc w:val="left"/>
        <w:textAlignment w:val="auto"/>
        <w:outlineLvl w:val="9"/>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年度主要工作任务</w:t>
      </w:r>
    </w:p>
    <w:p>
      <w:pPr>
        <w:pStyle w:val="4"/>
        <w:keepNext w:val="0"/>
        <w:keepLines w:val="0"/>
        <w:pageBreakBefore w:val="0"/>
        <w:widowControl w:val="0"/>
        <w:kinsoku/>
        <w:wordWrap/>
        <w:overflowPunct/>
        <w:topLinePunct w:val="0"/>
        <w:autoSpaceDE/>
        <w:autoSpaceDN/>
        <w:bidi w:val="0"/>
        <w:adjustRightInd/>
        <w:snapToGrid/>
        <w:spacing w:after="0" w:afterLines="0" w:line="600" w:lineRule="exact"/>
        <w:ind w:left="0" w:leftChars="0" w:firstLine="643" w:firstLineChars="200"/>
        <w:textAlignment w:val="auto"/>
        <w:outlineLvl w:val="9"/>
        <w:rPr>
          <w:rFonts w:hint="default" w:ascii="仿宋_GB2312" w:hAnsi="仿宋_GB2312" w:eastAsia="仿宋_GB2312" w:cs="仿宋_GB2312"/>
          <w:b w:val="0"/>
          <w:bCs w:val="0"/>
          <w:color w:val="0070C0"/>
          <w:sz w:val="32"/>
          <w:szCs w:val="32"/>
          <w:lang w:val="en-US" w:eastAsia="zh-CN"/>
        </w:rPr>
      </w:pPr>
      <w:r>
        <w:rPr>
          <w:rFonts w:hint="eastAsia" w:ascii="楷体_GB2312" w:hAnsi="仿宋" w:eastAsia="楷体_GB2312"/>
          <w:b/>
          <w:sz w:val="32"/>
          <w:szCs w:val="32"/>
          <w:lang w:val="en-US" w:eastAsia="zh-CN"/>
        </w:rPr>
        <w:t xml:space="preserve"> 2022年我单位主要工作任务及成效：1.</w:t>
      </w:r>
      <w:r>
        <w:rPr>
          <w:rFonts w:hint="eastAsia" w:ascii="楷体" w:hAnsi="楷体" w:eastAsia="楷体" w:cs="楷体"/>
          <w:b w:val="0"/>
          <w:bCs w:val="0"/>
          <w:color w:val="auto"/>
          <w:sz w:val="32"/>
          <w:szCs w:val="32"/>
          <w:lang w:val="en-US" w:eastAsia="zh-CN"/>
        </w:rPr>
        <w:t>稳中求进，就业局势保持稳定。</w:t>
      </w:r>
      <w:r>
        <w:rPr>
          <w:rFonts w:hint="eastAsia" w:ascii="仿宋_GB2312" w:hAnsi="仿宋_GB2312" w:eastAsia="仿宋_GB2312" w:cs="仿宋_GB2312"/>
          <w:b/>
          <w:bCs/>
          <w:color w:val="000000"/>
          <w:sz w:val="32"/>
          <w:szCs w:val="32"/>
          <w:lang w:val="en-US" w:eastAsia="zh-CN"/>
        </w:rPr>
        <w:t>一是</w:t>
      </w:r>
      <w:r>
        <w:rPr>
          <w:rFonts w:hint="eastAsia" w:ascii="仿宋_GB2312" w:hAnsi="仿宋_GB2312" w:eastAsia="仿宋_GB2312" w:cs="仿宋_GB2312"/>
          <w:b/>
          <w:bCs/>
          <w:color w:val="auto"/>
          <w:w w:val="100"/>
          <w:sz w:val="32"/>
          <w:szCs w:val="32"/>
          <w:lang w:val="en-US" w:eastAsia="zh-CN"/>
        </w:rPr>
        <w:t>千方百计做实民生工程。</w:t>
      </w:r>
      <w:r>
        <w:rPr>
          <w:rFonts w:hint="eastAsia" w:ascii="仿宋_GB2312" w:hAnsi="仿宋_GB2312" w:eastAsia="仿宋_GB2312" w:cs="仿宋_GB2312"/>
          <w:sz w:val="32"/>
          <w:szCs w:val="32"/>
          <w:lang w:eastAsia="zh-CN"/>
        </w:rPr>
        <w:t>全年</w:t>
      </w:r>
      <w:r>
        <w:rPr>
          <w:rFonts w:hint="eastAsia" w:ascii="仿宋_GB2312" w:hAnsi="仿宋_GB2312" w:eastAsia="仿宋_GB2312" w:cs="仿宋_GB2312"/>
          <w:sz w:val="32"/>
          <w:szCs w:val="32"/>
          <w:lang w:val="en-US" w:eastAsia="zh-CN"/>
        </w:rPr>
        <w:t>实现</w:t>
      </w:r>
      <w:r>
        <w:rPr>
          <w:rFonts w:hint="eastAsia" w:ascii="仿宋_GB2312" w:hAnsi="仿宋_GB2312" w:eastAsia="仿宋_GB2312" w:cs="仿宋_GB2312"/>
          <w:sz w:val="32"/>
          <w:szCs w:val="32"/>
        </w:rPr>
        <w:t>城镇新增就业1170人、失业人员再就业220人、就业困难人员就业10</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人、城镇登记失业率控制在</w:t>
      </w:r>
      <w:r>
        <w:rPr>
          <w:rFonts w:hint="eastAsia" w:ascii="仿宋_GB2312" w:hAnsi="仿宋_GB2312" w:eastAsia="仿宋_GB2312" w:cs="仿宋_GB2312"/>
          <w:sz w:val="32"/>
          <w:szCs w:val="32"/>
          <w:lang w:val="en-US" w:eastAsia="zh-CN"/>
        </w:rPr>
        <w:t>4.4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以内，转移农村劳动力48970人，其中脱贫人口10942人</w:t>
      </w:r>
      <w:r>
        <w:rPr>
          <w:rFonts w:hint="eastAsia" w:ascii="仿宋_GB2312" w:hAnsi="仿宋_GB2312" w:eastAsia="仿宋_GB2312" w:cs="仿宋_GB2312"/>
          <w:spacing w:val="4"/>
          <w:sz w:val="32"/>
          <w:szCs w:val="32"/>
        </w:rPr>
        <w:t>。</w:t>
      </w:r>
      <w:r>
        <w:rPr>
          <w:rFonts w:hint="eastAsia" w:ascii="仿宋_GB2312" w:hAnsi="仿宋_GB2312" w:eastAsia="仿宋_GB2312" w:cs="仿宋_GB2312"/>
          <w:sz w:val="32"/>
          <w:szCs w:val="32"/>
          <w:lang w:val="en-US" w:eastAsia="zh-CN"/>
        </w:rPr>
        <w:t>累计</w:t>
      </w:r>
      <w:r>
        <w:rPr>
          <w:rFonts w:hint="eastAsia" w:ascii="仿宋_GB2312" w:hAnsi="仿宋_GB2312" w:eastAsia="仿宋_GB2312" w:cs="仿宋_GB2312"/>
          <w:color w:val="auto"/>
          <w:sz w:val="32"/>
          <w:szCs w:val="32"/>
          <w:lang w:val="en-US" w:eastAsia="zh-CN"/>
        </w:rPr>
        <w:t>发放失业保险待遇212人221.25万元；兑现3名企业职工技能提升补贴0.45万元。</w:t>
      </w:r>
      <w:r>
        <w:rPr>
          <w:rFonts w:hint="eastAsia" w:ascii="仿宋_GB2312" w:hAnsi="仿宋_GB2312" w:eastAsia="仿宋_GB2312" w:cs="仿宋_GB2312"/>
          <w:b/>
          <w:bCs/>
          <w:color w:val="auto"/>
          <w:sz w:val="32"/>
          <w:szCs w:val="32"/>
          <w:lang w:val="en-US" w:eastAsia="zh-CN"/>
        </w:rPr>
        <w:t>二是加快转移促进稳定就业。</w:t>
      </w:r>
      <w:r>
        <w:rPr>
          <w:rFonts w:hint="eastAsia" w:ascii="仿宋_GB2312" w:hAnsi="仿宋_GB2312" w:eastAsia="仿宋_GB2312" w:cs="仿宋_GB2312"/>
          <w:b w:val="0"/>
          <w:bCs w:val="0"/>
          <w:color w:val="auto"/>
          <w:sz w:val="32"/>
          <w:szCs w:val="32"/>
          <w:highlight w:val="none"/>
          <w:lang w:val="en-US" w:eastAsia="zh-CN"/>
        </w:rPr>
        <w:t>多次主动对接浙江省柯桥区、市中区人社局，</w:t>
      </w:r>
      <w:r>
        <w:rPr>
          <w:rFonts w:hint="eastAsia" w:ascii="仿宋_GB2312" w:hAnsi="仿宋_GB2312" w:eastAsia="仿宋_GB2312" w:cs="仿宋_GB2312"/>
          <w:sz w:val="32"/>
          <w:szCs w:val="32"/>
        </w:rPr>
        <w:t>高位推动</w:t>
      </w:r>
      <w:r>
        <w:rPr>
          <w:rFonts w:hint="eastAsia" w:ascii="仿宋_GB2312" w:hAnsi="仿宋_GB2312" w:eastAsia="仿宋_GB2312" w:cs="仿宋_GB2312"/>
          <w:sz w:val="32"/>
          <w:szCs w:val="32"/>
          <w:lang w:eastAsia="zh-CN"/>
        </w:rPr>
        <w:t>劳务</w:t>
      </w:r>
      <w:r>
        <w:rPr>
          <w:rFonts w:hint="eastAsia" w:ascii="仿宋_GB2312" w:hAnsi="仿宋_GB2312" w:eastAsia="仿宋_GB2312" w:cs="仿宋_GB2312"/>
          <w:sz w:val="32"/>
          <w:szCs w:val="32"/>
        </w:rPr>
        <w:t>协作</w:t>
      </w:r>
      <w:r>
        <w:rPr>
          <w:rFonts w:hint="eastAsia" w:ascii="仿宋_GB2312" w:hAnsi="仿宋_GB2312" w:eastAsia="仿宋_GB2312" w:cs="仿宋_GB2312"/>
          <w:sz w:val="32"/>
          <w:szCs w:val="32"/>
          <w:lang w:eastAsia="zh-CN"/>
        </w:rPr>
        <w:t>、校企合作、引进扶贫车间项目等事宜，全年</w:t>
      </w:r>
      <w:r>
        <w:rPr>
          <w:rFonts w:hint="eastAsia" w:ascii="仿宋_GB2312" w:hAnsi="仿宋_GB2312" w:eastAsia="仿宋_GB2312" w:cs="仿宋_GB2312"/>
          <w:sz w:val="32"/>
          <w:szCs w:val="32"/>
          <w:lang w:val="en-US" w:eastAsia="zh-CN"/>
        </w:rPr>
        <w:t>通过东西协作实现就业2280人</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eastAsia="zh-CN"/>
        </w:rPr>
        <w:t>给予</w:t>
      </w:r>
      <w:r>
        <w:rPr>
          <w:rFonts w:hint="eastAsia" w:ascii="仿宋_GB2312" w:hAnsi="仿宋_GB2312" w:eastAsia="仿宋_GB2312" w:cs="仿宋_GB2312"/>
          <w:color w:val="auto"/>
          <w:sz w:val="32"/>
          <w:szCs w:val="32"/>
          <w:lang w:val="en-US" w:eastAsia="zh-CN"/>
        </w:rPr>
        <w:t>507人劳务奖补</w:t>
      </w:r>
      <w:r>
        <w:rPr>
          <w:rFonts w:hint="eastAsia" w:ascii="仿宋_GB2312" w:hAnsi="仿宋_GB2312" w:eastAsia="仿宋_GB2312" w:cs="仿宋_GB2312"/>
          <w:sz w:val="32"/>
          <w:szCs w:val="32"/>
          <w:lang w:val="en-US" w:eastAsia="zh-CN"/>
        </w:rPr>
        <w:t>74.21</w:t>
      </w:r>
      <w:r>
        <w:rPr>
          <w:rFonts w:hint="eastAsia" w:ascii="仿宋_GB2312" w:hAnsi="仿宋_GB2312" w:eastAsia="仿宋_GB2312" w:cs="仿宋_GB2312"/>
          <w:color w:val="auto"/>
          <w:sz w:val="32"/>
          <w:szCs w:val="32"/>
          <w:lang w:val="en-US" w:eastAsia="zh-CN"/>
        </w:rPr>
        <w:t>万元。通过市中区援彝实现就业92人，给予</w:t>
      </w:r>
      <w:r>
        <w:rPr>
          <w:rFonts w:hint="eastAsia" w:ascii="仿宋_GB2312" w:hAnsi="仿宋_GB2312" w:eastAsia="仿宋_GB2312" w:cs="仿宋_GB2312"/>
          <w:sz w:val="32"/>
          <w:szCs w:val="32"/>
          <w:lang w:val="en-US" w:eastAsia="zh-CN"/>
        </w:rPr>
        <w:t>92人劳务增收奖补16.17万元。开通节后外出务工专车，分5批次“点对点、一站式”安全护送</w:t>
      </w:r>
      <w:r>
        <w:rPr>
          <w:rFonts w:hint="eastAsia" w:ascii="仿宋_GB2312" w:hAnsi="仿宋_GB2312" w:eastAsia="仿宋_GB2312" w:cs="仿宋_GB2312"/>
          <w:color w:val="auto"/>
          <w:sz w:val="32"/>
          <w:szCs w:val="32"/>
          <w:lang w:val="en-US" w:eastAsia="zh-CN"/>
        </w:rPr>
        <w:t>155名</w:t>
      </w:r>
      <w:r>
        <w:rPr>
          <w:rFonts w:hint="eastAsia" w:ascii="仿宋_GB2312" w:hAnsi="仿宋_GB2312" w:eastAsia="仿宋_GB2312" w:cs="仿宋_GB2312"/>
          <w:sz w:val="32"/>
          <w:szCs w:val="32"/>
          <w:lang w:val="en-US" w:eastAsia="zh-CN"/>
        </w:rPr>
        <w:t>劳动力到浙江、广东等地返岗就业；开展“线上+线下”招聘活动18场，累计推送岗位6.4万余个，推送“人岗相适”的岗位达3条以上。三</w:t>
      </w:r>
      <w:r>
        <w:rPr>
          <w:rFonts w:hint="eastAsia" w:ascii="仿宋_GB2312" w:hAnsi="仿宋_GB2312" w:eastAsia="仿宋_GB2312" w:cs="仿宋_GB2312"/>
          <w:b/>
          <w:bCs/>
          <w:sz w:val="32"/>
          <w:szCs w:val="32"/>
          <w:lang w:val="en-US" w:eastAsia="zh-CN"/>
        </w:rPr>
        <w:t>是扶持带动激发创业活力。</w:t>
      </w:r>
      <w:r>
        <w:rPr>
          <w:rFonts w:hint="eastAsia" w:ascii="仿宋_GB2312" w:hAnsi="仿宋_GB2312" w:eastAsia="仿宋_GB2312" w:cs="仿宋_GB2312"/>
          <w:sz w:val="32"/>
          <w:szCs w:val="32"/>
          <w:lang w:val="en-US" w:eastAsia="zh-CN"/>
        </w:rPr>
        <w:t>新认定5家就业帮扶基地，促进各类经营载体吸纳就业。</w:t>
      </w:r>
      <w:r>
        <w:rPr>
          <w:rFonts w:hint="eastAsia" w:ascii="Times New Roman" w:hAnsi="Times New Roman" w:eastAsia="仿宋_GB2312" w:cs="Times New Roman"/>
          <w:b w:val="0"/>
          <w:bCs w:val="0"/>
          <w:color w:val="auto"/>
          <w:sz w:val="32"/>
          <w:szCs w:val="32"/>
          <w:highlight w:val="none"/>
          <w:lang w:val="en-US" w:eastAsia="zh-CN"/>
        </w:rPr>
        <w:t>深化“三门口”培训，</w:t>
      </w:r>
      <w:r>
        <w:rPr>
          <w:rFonts w:hint="eastAsia" w:ascii="仿宋_GB2312" w:hAnsi="仿宋_GB2312" w:eastAsia="仿宋_GB2312" w:cs="仿宋_GB2312"/>
          <w:sz w:val="32"/>
          <w:szCs w:val="32"/>
          <w:lang w:val="en-US" w:eastAsia="zh-CN"/>
        </w:rPr>
        <w:t>累计</w:t>
      </w:r>
      <w:r>
        <w:rPr>
          <w:rFonts w:hint="eastAsia" w:ascii="仿宋_GB2312" w:hAnsi="仿宋_GB2312" w:eastAsia="仿宋_GB2312" w:cs="仿宋_GB2312"/>
          <w:b w:val="0"/>
          <w:bCs w:val="0"/>
          <w:color w:val="auto"/>
          <w:sz w:val="32"/>
          <w:szCs w:val="32"/>
          <w:highlight w:val="none"/>
          <w:lang w:val="en-US" w:eastAsia="zh-CN"/>
        </w:rPr>
        <w:t>培训3000人，其中：劳务品牌培训531人、返乡创业培训158人。</w:t>
      </w:r>
      <w:r>
        <w:rPr>
          <w:rFonts w:hint="eastAsia" w:ascii="仿宋_GB2312" w:hAnsi="仿宋_GB2312" w:eastAsia="仿宋_GB2312" w:cs="仿宋_GB2312"/>
          <w:color w:val="auto"/>
          <w:sz w:val="32"/>
          <w:szCs w:val="32"/>
          <w:lang w:val="en-US" w:eastAsia="zh-CN"/>
        </w:rPr>
        <w:t>全年给予46名创业者一次性创业奖补46万元，带动就业115人。</w:t>
      </w:r>
      <w:r>
        <w:rPr>
          <w:rFonts w:hint="eastAsia" w:ascii="仿宋_GB2312" w:hAnsi="仿宋_GB2312" w:eastAsia="仿宋_GB2312" w:cs="仿宋_GB2312"/>
          <w:color w:val="auto"/>
          <w:sz w:val="32"/>
          <w:szCs w:val="32"/>
          <w:lang w:eastAsia="zh-CN"/>
        </w:rPr>
        <w:t>全县发放创业担保贷款</w:t>
      </w:r>
      <w:r>
        <w:rPr>
          <w:rFonts w:hint="eastAsia" w:ascii="仿宋_GB2312" w:hAnsi="仿宋_GB2312" w:eastAsia="仿宋_GB2312" w:cs="仿宋_GB2312"/>
          <w:color w:val="auto"/>
          <w:sz w:val="32"/>
          <w:szCs w:val="32"/>
          <w:lang w:val="en-US" w:eastAsia="zh-CN"/>
        </w:rPr>
        <w:t>1700</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b/>
          <w:bCs/>
          <w:color w:val="auto"/>
          <w:sz w:val="32"/>
          <w:szCs w:val="32"/>
          <w:lang w:eastAsia="zh-CN"/>
        </w:rPr>
        <w:t>四是扎实开展劳动力资源调查。</w:t>
      </w:r>
      <w:r>
        <w:rPr>
          <w:rFonts w:hint="eastAsia" w:ascii="仿宋_GB2312" w:hAnsi="仿宋_GB2312" w:eastAsia="仿宋_GB2312" w:cs="仿宋_GB2312"/>
          <w:color w:val="auto"/>
          <w:sz w:val="32"/>
          <w:szCs w:val="32"/>
          <w:lang w:eastAsia="zh-CN"/>
        </w:rPr>
        <w:t>通过干部联户、三收一送、疫情防控等载体，建立县、乡、村三级劳动力数据库，摸清基础信息、培训意愿、就业情况、服务需求等，实行动态更新，确保劳动力数据真实性、时效性。目前，全县登记劳动力87853人，其中贫困劳动力12079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楷体" w:hAnsi="楷体" w:eastAsia="楷体" w:cs="楷体"/>
          <w:b w:val="0"/>
          <w:bCs w:val="0"/>
          <w:color w:val="auto"/>
          <w:sz w:val="32"/>
          <w:szCs w:val="32"/>
          <w:lang w:val="en-US" w:eastAsia="zh-CN"/>
        </w:rPr>
        <w:t>2.扩面提标，社会保障水平不断增强。</w:t>
      </w:r>
      <w:r>
        <w:rPr>
          <w:rFonts w:hint="eastAsia" w:ascii="仿宋_GB2312" w:hAnsi="仿宋_GB2312" w:eastAsia="仿宋_GB2312" w:cs="仿宋_GB2312"/>
          <w:b/>
          <w:bCs/>
          <w:color w:val="auto"/>
          <w:sz w:val="32"/>
          <w:szCs w:val="32"/>
          <w:lang w:val="en-US" w:eastAsia="zh-CN"/>
        </w:rPr>
        <w:t>一是推进全民参保计划扩面提质。</w:t>
      </w:r>
      <w:r>
        <w:rPr>
          <w:rFonts w:hint="eastAsia" w:ascii="仿宋_GB2312" w:hAnsi="仿宋_GB2312" w:eastAsia="仿宋_GB2312" w:cs="仿宋_GB2312"/>
          <w:b w:val="0"/>
          <w:bCs w:val="0"/>
          <w:color w:val="auto"/>
          <w:sz w:val="32"/>
          <w:szCs w:val="32"/>
          <w:lang w:val="en-US" w:eastAsia="zh-CN"/>
        </w:rPr>
        <w:t>推动城乡居民基本养老保险适龄参保人员“应保尽保”，累计参保6万余人，征收保费1252.89万元，参保率达到95%以上。</w:t>
      </w:r>
      <w:r>
        <w:rPr>
          <w:rFonts w:hint="eastAsia" w:ascii="仿宋_GB2312" w:hAnsi="仿宋_GB2312" w:eastAsia="仿宋_GB2312" w:cs="仿宋_GB2312"/>
          <w:sz w:val="32"/>
          <w:szCs w:val="32"/>
          <w:lang w:val="en-US" w:eastAsia="zh-CN"/>
        </w:rPr>
        <w:t>工伤保险参保12787人，</w:t>
      </w:r>
      <w:r>
        <w:rPr>
          <w:rFonts w:hint="eastAsia" w:ascii="仿宋_GB2312" w:hAnsi="仿宋_GB2312" w:eastAsia="仿宋_GB2312" w:cs="仿宋_GB2312"/>
          <w:sz w:val="32"/>
          <w:szCs w:val="32"/>
          <w:lang w:eastAsia="zh-CN"/>
        </w:rPr>
        <w:t>失业保险</w:t>
      </w:r>
      <w:r>
        <w:rPr>
          <w:rFonts w:hint="eastAsia" w:ascii="仿宋_GB2312" w:hAnsi="仿宋_GB2312" w:eastAsia="仿宋_GB2312" w:cs="仿宋_GB2312"/>
          <w:sz w:val="32"/>
          <w:szCs w:val="32"/>
          <w:lang w:val="en-US" w:eastAsia="zh-CN"/>
        </w:rPr>
        <w:t>参保10481人。</w:t>
      </w:r>
      <w:r>
        <w:rPr>
          <w:rFonts w:hint="eastAsia" w:ascii="仿宋_GB2312" w:hAnsi="仿宋_GB2312" w:eastAsia="仿宋_GB2312" w:cs="仿宋_GB2312"/>
          <w:b/>
          <w:bCs/>
          <w:color w:val="auto"/>
          <w:sz w:val="32"/>
          <w:szCs w:val="32"/>
          <w:lang w:val="en-US" w:eastAsia="zh-CN"/>
        </w:rPr>
        <w:t>二是实施社保兜底保障民生。</w:t>
      </w:r>
      <w:r>
        <w:rPr>
          <w:rFonts w:hint="eastAsia" w:ascii="仿宋_GB2312" w:hAnsi="仿宋_GB2312" w:eastAsia="仿宋_GB2312" w:cs="仿宋_GB2312"/>
          <w:kern w:val="2"/>
          <w:sz w:val="32"/>
          <w:szCs w:val="32"/>
          <w:lang w:val="en-US" w:eastAsia="zh-CN" w:bidi="ar-SA"/>
        </w:rPr>
        <w:t>提高养老金待遇水平，</w:t>
      </w:r>
      <w:r>
        <w:rPr>
          <w:rFonts w:hint="eastAsia" w:ascii="仿宋_GB2312" w:hAnsi="仿宋_GB2312" w:eastAsia="仿宋_GB2312" w:cs="仿宋_GB2312"/>
          <w:sz w:val="32"/>
          <w:szCs w:val="32"/>
          <w:lang w:val="en-US" w:eastAsia="zh-CN"/>
        </w:rPr>
        <w:t>完成城镇职工养老金调待13050人、城乡居民养老金调待12519人、机关事业单位养老金调待2057人。</w:t>
      </w:r>
      <w:r>
        <w:rPr>
          <w:rFonts w:hint="eastAsia" w:ascii="仿宋_GB2312" w:hAnsi="仿宋_GB2312" w:eastAsia="仿宋_GB2312" w:cs="仿宋_GB2312"/>
          <w:b/>
          <w:bCs/>
          <w:color w:val="auto"/>
          <w:sz w:val="32"/>
          <w:szCs w:val="32"/>
          <w:lang w:val="en-US" w:eastAsia="zh-CN"/>
        </w:rPr>
        <w:t>三是落实社保缓缴助企纾困。</w:t>
      </w:r>
      <w:r>
        <w:rPr>
          <w:rFonts w:hint="eastAsia" w:ascii="仿宋_GB2312" w:hAnsi="仿宋_GB2312" w:eastAsia="仿宋_GB2312" w:cs="仿宋_GB2312"/>
          <w:b w:val="0"/>
          <w:bCs w:val="0"/>
          <w:color w:val="auto"/>
          <w:sz w:val="32"/>
          <w:szCs w:val="32"/>
          <w:lang w:val="en-US" w:eastAsia="zh-CN"/>
        </w:rPr>
        <w:t>持续帮助困难企业稳岗减负，根据缓缴社会保险费申报自愿原则已经对5家服务企业实施了特困行业阶段性缓缴政策，缓缴金额为49.4万元；工矿企业2家实施了特困行业阶段性缓缴政策，缓缴金额为9.25万元,共计缓缴金额为58.65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楷体" w:hAnsi="楷体" w:eastAsia="楷体" w:cs="楷体"/>
          <w:sz w:val="32"/>
          <w:szCs w:val="32"/>
          <w:lang w:val="en-US" w:eastAsia="zh-CN"/>
        </w:rPr>
        <w:t>3.依法维权，构建和谐劳动关系</w:t>
      </w:r>
      <w:r>
        <w:rPr>
          <w:rFonts w:hint="eastAsia" w:ascii="楷体" w:hAnsi="楷体" w:eastAsia="楷体" w:cs="楷体"/>
          <w:b/>
          <w:bCs/>
          <w:sz w:val="32"/>
          <w:szCs w:val="32"/>
          <w:lang w:val="en-US" w:eastAsia="zh-CN"/>
        </w:rPr>
        <w:t>。</w:t>
      </w:r>
      <w:r>
        <w:rPr>
          <w:rFonts w:hint="eastAsia" w:ascii="仿宋_GB2312" w:hAnsi="仿宋_GB2312" w:eastAsia="仿宋_GB2312" w:cs="仿宋_GB2312"/>
          <w:b/>
          <w:bCs/>
          <w:sz w:val="32"/>
          <w:szCs w:val="32"/>
          <w:lang w:val="en-US" w:eastAsia="zh-CN"/>
        </w:rPr>
        <w:t>一是持续释放高压态势。</w:t>
      </w:r>
      <w:r>
        <w:rPr>
          <w:rFonts w:hint="eastAsia" w:ascii="仿宋_GB2312" w:hAnsi="仿宋_GB2312" w:eastAsia="仿宋_GB2312" w:cs="仿宋_GB2312"/>
          <w:sz w:val="32"/>
          <w:szCs w:val="32"/>
          <w:lang w:val="en-US" w:eastAsia="zh-CN"/>
        </w:rPr>
        <w:t>开展日常巡查，检查企业23家，积极排除欠薪隐患；并加大对国有企业工资收入及职工产假等相关权益的检查力度，提高各大企业对员工权益的保障意识；监管好四川省农民工工资支付监管平台，督促企业及时消除预警。</w:t>
      </w:r>
      <w:r>
        <w:rPr>
          <w:rFonts w:hint="eastAsia" w:ascii="仿宋_GB2312" w:hAnsi="仿宋_GB2312" w:eastAsia="仿宋_GB2312" w:cs="仿宋_GB2312"/>
          <w:b/>
          <w:bCs/>
          <w:color w:val="auto"/>
          <w:sz w:val="32"/>
          <w:szCs w:val="32"/>
          <w:lang w:val="en-US" w:eastAsia="zh-CN"/>
        </w:rPr>
        <w:t>二是抓好欠薪案件督办。</w:t>
      </w:r>
      <w:r>
        <w:rPr>
          <w:rFonts w:hint="eastAsia" w:ascii="仿宋_GB2312" w:hAnsi="仿宋_GB2312" w:eastAsia="仿宋_GB2312" w:cs="仿宋_GB2312"/>
          <w:bCs/>
          <w:color w:val="auto"/>
          <w:kern w:val="0"/>
          <w:sz w:val="32"/>
          <w:szCs w:val="32"/>
          <w:lang w:val="en-US" w:eastAsia="zh-CN"/>
        </w:rPr>
        <w:t>处理欠薪上门投诉、电话投诉、欠薪线索核处管理系统案件33起，服务农民工1113人，清欠2023万元农民工工资。</w:t>
      </w:r>
      <w:r>
        <w:rPr>
          <w:rFonts w:hint="eastAsia" w:ascii="仿宋_GB2312" w:hAnsi="仿宋_GB2312" w:eastAsia="仿宋_GB2312" w:cs="Times New Roman"/>
          <w:b w:val="0"/>
          <w:bCs w:val="0"/>
          <w:kern w:val="2"/>
          <w:sz w:val="32"/>
          <w:szCs w:val="32"/>
          <w:highlight w:val="none"/>
          <w:lang w:val="en-US" w:eastAsia="zh-CN" w:bidi="ar-SA"/>
        </w:rPr>
        <w:t>受理仲裁案件137件，结案率达100%，其中调解结案95件，调解金额205万元；裁决结案</w:t>
      </w:r>
      <w:r>
        <w:rPr>
          <w:rFonts w:hint="eastAsia" w:ascii="仿宋_GB2312" w:hAnsi="仿宋_GB2312" w:eastAsia="仿宋_GB2312" w:cs="Times New Roman"/>
          <w:b w:val="0"/>
          <w:bCs w:val="0"/>
          <w:color w:val="auto"/>
          <w:kern w:val="2"/>
          <w:sz w:val="32"/>
          <w:szCs w:val="32"/>
          <w:highlight w:val="none"/>
          <w:lang w:val="en-US" w:eastAsia="zh-CN" w:bidi="ar-SA"/>
        </w:rPr>
        <w:t>38</w:t>
      </w:r>
      <w:r>
        <w:rPr>
          <w:rFonts w:hint="eastAsia" w:ascii="仿宋_GB2312" w:hAnsi="仿宋_GB2312" w:eastAsia="仿宋_GB2312" w:cs="Times New Roman"/>
          <w:b w:val="0"/>
          <w:bCs w:val="0"/>
          <w:kern w:val="2"/>
          <w:sz w:val="32"/>
          <w:szCs w:val="32"/>
          <w:highlight w:val="none"/>
          <w:lang w:val="en-US" w:eastAsia="zh-CN" w:bidi="ar-SA"/>
        </w:rPr>
        <w:t>件，裁决金额51万元；为200余位劳动者挽回经济损失约300万元；接待来访群众650余人次。</w:t>
      </w:r>
      <w:r>
        <w:rPr>
          <w:rFonts w:hint="eastAsia" w:ascii="仿宋_GB2312" w:hAnsi="仿宋_GB2312" w:eastAsia="仿宋_GB2312" w:cs="仿宋_GB2312"/>
          <w:b/>
          <w:bCs/>
          <w:color w:val="auto"/>
          <w:sz w:val="32"/>
          <w:szCs w:val="32"/>
          <w:lang w:val="en-US" w:eastAsia="zh-CN"/>
        </w:rPr>
        <w:t>三是创新根治欠薪举措。</w:t>
      </w:r>
      <w:r>
        <w:rPr>
          <w:rFonts w:hint="eastAsia" w:ascii="仿宋_GB2312" w:hAnsi="仿宋_GB2312" w:eastAsia="仿宋_GB2312" w:cs="仿宋_GB2312"/>
          <w:b w:val="0"/>
          <w:bCs w:val="0"/>
          <w:color w:val="auto"/>
          <w:sz w:val="32"/>
          <w:szCs w:val="32"/>
          <w:lang w:val="en-US" w:eastAsia="zh-CN"/>
        </w:rPr>
        <w:t>成功创建</w:t>
      </w:r>
      <w:r>
        <w:rPr>
          <w:rFonts w:hint="eastAsia" w:ascii="仿宋_GB2312" w:hAnsi="仿宋_GB2312" w:eastAsia="仿宋_GB2312" w:cs="Times New Roman"/>
          <w:b w:val="0"/>
          <w:bCs w:val="0"/>
          <w:color w:val="auto"/>
          <w:kern w:val="2"/>
          <w:sz w:val="32"/>
          <w:szCs w:val="32"/>
          <w:lang w:val="en-US" w:eastAsia="zh-CN" w:bidi="ar-SA"/>
        </w:rPr>
        <w:t>“金牌劳动人事争议调解组织”</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Times New Roman"/>
          <w:b w:val="0"/>
          <w:bCs w:val="0"/>
          <w:color w:val="auto"/>
          <w:kern w:val="2"/>
          <w:sz w:val="32"/>
          <w:szCs w:val="32"/>
          <w:lang w:val="en-US" w:eastAsia="zh-CN" w:bidi="ar-SA"/>
        </w:rPr>
        <w:t>四川大渡河电力股份有限公司</w:t>
      </w:r>
      <w:r>
        <w:rPr>
          <w:rFonts w:hint="eastAsia" w:ascii="仿宋_GB2312" w:hAnsi="仿宋_GB2312" w:eastAsia="仿宋_GB2312" w:cs="仿宋_GB2312"/>
          <w:color w:val="auto"/>
          <w:sz w:val="32"/>
          <w:szCs w:val="32"/>
          <w:lang w:val="en-US" w:eastAsia="zh-CN"/>
        </w:rPr>
        <w:t>），并</w:t>
      </w:r>
      <w:r>
        <w:rPr>
          <w:rFonts w:hint="eastAsia" w:ascii="仿宋_GB2312" w:hAnsi="仿宋_GB2312" w:eastAsia="仿宋_GB2312" w:cs="Times New Roman"/>
          <w:b w:val="0"/>
          <w:bCs w:val="0"/>
          <w:color w:val="auto"/>
          <w:kern w:val="2"/>
          <w:sz w:val="32"/>
          <w:szCs w:val="32"/>
          <w:lang w:val="en-US" w:eastAsia="zh-CN" w:bidi="ar-SA"/>
        </w:rPr>
        <w:t>被市人力资源和社会保障局等4部门联合评选为2022年度乐山市“金牌劳动人事争议调解组织”，并顺利通过省人社厅验收工作；持续推进</w:t>
      </w:r>
      <w:r>
        <w:rPr>
          <w:rFonts w:hint="eastAsia" w:ascii="仿宋_GB2312" w:hAnsi="仿宋_GB2312" w:eastAsia="仿宋_GB2312" w:cs="仿宋_GB2312"/>
          <w:b w:val="0"/>
          <w:bCs w:val="0"/>
          <w:color w:val="auto"/>
          <w:kern w:val="2"/>
          <w:sz w:val="32"/>
          <w:szCs w:val="32"/>
          <w:lang w:val="en-US" w:eastAsia="zh-CN" w:bidi="ar-SA"/>
        </w:rPr>
        <w:t>和谐劳动关系“春风行动”工作，让和谐劳动关系成色更足、品质更高。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color w:val="auto"/>
          <w:spacing w:val="8"/>
          <w:kern w:val="2"/>
          <w:sz w:val="32"/>
          <w:szCs w:val="32"/>
          <w:shd w:val="clear" w:color="auto" w:fill="FFFFFF"/>
          <w:lang w:val="en-US" w:eastAsia="zh-CN" w:bidi="ar-SA"/>
        </w:rPr>
      </w:pPr>
      <w:r>
        <w:rPr>
          <w:rFonts w:hint="eastAsia" w:ascii="楷体" w:hAnsi="楷体" w:eastAsia="楷体" w:cs="楷体"/>
          <w:b w:val="0"/>
          <w:bCs w:val="0"/>
          <w:color w:val="auto"/>
          <w:sz w:val="32"/>
          <w:szCs w:val="32"/>
          <w:lang w:val="en-US" w:eastAsia="zh-CN"/>
        </w:rPr>
        <w:t>4.招才引智，推进人才队伍建设。</w:t>
      </w:r>
      <w:r>
        <w:rPr>
          <w:rFonts w:hint="eastAsia" w:ascii="仿宋_GB2312" w:hAnsi="仿宋_GB2312" w:eastAsia="仿宋_GB2312" w:cs="仿宋_GB2312"/>
          <w:b/>
          <w:bCs/>
          <w:color w:val="auto"/>
          <w:sz w:val="32"/>
          <w:szCs w:val="32"/>
          <w:lang w:val="en-US" w:eastAsia="zh-CN"/>
        </w:rPr>
        <w:t>一是做好事业人员岗位晋升。</w:t>
      </w:r>
      <w:r>
        <w:rPr>
          <w:rFonts w:hint="eastAsia" w:ascii="仿宋_GB2312" w:hAnsi="仿宋_GB2312" w:eastAsia="仿宋_GB2312" w:cs="仿宋_GB2312"/>
          <w:color w:val="auto"/>
          <w:spacing w:val="8"/>
          <w:kern w:val="2"/>
          <w:sz w:val="32"/>
          <w:szCs w:val="32"/>
          <w:shd w:val="clear" w:color="auto" w:fill="FFFFFF"/>
          <w:lang w:val="en-US" w:eastAsia="zh-CN" w:bidi="ar-SA"/>
        </w:rPr>
        <w:t>严格干部调动，积极招贤引智，截至目前，共办理调动115人，其中县内调动87人，调出县外21人，县外调入7人。</w:t>
      </w:r>
      <w:r>
        <w:rPr>
          <w:rFonts w:hint="eastAsia" w:ascii="仿宋_GB2312" w:hAnsi="仿宋_GB2312" w:eastAsia="仿宋_GB2312" w:cs="仿宋_GB2312"/>
          <w:b/>
          <w:bCs/>
          <w:color w:val="auto"/>
          <w:sz w:val="32"/>
          <w:szCs w:val="32"/>
          <w:lang w:val="en-US" w:eastAsia="zh-CN"/>
        </w:rPr>
        <w:t>二是抓好基层人才补充工作。</w:t>
      </w:r>
      <w:r>
        <w:rPr>
          <w:rFonts w:hint="eastAsia" w:ascii="仿宋_GB2312" w:hAnsi="仿宋_GB2312" w:eastAsia="仿宋_GB2312" w:cs="仿宋_GB2312"/>
          <w:b w:val="0"/>
          <w:bCs w:val="0"/>
          <w:color w:val="auto"/>
          <w:sz w:val="32"/>
          <w:szCs w:val="32"/>
          <w:lang w:val="en-US" w:eastAsia="zh-CN"/>
        </w:rPr>
        <w:t>新招募“三支一扶”人员20人（其中支教12人、支医3人、支农5人）；</w:t>
      </w:r>
      <w:r>
        <w:rPr>
          <w:rFonts w:hint="eastAsia" w:ascii="仿宋_GB2312" w:hAnsi="仿宋_GB2312" w:eastAsia="仿宋_GB2312" w:cs="仿宋_GB2312"/>
          <w:color w:val="auto"/>
          <w:spacing w:val="8"/>
          <w:kern w:val="2"/>
          <w:sz w:val="32"/>
          <w:szCs w:val="32"/>
          <w:shd w:val="clear" w:color="auto" w:fill="FFFFFF"/>
          <w:lang w:val="en-US" w:eastAsia="zh-CN" w:bidi="ar-SA"/>
        </w:rPr>
        <w:t>公开考试招聘事业单位工作人员21人；引进高层次人才公开考核招聘17人；考核招聘服务期满自愿留任特岗教师14人及西部计划2人；定向培养安置紧缺专业大学生8人；考核聘用免费师范生17人及免费医学生13人；组织两场编外社工招聘，共计62人。</w:t>
      </w:r>
    </w:p>
    <w:p>
      <w:pPr>
        <w:pStyle w:val="2"/>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9"/>
        <w:rPr>
          <w:rFonts w:hint="eastAsia" w:ascii="仿宋_GB2312" w:hAnsi="仿宋_GB2312" w:eastAsia="仿宋_GB2312" w:cs="仿宋_GB2312"/>
          <w:color w:val="auto"/>
          <w:spacing w:val="8"/>
          <w:kern w:val="2"/>
          <w:sz w:val="32"/>
          <w:szCs w:val="32"/>
          <w:shd w:val="clear" w:color="auto" w:fill="FFFFFF"/>
          <w:lang w:val="en-US" w:eastAsia="zh-CN" w:bidi="ar-SA"/>
        </w:rPr>
      </w:pPr>
      <w:r>
        <w:rPr>
          <w:rFonts w:hint="eastAsia" w:ascii="楷体" w:hAnsi="楷体" w:eastAsia="楷体" w:cs="楷体"/>
          <w:b w:val="0"/>
          <w:bCs w:val="0"/>
          <w:color w:val="auto"/>
          <w:sz w:val="32"/>
          <w:szCs w:val="32"/>
          <w:lang w:val="en-US" w:eastAsia="zh-CN"/>
        </w:rPr>
        <w:t>5.务实有力，人社帮扶再上新台阶。</w:t>
      </w:r>
      <w:r>
        <w:rPr>
          <w:rFonts w:hint="eastAsia" w:ascii="仿宋_GB2312" w:hAnsi="仿宋_GB2312" w:eastAsia="仿宋_GB2312" w:cs="仿宋_GB2312"/>
          <w:b/>
          <w:bCs/>
          <w:color w:val="auto"/>
          <w:sz w:val="32"/>
          <w:szCs w:val="32"/>
          <w:lang w:val="en-US" w:eastAsia="zh-CN"/>
        </w:rPr>
        <w:t>一是打造就业帮扶新模式。</w:t>
      </w:r>
      <w:r>
        <w:rPr>
          <w:rFonts w:hint="eastAsia" w:ascii="仿宋_GB2312" w:hAnsi="仿宋_GB2312" w:eastAsia="仿宋_GB2312" w:cs="仿宋_GB2312"/>
          <w:color w:val="auto"/>
          <w:spacing w:val="8"/>
          <w:kern w:val="2"/>
          <w:sz w:val="32"/>
          <w:szCs w:val="32"/>
          <w:shd w:val="clear" w:color="auto" w:fill="FFFFFF"/>
          <w:lang w:val="en-US" w:eastAsia="zh-CN" w:bidi="ar-SA"/>
        </w:rPr>
        <w:t>构建县乡村组“四位一体”劳务合作体系，打造峨边农旅人力资源产业园，培育规上人力资源服务机构2家，建设13个乡镇农民工服务中心，14个重点村农民工综合服务站，53个村级劳务专业合作社，配备就业服务专员、农村劳务经纪人，创新“一站一社一员一人”的四个一公共就业服务新模式。</w:t>
      </w:r>
      <w:r>
        <w:rPr>
          <w:rFonts w:hint="eastAsia" w:ascii="仿宋_GB2312" w:hAnsi="仿宋_GB2312" w:eastAsia="仿宋_GB2312" w:cs="仿宋_GB2312"/>
          <w:b/>
          <w:bCs/>
          <w:color w:val="auto"/>
          <w:spacing w:val="8"/>
          <w:kern w:val="2"/>
          <w:sz w:val="32"/>
          <w:szCs w:val="32"/>
          <w:shd w:val="clear" w:color="auto" w:fill="FFFFFF"/>
          <w:lang w:val="en-US" w:eastAsia="zh-CN" w:bidi="ar-SA"/>
        </w:rPr>
        <w:t>二是筑牢社保帮扶兜底线。</w:t>
      </w:r>
      <w:r>
        <w:rPr>
          <w:rFonts w:hint="eastAsia" w:ascii="仿宋_GB2312" w:hAnsi="仿宋_GB2312" w:eastAsia="仿宋_GB2312" w:cs="仿宋_GB2312"/>
          <w:color w:val="auto"/>
          <w:spacing w:val="8"/>
          <w:kern w:val="2"/>
          <w:sz w:val="32"/>
          <w:szCs w:val="32"/>
          <w:shd w:val="clear" w:color="auto" w:fill="FFFFFF"/>
          <w:lang w:val="en-US" w:eastAsia="zh-CN" w:bidi="ar-SA"/>
        </w:rPr>
        <w:t>连续5年实现困难群体社会保险参保率、代缴率、发放率“三个百分百”。定期组织人社、民政、残联、乡村振兴等部门实施数据比对，按月获取低保重残等人员明细，确保困难群体养老保险费应代缴尽代缴。2022年为全县低保、特困、残疾人及脱贫户实现代缴6330人，超目标数21.7%，实现“应代缴尽代缴”。</w:t>
      </w:r>
      <w:r>
        <w:rPr>
          <w:rFonts w:hint="eastAsia" w:ascii="仿宋_GB2312" w:hAnsi="仿宋_GB2312" w:eastAsia="仿宋_GB2312" w:cs="仿宋_GB2312"/>
          <w:b/>
          <w:bCs/>
          <w:color w:val="auto"/>
          <w:spacing w:val="8"/>
          <w:kern w:val="2"/>
          <w:sz w:val="32"/>
          <w:szCs w:val="32"/>
          <w:shd w:val="clear" w:color="auto" w:fill="FFFFFF"/>
          <w:lang w:val="en-US" w:eastAsia="zh-CN" w:bidi="ar-SA"/>
        </w:rPr>
        <w:t>三是巩固成效促交流。</w:t>
      </w:r>
      <w:r>
        <w:rPr>
          <w:rFonts w:hint="eastAsia" w:ascii="仿宋_GB2312" w:hAnsi="仿宋_GB2312" w:eastAsia="仿宋_GB2312" w:cs="仿宋_GB2312"/>
          <w:color w:val="auto"/>
          <w:spacing w:val="8"/>
          <w:kern w:val="2"/>
          <w:sz w:val="32"/>
          <w:szCs w:val="32"/>
          <w:shd w:val="clear" w:color="auto" w:fill="FFFFFF"/>
          <w:lang w:val="en-US" w:eastAsia="zh-CN" w:bidi="ar-SA"/>
        </w:rPr>
        <w:t>2022年7月，全省乡村振兴人社帮扶工作现场会在峨边召开，50个乡村振兴重点帮扶县和所在7个市（州）人社局局长参加。县委书记漆宾围绕就业帮扶、社保帮扶、人才人事帮扶、东西协作帮扶四个方面向大会作经验交流，受到省人社厅和市州人社部门高度评价。</w:t>
      </w:r>
    </w:p>
    <w:p>
      <w:pPr>
        <w:keepNext w:val="0"/>
        <w:keepLines w:val="0"/>
        <w:pageBreakBefore w:val="0"/>
        <w:numPr>
          <w:ilvl w:val="0"/>
          <w:numId w:val="0"/>
        </w:numPr>
        <w:kinsoku/>
        <w:wordWrap/>
        <w:overflowPunct/>
        <w:topLinePunct w:val="0"/>
        <w:autoSpaceDE/>
        <w:autoSpaceDN/>
        <w:bidi w:val="0"/>
        <w:snapToGrid w:val="0"/>
        <w:spacing w:line="600" w:lineRule="exact"/>
        <w:ind w:firstLine="640" w:firstLineChars="200"/>
        <w:textAlignment w:val="auto"/>
        <w:outlineLvl w:val="9"/>
        <w:rPr>
          <w:rFonts w:hint="eastAsia" w:ascii="楷体_GB2312" w:hAnsi="仿宋" w:eastAsia="楷体_GB2312"/>
          <w:b/>
          <w:sz w:val="32"/>
          <w:szCs w:val="32"/>
          <w:lang w:val="en-US" w:eastAsia="zh-CN"/>
        </w:rPr>
      </w:pPr>
      <w:r>
        <w:rPr>
          <w:rFonts w:hint="eastAsia" w:ascii="楷体" w:hAnsi="楷体" w:eastAsia="楷体" w:cs="楷体"/>
          <w:b w:val="0"/>
          <w:bCs w:val="0"/>
          <w:color w:val="auto"/>
          <w:kern w:val="2"/>
          <w:sz w:val="32"/>
          <w:szCs w:val="32"/>
          <w:lang w:val="en-US" w:eastAsia="zh-CN" w:bidi="ar-SA"/>
        </w:rPr>
        <w:t>6.优化行风，提升人社公共服务能力。</w:t>
      </w:r>
      <w:r>
        <w:rPr>
          <w:rFonts w:hint="eastAsia" w:ascii="仿宋_GB2312" w:hAnsi="仿宋_GB2312" w:eastAsia="仿宋_GB2312" w:cs="仿宋_GB2312"/>
          <w:b/>
          <w:bCs/>
          <w:color w:val="auto"/>
          <w:spacing w:val="8"/>
          <w:kern w:val="2"/>
          <w:sz w:val="32"/>
          <w:szCs w:val="32"/>
          <w:shd w:val="clear" w:color="auto" w:fill="FFFFFF"/>
          <w:lang w:val="en-US" w:eastAsia="zh-CN" w:bidi="ar-SA"/>
        </w:rPr>
        <w:t>一是加大干部教育培训。</w:t>
      </w:r>
      <w:r>
        <w:rPr>
          <w:rFonts w:hint="eastAsia" w:ascii="仿宋_GB2312" w:hAnsi="仿宋_GB2312" w:eastAsia="仿宋_GB2312" w:cs="仿宋_GB2312"/>
          <w:color w:val="auto"/>
          <w:spacing w:val="8"/>
          <w:kern w:val="2"/>
          <w:sz w:val="32"/>
          <w:szCs w:val="32"/>
          <w:shd w:val="clear" w:color="auto" w:fill="FFFFFF"/>
          <w:lang w:val="en-US" w:eastAsia="zh-CN" w:bidi="ar-SA"/>
        </w:rPr>
        <w:t>通过“学习强国”“四川观察”强化理论学习，坚持“人社大讲堂”，常态化开展业务技能练兵比武，树立“人社知识通”“人社服务标兵”典型示范，营造学政策、钻业务、练技能、强服务的热潮。</w:t>
      </w:r>
      <w:r>
        <w:rPr>
          <w:rFonts w:hint="eastAsia" w:ascii="仿宋_GB2312" w:hAnsi="仿宋_GB2312" w:eastAsia="仿宋_GB2312" w:cs="仿宋_GB2312"/>
          <w:b/>
          <w:bCs/>
          <w:color w:val="auto"/>
          <w:spacing w:val="8"/>
          <w:kern w:val="2"/>
          <w:sz w:val="32"/>
          <w:szCs w:val="32"/>
          <w:shd w:val="clear" w:color="auto" w:fill="FFFFFF"/>
          <w:lang w:val="en-US" w:eastAsia="zh-CN" w:bidi="ar-SA"/>
        </w:rPr>
        <w:t>二是数据“多跑腿”、群众“少跑路”。</w:t>
      </w:r>
      <w:r>
        <w:rPr>
          <w:rFonts w:hint="eastAsia" w:ascii="仿宋_GB2312" w:hAnsi="仿宋_GB2312" w:eastAsia="仿宋_GB2312" w:cs="仿宋_GB2312"/>
          <w:color w:val="auto"/>
          <w:spacing w:val="8"/>
          <w:kern w:val="2"/>
          <w:sz w:val="32"/>
          <w:szCs w:val="32"/>
          <w:shd w:val="clear" w:color="auto" w:fill="FFFFFF"/>
          <w:lang w:val="en-US" w:eastAsia="zh-CN" w:bidi="ar-SA"/>
        </w:rPr>
        <w:t>结合“人社服务快办行动”和“一网通办”，开展关联事项“打包办”、高频事项“简便办”、全域服务“规范办”，打造“城区10分钟、农村半小时”办事服务圈</w:t>
      </w:r>
      <w:r>
        <w:rPr>
          <w:rFonts w:hint="eastAsia" w:ascii="仿宋_GB2312" w:hAnsi="仿宋_GB2312" w:eastAsia="仿宋_GB2312" w:cs="仿宋_GB2312"/>
          <w:b w:val="0"/>
          <w:bCs w:val="0"/>
          <w:color w:val="auto"/>
          <w:spacing w:val="8"/>
          <w:kern w:val="2"/>
          <w:sz w:val="32"/>
          <w:szCs w:val="32"/>
          <w:shd w:val="clear" w:color="auto" w:fill="FFFFFF"/>
          <w:lang w:val="en-US" w:eastAsia="zh-CN" w:bidi="ar-SA"/>
        </w:rPr>
        <w:t>。</w:t>
      </w:r>
      <w:r>
        <w:rPr>
          <w:rFonts w:hint="eastAsia" w:ascii="仿宋_GB2312" w:hAnsi="仿宋_GB2312" w:eastAsia="仿宋_GB2312" w:cs="仿宋_GB2312"/>
          <w:b/>
          <w:bCs/>
          <w:color w:val="auto"/>
          <w:spacing w:val="8"/>
          <w:kern w:val="2"/>
          <w:sz w:val="32"/>
          <w:szCs w:val="32"/>
          <w:shd w:val="clear" w:color="auto" w:fill="FFFFFF"/>
          <w:lang w:val="en-US" w:eastAsia="zh-CN" w:bidi="ar-SA"/>
        </w:rPr>
        <w:t>三是深化作风建设。</w:t>
      </w:r>
      <w:r>
        <w:rPr>
          <w:rFonts w:hint="eastAsia" w:ascii="仿宋_GB2312" w:hAnsi="仿宋_GB2312" w:eastAsia="仿宋_GB2312" w:cs="仿宋_GB2312"/>
          <w:color w:val="auto"/>
          <w:spacing w:val="8"/>
          <w:kern w:val="2"/>
          <w:sz w:val="32"/>
          <w:szCs w:val="32"/>
          <w:shd w:val="clear" w:color="auto" w:fill="FFFFFF"/>
          <w:lang w:val="en-US" w:eastAsia="zh-CN" w:bidi="ar-SA"/>
        </w:rPr>
        <w:t>坚持以案促改，持续开展“人社净土”“阳光问风留步”活动。开展服务“五星评价”，以高质量人社服务解决好关系群众切身利益的急难愁盼问题</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（四）部门整体支出绩效目标</w:t>
      </w:r>
    </w:p>
    <w:p>
      <w:pPr>
        <w:keepNext w:val="0"/>
        <w:keepLines w:val="0"/>
        <w:pageBreakBefore w:val="0"/>
        <w:numPr>
          <w:ilvl w:val="0"/>
          <w:numId w:val="0"/>
        </w:numPr>
        <w:kinsoku/>
        <w:wordWrap/>
        <w:overflowPunct/>
        <w:topLinePunct w:val="0"/>
        <w:autoSpaceDE/>
        <w:autoSpaceDN/>
        <w:bidi w:val="0"/>
        <w:snapToGrid w:val="0"/>
        <w:spacing w:line="600" w:lineRule="exact"/>
        <w:ind w:firstLine="640" w:firstLineChars="200"/>
        <w:textAlignment w:val="auto"/>
        <w:outlineLvl w:val="9"/>
        <w:rPr>
          <w:lang w:val="zh-CN"/>
        </w:rPr>
      </w:pPr>
      <w:r>
        <w:rPr>
          <w:rFonts w:hint="eastAsia" w:ascii="仿宋_GB2312" w:hAnsi="仿宋" w:eastAsia="仿宋_GB2312"/>
          <w:sz w:val="32"/>
          <w:szCs w:val="32"/>
          <w:lang w:val="en-US" w:eastAsia="zh-CN"/>
        </w:rPr>
        <w:t>整体支出绩效目标实现情况：1.按时发放工资、津补贴、按实按时进行经费支付，保障机关正常运行；2.按实拨付科级及以下退休人员活动经费和活动小组工作经费158.64万元（半年发放一次，上半年发放1879人，下半年发放1862人）；3.按要求完成中级及以下职称评审工作；4.完成事业人员招聘和“三支一扶”人员招募工作，2022年招聘事业人员92人，招募“三支一扶”人员20人；5.完成对辖区内各用人单位执行劳动保障法律、法规、政策行为的监察工作；6.按时办结劳动仲裁相关案件，切实做好劳动关系和维权工作；7.按要求及时划拨退休活动组工作补贴和完成对退休干部的日常管理和慰问工作；8.做好大中专毕业生学籍档案日常管理和有关档案转接工作。</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二、部门财政资金收支情况</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（一）部门财政资金收入情况</w:t>
      </w:r>
    </w:p>
    <w:p>
      <w:pPr>
        <w:keepNext w:val="0"/>
        <w:keepLines w:val="0"/>
        <w:pageBreakBefore w:val="0"/>
        <w:numPr>
          <w:ilvl w:val="0"/>
          <w:numId w:val="0"/>
        </w:numPr>
        <w:kinsoku/>
        <w:wordWrap/>
        <w:overflowPunct/>
        <w:topLinePunct w:val="0"/>
        <w:autoSpaceDE/>
        <w:autoSpaceDN/>
        <w:bidi w:val="0"/>
        <w:snapToGrid w:val="0"/>
        <w:spacing w:line="600" w:lineRule="exact"/>
        <w:ind w:firstLine="640" w:firstLineChars="200"/>
        <w:textAlignment w:val="auto"/>
        <w:outlineLvl w:val="9"/>
        <w:rPr>
          <w:lang w:val="zh-CN"/>
        </w:rPr>
      </w:pPr>
      <w:r>
        <w:rPr>
          <w:rFonts w:hint="eastAsia" w:ascii="仿宋_GB2312" w:hAnsi="仿宋" w:eastAsia="仿宋_GB2312" w:cs="Times New Roman"/>
          <w:sz w:val="32"/>
          <w:szCs w:val="32"/>
          <w:lang w:val="en-US" w:eastAsia="zh-CN"/>
        </w:rPr>
        <w:t>我局2022年财政拨款预算收入1723.83万元，其中一般公共预算拨款收入1710.83万元，政府性基金预算拨款收入13万元。</w:t>
      </w:r>
    </w:p>
    <w:p>
      <w:pPr>
        <w:keepNext w:val="0"/>
        <w:keepLines w:val="0"/>
        <w:pageBreakBefore w:val="0"/>
        <w:widowControl/>
        <w:numPr>
          <w:ilvl w:val="0"/>
          <w:numId w:val="2"/>
        </w:numPr>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部门财政资金支出情况。</w:t>
      </w:r>
    </w:p>
    <w:p>
      <w:pPr>
        <w:keepNext w:val="0"/>
        <w:keepLines w:val="0"/>
        <w:pageBreakBefore w:val="0"/>
        <w:numPr>
          <w:ilvl w:val="0"/>
          <w:numId w:val="0"/>
        </w:numPr>
        <w:kinsoku/>
        <w:wordWrap/>
        <w:overflowPunct/>
        <w:topLinePunct w:val="0"/>
        <w:autoSpaceDE/>
        <w:autoSpaceDN/>
        <w:bidi w:val="0"/>
        <w:snapToGrid w:val="0"/>
        <w:spacing w:line="600" w:lineRule="exact"/>
        <w:ind w:firstLine="640" w:firstLineChars="200"/>
        <w:textAlignment w:val="auto"/>
        <w:outlineLvl w:val="9"/>
        <w:rPr>
          <w:lang w:val="zh-CN"/>
        </w:rPr>
      </w:pPr>
      <w:r>
        <w:rPr>
          <w:rFonts w:hint="eastAsia" w:ascii="仿宋_GB2312" w:hAnsi="仿宋" w:eastAsia="仿宋_GB2312" w:cs="Times New Roman"/>
          <w:sz w:val="32"/>
          <w:szCs w:val="32"/>
          <w:lang w:val="zh-CN" w:eastAsia="zh-CN"/>
        </w:rPr>
        <w:t>基本支出</w:t>
      </w:r>
      <w:r>
        <w:rPr>
          <w:rFonts w:hint="eastAsia" w:ascii="仿宋_GB2312" w:hAnsi="仿宋" w:eastAsia="仿宋_GB2312" w:cs="Times New Roman"/>
          <w:sz w:val="32"/>
          <w:szCs w:val="32"/>
          <w:lang w:val="en-US" w:eastAsia="zh-CN"/>
        </w:rPr>
        <w:t>1078.42万元，项目支出645.41万元，其中项目5个，具体支出为：人员招考工作经费（按实）项目9.71万元;高校毕业生三支一扶经费（按实）项目339.06万元;行政事业单位科级及以下退休人员活动及管理经费项目158.64万元；全省乡村振兴重点帮扶县人社帮扶工作现场推进会工作经费项目13万元；“乐在浙里”劳务协作项目（东西协作）项目125万元。</w:t>
      </w:r>
    </w:p>
    <w:p>
      <w:pPr>
        <w:keepNext w:val="0"/>
        <w:keepLines w:val="0"/>
        <w:pageBreakBefore w:val="0"/>
        <w:widowControl/>
        <w:numPr>
          <w:ilvl w:val="0"/>
          <w:numId w:val="2"/>
        </w:numPr>
        <w:kinsoku/>
        <w:wordWrap/>
        <w:overflowPunct/>
        <w:topLinePunct w:val="0"/>
        <w:autoSpaceDE/>
        <w:autoSpaceDN/>
        <w:bidi w:val="0"/>
        <w:adjustRightInd w:val="0"/>
        <w:snapToGrid w:val="0"/>
        <w:spacing w:line="600" w:lineRule="exact"/>
        <w:ind w:left="0" w:leftChars="0" w:firstLine="640" w:firstLineChars="200"/>
        <w:contextualSpacing/>
        <w:jc w:val="left"/>
        <w:textAlignment w:val="auto"/>
        <w:outlineLvl w:val="9"/>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部门财政资金结转结余情况。</w:t>
      </w:r>
    </w:p>
    <w:p>
      <w:pPr>
        <w:pStyle w:val="2"/>
        <w:keepNext w:val="0"/>
        <w:keepLines w:val="0"/>
        <w:pageBreakBefore w:val="0"/>
        <w:numPr>
          <w:ilvl w:val="0"/>
          <w:numId w:val="0"/>
        </w:numPr>
        <w:kinsoku/>
        <w:wordWrap/>
        <w:overflowPunct/>
        <w:topLinePunct w:val="0"/>
        <w:autoSpaceDE/>
        <w:autoSpaceDN/>
        <w:bidi w:val="0"/>
        <w:spacing w:line="600" w:lineRule="exact"/>
        <w:ind w:leftChars="200"/>
        <w:textAlignment w:val="auto"/>
        <w:outlineLvl w:val="9"/>
        <w:rPr>
          <w:rFonts w:hint="eastAsia" w:ascii="仿宋_GB2312" w:hAnsi="仿宋" w:eastAsia="仿宋_GB2312" w:cs="Times New Roman"/>
          <w:kern w:val="2"/>
          <w:sz w:val="32"/>
          <w:szCs w:val="32"/>
          <w:lang w:val="zh-CN" w:eastAsia="zh-CN" w:bidi="ar-SA"/>
        </w:rPr>
      </w:pPr>
      <w:r>
        <w:rPr>
          <w:rFonts w:hint="eastAsia" w:ascii="仿宋_GB2312" w:hAnsi="仿宋" w:eastAsia="仿宋_GB2312" w:cs="Times New Roman"/>
          <w:kern w:val="2"/>
          <w:sz w:val="32"/>
          <w:szCs w:val="32"/>
          <w:lang w:val="zh-CN" w:eastAsia="zh-CN" w:bidi="ar-SA"/>
        </w:rPr>
        <w:t>本部门无结转结余。</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三、部门整体绩效管理情况（根据自评体系进行描述）</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ascii="楷体_GB2312" w:hAnsi="宋体" w:eastAsia="楷体_GB2312" w:cs="宋体"/>
          <w:color w:val="auto"/>
          <w:kern w:val="0"/>
          <w:szCs w:val="32"/>
          <w:shd w:val="clear" w:color="auto" w:fill="FFFFFF"/>
          <w:lang w:val="zh-CN"/>
        </w:rPr>
      </w:pPr>
      <w:r>
        <w:rPr>
          <w:rFonts w:hint="eastAsia" w:ascii="楷体_GB2312" w:hAnsi="宋体" w:eastAsia="楷体_GB2312" w:cs="宋体"/>
          <w:color w:val="auto"/>
          <w:kern w:val="0"/>
          <w:szCs w:val="32"/>
          <w:shd w:val="clear" w:color="auto" w:fill="FFFFFF"/>
          <w:lang w:val="zh-CN"/>
        </w:rPr>
        <w:t>（一）部门整体履</w:t>
      </w:r>
      <w:bookmarkStart w:id="0" w:name="_GoBack"/>
      <w:bookmarkEnd w:id="0"/>
      <w:r>
        <w:rPr>
          <w:rFonts w:hint="eastAsia" w:ascii="楷体_GB2312" w:hAnsi="宋体" w:eastAsia="楷体_GB2312" w:cs="宋体"/>
          <w:color w:val="auto"/>
          <w:kern w:val="0"/>
          <w:szCs w:val="32"/>
          <w:shd w:val="clear" w:color="auto" w:fill="FFFFFF"/>
          <w:lang w:val="zh-CN"/>
        </w:rPr>
        <w:t>职绩效分析。</w:t>
      </w:r>
    </w:p>
    <w:p>
      <w:pPr>
        <w:keepNext w:val="0"/>
        <w:keepLines w:val="0"/>
        <w:pageBreakBefore w:val="0"/>
        <w:numPr>
          <w:ilvl w:val="0"/>
          <w:numId w:val="0"/>
        </w:numPr>
        <w:kinsoku/>
        <w:wordWrap/>
        <w:overflowPunct/>
        <w:topLinePunct w:val="0"/>
        <w:autoSpaceDE/>
        <w:autoSpaceDN/>
        <w:bidi w:val="0"/>
        <w:snapToGrid w:val="0"/>
        <w:spacing w:line="600" w:lineRule="exact"/>
        <w:ind w:firstLine="640" w:firstLineChars="200"/>
        <w:textAlignment w:val="auto"/>
        <w:outlineLvl w:val="9"/>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1.稳中求进，就业局势保持稳定。</w:t>
      </w:r>
    </w:p>
    <w:p>
      <w:pPr>
        <w:keepNext w:val="0"/>
        <w:keepLines w:val="0"/>
        <w:pageBreakBefore w:val="0"/>
        <w:numPr>
          <w:ilvl w:val="0"/>
          <w:numId w:val="0"/>
        </w:numPr>
        <w:kinsoku/>
        <w:wordWrap/>
        <w:overflowPunct/>
        <w:topLinePunct w:val="0"/>
        <w:autoSpaceDE/>
        <w:autoSpaceDN/>
        <w:bidi w:val="0"/>
        <w:snapToGrid w:val="0"/>
        <w:spacing w:line="600" w:lineRule="exact"/>
        <w:ind w:firstLine="640" w:firstLineChars="200"/>
        <w:textAlignment w:val="auto"/>
        <w:outlineLvl w:val="9"/>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2.扩面提标，社会保障水平不断增强。</w:t>
      </w:r>
    </w:p>
    <w:p>
      <w:pPr>
        <w:keepNext w:val="0"/>
        <w:keepLines w:val="0"/>
        <w:pageBreakBefore w:val="0"/>
        <w:numPr>
          <w:ilvl w:val="0"/>
          <w:numId w:val="0"/>
        </w:numPr>
        <w:kinsoku/>
        <w:wordWrap/>
        <w:overflowPunct/>
        <w:topLinePunct w:val="0"/>
        <w:autoSpaceDE/>
        <w:autoSpaceDN/>
        <w:bidi w:val="0"/>
        <w:snapToGrid w:val="0"/>
        <w:spacing w:line="600" w:lineRule="exact"/>
        <w:ind w:firstLine="640" w:firstLineChars="200"/>
        <w:textAlignment w:val="auto"/>
        <w:outlineLvl w:val="9"/>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3.依法维权，构建和谐劳动关系。</w:t>
      </w:r>
    </w:p>
    <w:p>
      <w:pPr>
        <w:keepNext w:val="0"/>
        <w:keepLines w:val="0"/>
        <w:pageBreakBefore w:val="0"/>
        <w:numPr>
          <w:ilvl w:val="0"/>
          <w:numId w:val="0"/>
        </w:numPr>
        <w:kinsoku/>
        <w:wordWrap/>
        <w:overflowPunct/>
        <w:topLinePunct w:val="0"/>
        <w:autoSpaceDE/>
        <w:autoSpaceDN/>
        <w:bidi w:val="0"/>
        <w:snapToGrid w:val="0"/>
        <w:spacing w:line="600" w:lineRule="exact"/>
        <w:ind w:firstLine="640" w:firstLineChars="200"/>
        <w:textAlignment w:val="auto"/>
        <w:outlineLvl w:val="9"/>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4.招才引智，推进人才队伍建设。</w:t>
      </w:r>
    </w:p>
    <w:p>
      <w:pPr>
        <w:keepNext w:val="0"/>
        <w:keepLines w:val="0"/>
        <w:pageBreakBefore w:val="0"/>
        <w:numPr>
          <w:ilvl w:val="0"/>
          <w:numId w:val="0"/>
        </w:numPr>
        <w:kinsoku/>
        <w:wordWrap/>
        <w:overflowPunct/>
        <w:topLinePunct w:val="0"/>
        <w:autoSpaceDE/>
        <w:autoSpaceDN/>
        <w:bidi w:val="0"/>
        <w:snapToGrid w:val="0"/>
        <w:spacing w:line="600" w:lineRule="exact"/>
        <w:ind w:firstLine="640" w:firstLineChars="200"/>
        <w:textAlignment w:val="auto"/>
        <w:outlineLvl w:val="9"/>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5.务实有力，人社帮扶再上新台阶。</w:t>
      </w:r>
    </w:p>
    <w:p>
      <w:pPr>
        <w:keepNext w:val="0"/>
        <w:keepLines w:val="0"/>
        <w:pageBreakBefore w:val="0"/>
        <w:numPr>
          <w:ilvl w:val="0"/>
          <w:numId w:val="0"/>
        </w:numPr>
        <w:kinsoku/>
        <w:wordWrap/>
        <w:overflowPunct/>
        <w:topLinePunct w:val="0"/>
        <w:autoSpaceDE/>
        <w:autoSpaceDN/>
        <w:bidi w:val="0"/>
        <w:snapToGrid w:val="0"/>
        <w:spacing w:line="600" w:lineRule="exact"/>
        <w:ind w:firstLine="640" w:firstLineChars="200"/>
        <w:textAlignment w:val="auto"/>
        <w:outlineLvl w:val="9"/>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6.优化行风，提升人社公共服务能力。</w:t>
      </w:r>
    </w:p>
    <w:p>
      <w:pPr>
        <w:keepNext w:val="0"/>
        <w:keepLines w:val="0"/>
        <w:pageBreakBefore w:val="0"/>
        <w:numPr>
          <w:ilvl w:val="0"/>
          <w:numId w:val="0"/>
        </w:numPr>
        <w:kinsoku/>
        <w:wordWrap/>
        <w:overflowPunct/>
        <w:topLinePunct w:val="0"/>
        <w:autoSpaceDE/>
        <w:autoSpaceDN/>
        <w:bidi w:val="0"/>
        <w:snapToGrid w:val="0"/>
        <w:spacing w:line="600" w:lineRule="exact"/>
        <w:ind w:firstLine="640" w:firstLineChars="200"/>
        <w:textAlignment w:val="auto"/>
        <w:outlineLvl w:val="9"/>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zh-CN" w:eastAsia="zh-CN"/>
        </w:rPr>
        <w:t>全面完成整体绩效目标</w:t>
      </w:r>
      <w:r>
        <w:rPr>
          <w:rFonts w:hint="eastAsia" w:ascii="仿宋_GB2312" w:hAnsi="仿宋" w:eastAsia="仿宋_GB2312" w:cs="Times New Roman"/>
          <w:sz w:val="32"/>
          <w:szCs w:val="32"/>
          <w:lang w:val="en-US" w:eastAsia="zh-CN"/>
        </w:rPr>
        <w:t>,达到预期效果。</w:t>
      </w:r>
    </w:p>
    <w:p>
      <w:pPr>
        <w:pStyle w:val="2"/>
        <w:rPr>
          <w:rFonts w:hint="eastAsia"/>
          <w:lang w:val="en-US" w:eastAsia="zh-CN"/>
        </w:rPr>
      </w:pP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ascii="楷体_GB2312" w:hAnsi="宋体" w:eastAsia="楷体_GB2312" w:cs="宋体"/>
          <w:color w:val="FF0000"/>
          <w:kern w:val="0"/>
          <w:szCs w:val="32"/>
          <w:shd w:val="clear" w:color="auto" w:fill="FFFFFF"/>
          <w:lang w:val="zh-CN"/>
        </w:rPr>
      </w:pPr>
      <w:r>
        <w:rPr>
          <w:rFonts w:hint="eastAsia" w:ascii="楷体_GB2312" w:hAnsi="宋体" w:eastAsia="楷体_GB2312" w:cs="宋体"/>
          <w:color w:val="auto"/>
          <w:kern w:val="0"/>
          <w:szCs w:val="32"/>
          <w:shd w:val="clear" w:color="auto" w:fill="FFFFFF"/>
          <w:lang w:val="zh-CN"/>
        </w:rPr>
        <w:t>（二）特定目标类项目绩效分析。</w:t>
      </w:r>
    </w:p>
    <w:p>
      <w:pPr>
        <w:keepNext w:val="0"/>
        <w:keepLines w:val="0"/>
        <w:pageBreakBefore w:val="0"/>
        <w:widowControl/>
        <w:numPr>
          <w:ilvl w:val="0"/>
          <w:numId w:val="0"/>
        </w:numPr>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hint="eastAsia"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en-US" w:eastAsia="zh-CN"/>
        </w:rPr>
        <w:t>1.</w:t>
      </w:r>
      <w:r>
        <w:rPr>
          <w:rFonts w:hint="eastAsia" w:ascii="仿宋_GB2312" w:hAnsi="宋体" w:eastAsia="仿宋_GB2312" w:cs="宋体"/>
          <w:color w:val="000000"/>
          <w:kern w:val="0"/>
          <w:szCs w:val="32"/>
          <w:shd w:val="clear" w:color="auto" w:fill="FFFFFF"/>
          <w:lang w:val="zh-CN"/>
        </w:rPr>
        <w:t>整体情况</w:t>
      </w:r>
    </w:p>
    <w:p>
      <w:pPr>
        <w:pStyle w:val="2"/>
        <w:keepNext w:val="0"/>
        <w:keepLines w:val="0"/>
        <w:pageBreakBefore w:val="0"/>
        <w:kinsoku/>
        <w:wordWrap/>
        <w:overflowPunct/>
        <w:topLinePunct w:val="0"/>
        <w:autoSpaceDE/>
        <w:autoSpaceDN/>
        <w:bidi w:val="0"/>
        <w:spacing w:line="600" w:lineRule="exact"/>
        <w:ind w:firstLine="640" w:firstLineChars="200"/>
        <w:textAlignment w:val="auto"/>
        <w:outlineLvl w:val="9"/>
        <w:rPr>
          <w:rFonts w:hint="eastAsia"/>
          <w:lang w:val="zh-CN"/>
        </w:rPr>
      </w:pPr>
      <w:r>
        <w:rPr>
          <w:rFonts w:hint="eastAsia" w:ascii="仿宋_GB2312" w:hAnsi="仿宋" w:eastAsia="仿宋_GB2312"/>
          <w:color w:val="auto"/>
          <w:sz w:val="32"/>
          <w:szCs w:val="32"/>
          <w:lang w:val="en-US" w:eastAsia="zh-CN"/>
        </w:rPr>
        <w:t>2022年我单位全面完成预算项目绩效目标，具体为：</w:t>
      </w:r>
    </w:p>
    <w:p>
      <w:pPr>
        <w:keepNext w:val="0"/>
        <w:keepLines w:val="0"/>
        <w:pageBreakBefore w:val="0"/>
        <w:numPr>
          <w:ilvl w:val="0"/>
          <w:numId w:val="0"/>
        </w:numPr>
        <w:kinsoku/>
        <w:wordWrap/>
        <w:overflowPunct/>
        <w:topLinePunct w:val="0"/>
        <w:autoSpaceDE/>
        <w:autoSpaceDN/>
        <w:bidi w:val="0"/>
        <w:snapToGrid w:val="0"/>
        <w:spacing w:line="600" w:lineRule="exact"/>
        <w:ind w:firstLine="640" w:firstLineChars="200"/>
        <w:textAlignment w:val="auto"/>
        <w:outlineLvl w:val="9"/>
        <w:rPr>
          <w:lang w:val="zh-CN"/>
        </w:rPr>
      </w:pPr>
      <w:r>
        <w:rPr>
          <w:rFonts w:hint="eastAsia" w:ascii="仿宋_GB2312" w:hAnsi="仿宋" w:eastAsia="仿宋_GB2312"/>
          <w:sz w:val="32"/>
          <w:szCs w:val="32"/>
          <w:lang w:val="en-US" w:eastAsia="zh-CN"/>
        </w:rPr>
        <w:t>（1）按时发放工资、津补贴、按实按时进行经费支付，保障机关正常运行；（2）按实拨付科级及以下退休人员活动经费和活动小组工作经费158.64万元（半年发放一次，上半年发放1879人，下半年发放1862人）；（3）按要求完成中级及以下职称评审工作；（4）完成事业人员招聘和“三支一扶”人员招募工作，2022年招聘事业人员92人，招募“三支一扶”人员20人；（5）完成对辖区内各用人单位执行劳动保障法律、法规、政策行为的监察工作；（6）按时办结劳动仲裁相关案件，切实做好劳动关系和维权工作；（7）按要求及时划拨退休活动组工作补贴和完成对退休干部的日常管理和慰问工作；（8）做好大中专毕业生学籍档案日常管理和有关档案转接工作。</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2.100万以上项目：</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hint="eastAsia" w:ascii="仿宋_GB2312" w:hAnsi="仿宋" w:eastAsia="仿宋_GB2312"/>
          <w:sz w:val="32"/>
          <w:szCs w:val="32"/>
          <w:lang w:val="en-US" w:eastAsia="zh-CN"/>
        </w:rPr>
      </w:pPr>
      <w:r>
        <w:rPr>
          <w:rFonts w:hint="eastAsia" w:ascii="仿宋_GB2312" w:hAnsi="宋体" w:eastAsia="仿宋_GB2312" w:cs="宋体"/>
          <w:color w:val="000000"/>
          <w:kern w:val="0"/>
          <w:szCs w:val="32"/>
          <w:shd w:val="clear" w:color="auto" w:fill="FFFFFF"/>
          <w:lang w:val="zh-CN"/>
        </w:rPr>
        <w:t>项目：行政事业单位科级及以下退休人员活动及管理经费项目，</w:t>
      </w:r>
      <w:r>
        <w:rPr>
          <w:rFonts w:hint="eastAsia" w:ascii="仿宋_GB2312" w:hAnsi="仿宋" w:eastAsia="仿宋_GB2312"/>
          <w:sz w:val="32"/>
          <w:szCs w:val="32"/>
          <w:lang w:val="en-US" w:eastAsia="zh-CN"/>
        </w:rPr>
        <w:t>按实拨付科级及以下退休人员活动经费和活动小组工作经费158.64万元（半年发放一次，上半年发放1879人，下半年发放1862人）。</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（三）结果应用情况。</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绩效自评公开及时、评价结果整改和应用结果反馈及时。</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四、评价结论及建议</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lang w:val="zh-CN"/>
        </w:rPr>
      </w:pPr>
      <w:r>
        <w:rPr>
          <w:rFonts w:hint="eastAsia" w:ascii="楷体_GB2312" w:hAnsi="宋体" w:eastAsia="楷体_GB2312" w:cs="宋体"/>
          <w:color w:val="000000"/>
          <w:kern w:val="0"/>
          <w:szCs w:val="32"/>
          <w:shd w:val="clear" w:color="auto" w:fill="FFFFFF"/>
          <w:lang w:val="zh-CN"/>
        </w:rPr>
        <w:t>（一）评价结论</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hint="eastAsia"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根据《峨边彝族自治县财政局 关于开展20</w:t>
      </w:r>
      <w:r>
        <w:rPr>
          <w:rFonts w:hint="eastAsia" w:ascii="仿宋_GB2312" w:hAnsi="宋体" w:eastAsia="仿宋_GB2312" w:cs="宋体"/>
          <w:color w:val="000000"/>
          <w:kern w:val="0"/>
          <w:szCs w:val="32"/>
          <w:shd w:val="clear" w:color="auto" w:fill="FFFFFF"/>
          <w:lang w:val="en-US" w:eastAsia="zh-CN"/>
        </w:rPr>
        <w:t>22</w:t>
      </w:r>
      <w:r>
        <w:rPr>
          <w:rFonts w:hint="eastAsia" w:ascii="仿宋_GB2312" w:hAnsi="宋体" w:eastAsia="仿宋_GB2312" w:cs="宋体"/>
          <w:color w:val="000000"/>
          <w:kern w:val="0"/>
          <w:szCs w:val="32"/>
          <w:shd w:val="clear" w:color="auto" w:fill="FFFFFF"/>
          <w:lang w:val="zh-CN"/>
        </w:rPr>
        <w:t>年部门整体、项目支出预算绩效评价工作的通知》文件精神，</w:t>
      </w:r>
      <w:r>
        <w:rPr>
          <w:rFonts w:hint="eastAsia" w:ascii="仿宋_GB2312" w:hAnsi="宋体" w:eastAsia="仿宋_GB2312" w:cs="宋体"/>
          <w:color w:val="000000"/>
          <w:kern w:val="0"/>
          <w:szCs w:val="32"/>
          <w:shd w:val="clear" w:color="auto" w:fill="FFFFFF"/>
          <w:lang w:val="en-US" w:eastAsia="zh-CN"/>
        </w:rPr>
        <w:t>我局认真组织开展了部门整体支出绩效评价工作，绩效评价</w:t>
      </w:r>
      <w:r>
        <w:rPr>
          <w:rFonts w:hint="eastAsia" w:ascii="仿宋_GB2312" w:hAnsi="宋体" w:eastAsia="仿宋_GB2312" w:cs="宋体"/>
          <w:color w:val="000000"/>
          <w:kern w:val="0"/>
          <w:szCs w:val="32"/>
          <w:shd w:val="clear" w:color="auto" w:fill="FFFFFF"/>
          <w:lang w:val="zh-CN"/>
        </w:rPr>
        <w:t>得分：</w:t>
      </w:r>
      <w:r>
        <w:rPr>
          <w:rFonts w:hint="eastAsia" w:ascii="仿宋_GB2312" w:hAnsi="宋体" w:eastAsia="仿宋_GB2312" w:cs="宋体"/>
          <w:color w:val="000000"/>
          <w:kern w:val="0"/>
          <w:szCs w:val="32"/>
          <w:shd w:val="clear" w:color="auto" w:fill="FFFFFF"/>
          <w:lang w:val="en-US" w:eastAsia="zh-CN"/>
        </w:rPr>
        <w:t>98</w:t>
      </w:r>
      <w:r>
        <w:rPr>
          <w:rFonts w:hint="eastAsia" w:ascii="仿宋_GB2312" w:hAnsi="宋体" w:eastAsia="仿宋_GB2312" w:cs="宋体"/>
          <w:color w:val="000000"/>
          <w:kern w:val="0"/>
          <w:szCs w:val="32"/>
          <w:shd w:val="clear" w:color="auto" w:fill="FFFFFF"/>
          <w:lang w:val="zh-CN"/>
        </w:rPr>
        <w:t>分。</w:t>
      </w:r>
    </w:p>
    <w:p>
      <w:pPr>
        <w:keepNext w:val="0"/>
        <w:keepLines w:val="0"/>
        <w:pageBreakBefore w:val="0"/>
        <w:widowControl/>
        <w:numPr>
          <w:ilvl w:val="0"/>
          <w:numId w:val="3"/>
        </w:numPr>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存在问题</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lang w:val="zh-CN"/>
        </w:rPr>
      </w:pPr>
      <w:r>
        <w:rPr>
          <w:rFonts w:hint="eastAsia" w:ascii="仿宋_GB2312" w:hAnsi="宋体" w:eastAsia="仿宋_GB2312" w:cs="宋体"/>
          <w:color w:val="000000"/>
          <w:kern w:val="0"/>
          <w:szCs w:val="32"/>
          <w:shd w:val="clear" w:color="auto" w:fill="FFFFFF"/>
          <w:lang w:val="zh-CN" w:eastAsia="zh-CN"/>
        </w:rPr>
        <w:t>预算编制的科学严谨性和精细化准确度还需进一步提升，部分绩效目标动态变化测算需要进一步优化。</w:t>
      </w:r>
    </w:p>
    <w:p>
      <w:pPr>
        <w:keepNext w:val="0"/>
        <w:keepLines w:val="0"/>
        <w:pageBreakBefore w:val="0"/>
        <w:widowControl/>
        <w:numPr>
          <w:ilvl w:val="0"/>
          <w:numId w:val="3"/>
        </w:numPr>
        <w:kinsoku/>
        <w:wordWrap/>
        <w:overflowPunct/>
        <w:topLinePunct w:val="0"/>
        <w:autoSpaceDE/>
        <w:autoSpaceDN/>
        <w:bidi w:val="0"/>
        <w:adjustRightInd w:val="0"/>
        <w:snapToGrid w:val="0"/>
        <w:spacing w:line="600" w:lineRule="exact"/>
        <w:ind w:left="0" w:leftChars="0" w:firstLine="640" w:firstLineChars="200"/>
        <w:contextualSpacing/>
        <w:jc w:val="left"/>
        <w:textAlignment w:val="auto"/>
        <w:outlineLvl w:val="9"/>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改进建议</w:t>
      </w:r>
    </w:p>
    <w:p>
      <w:pPr>
        <w:pStyle w:val="2"/>
        <w:keepNext w:val="0"/>
        <w:keepLines w:val="0"/>
        <w:pageBreakBefore w:val="0"/>
        <w:numPr>
          <w:ilvl w:val="0"/>
          <w:numId w:val="0"/>
        </w:numPr>
        <w:kinsoku/>
        <w:wordWrap/>
        <w:overflowPunct/>
        <w:topLinePunct w:val="0"/>
        <w:autoSpaceDE/>
        <w:autoSpaceDN/>
        <w:bidi w:val="0"/>
        <w:spacing w:line="600" w:lineRule="exact"/>
        <w:ind w:leftChars="200"/>
        <w:textAlignment w:val="auto"/>
        <w:outlineLvl w:val="9"/>
        <w:rPr>
          <w:rFonts w:hint="eastAsia" w:ascii="仿宋_GB2312" w:hAnsi="宋体" w:eastAsia="仿宋_GB2312" w:cs="宋体"/>
          <w:color w:val="000000"/>
          <w:kern w:val="0"/>
          <w:sz w:val="32"/>
          <w:szCs w:val="32"/>
          <w:shd w:val="clear" w:color="auto" w:fill="FFFFFF"/>
          <w:lang w:val="zh-CN" w:eastAsia="zh-CN" w:bidi="ar-SA"/>
        </w:rPr>
      </w:pPr>
      <w:r>
        <w:rPr>
          <w:rFonts w:hint="eastAsia" w:ascii="仿宋_GB2312" w:hAnsi="宋体" w:eastAsia="仿宋_GB2312" w:cs="宋体"/>
          <w:color w:val="000000"/>
          <w:kern w:val="0"/>
          <w:sz w:val="32"/>
          <w:szCs w:val="32"/>
          <w:shd w:val="clear" w:color="auto" w:fill="FFFFFF"/>
          <w:lang w:val="en-US" w:eastAsia="zh-CN" w:bidi="ar-SA"/>
        </w:rPr>
        <w:t>加强预算精准度。</w:t>
      </w:r>
    </w:p>
    <w:sectPr>
      <w:headerReference r:id="rId3" w:type="default"/>
      <w:footerReference r:id="rId4" w:type="even"/>
      <w:pgSz w:w="11906" w:h="16838"/>
      <w:pgMar w:top="1134" w:right="1134" w:bottom="1134" w:left="1134"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altName w:val="微软雅黑"/>
    <w:panose1 w:val="02000000000000000000"/>
    <w:charset w:val="86"/>
    <w:family w:val="script"/>
    <w:pitch w:val="default"/>
    <w:sig w:usb0="00000000" w:usb1="00000000" w:usb2="00000000" w:usb3="00000000" w:csb0="00000000" w:csb1="00000000"/>
  </w:font>
  <w:font w:name="方正仿宋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2"/>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05DA59"/>
    <w:multiLevelType w:val="singleLevel"/>
    <w:tmpl w:val="CB05DA59"/>
    <w:lvl w:ilvl="0" w:tentative="0">
      <w:start w:val="2"/>
      <w:numFmt w:val="chineseCounting"/>
      <w:suff w:val="nothing"/>
      <w:lvlText w:val="（%1）"/>
      <w:lvlJc w:val="left"/>
      <w:rPr>
        <w:rFonts w:hint="eastAsia"/>
      </w:rPr>
    </w:lvl>
  </w:abstractNum>
  <w:abstractNum w:abstractNumId="1">
    <w:nsid w:val="27DB78B0"/>
    <w:multiLevelType w:val="singleLevel"/>
    <w:tmpl w:val="27DB78B0"/>
    <w:lvl w:ilvl="0" w:tentative="0">
      <w:start w:val="2"/>
      <w:numFmt w:val="chineseCounting"/>
      <w:suff w:val="nothing"/>
      <w:lvlText w:val="（%1）"/>
      <w:lvlJc w:val="left"/>
      <w:rPr>
        <w:rFonts w:hint="eastAsia"/>
      </w:rPr>
    </w:lvl>
  </w:abstractNum>
  <w:abstractNum w:abstractNumId="2">
    <w:nsid w:val="7B58A897"/>
    <w:multiLevelType w:val="singleLevel"/>
    <w:tmpl w:val="7B58A897"/>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OWUxNjFmMzVhYmRmMjFjZDYxYzZmMDA5NjI2ZjA5Zjc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18D17537"/>
    <w:rsid w:val="19927F78"/>
    <w:rsid w:val="1A963AC1"/>
    <w:rsid w:val="21AE59D8"/>
    <w:rsid w:val="286F56EA"/>
    <w:rsid w:val="2D527252"/>
    <w:rsid w:val="31E33143"/>
    <w:rsid w:val="329102D6"/>
    <w:rsid w:val="375715BB"/>
    <w:rsid w:val="38005CA3"/>
    <w:rsid w:val="3A2C2D70"/>
    <w:rsid w:val="3A9520B3"/>
    <w:rsid w:val="3A9F36C1"/>
    <w:rsid w:val="3DE562B7"/>
    <w:rsid w:val="3E6507EA"/>
    <w:rsid w:val="402A2B44"/>
    <w:rsid w:val="47550EBA"/>
    <w:rsid w:val="50BB3388"/>
    <w:rsid w:val="60AB70E7"/>
    <w:rsid w:val="61D34632"/>
    <w:rsid w:val="63AB6B27"/>
    <w:rsid w:val="63C10298"/>
    <w:rsid w:val="6636451A"/>
    <w:rsid w:val="6923324F"/>
    <w:rsid w:val="6ACF4648"/>
    <w:rsid w:val="6BE94116"/>
    <w:rsid w:val="73B50C1A"/>
    <w:rsid w:val="74FC6B54"/>
    <w:rsid w:val="78916378"/>
    <w:rsid w:val="79FD0A8F"/>
    <w:rsid w:val="7BC20073"/>
    <w:rsid w:val="7C631402"/>
    <w:rsid w:val="7DCC0F6E"/>
    <w:rsid w:val="7E140770"/>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iPriority="99" w:name="Body Text" w:locked="1"/>
    <w:lsdException w:qFormat="1" w:unhideWhenUsed="0" w:uiPriority="99" w:semiHidden="0"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7">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next w:val="1"/>
    <w:link w:val="13"/>
    <w:qFormat/>
    <w:uiPriority w:val="99"/>
    <w:pPr>
      <w:tabs>
        <w:tab w:val="center" w:pos="4153"/>
        <w:tab w:val="right" w:pos="8306"/>
      </w:tabs>
      <w:snapToGrid w:val="0"/>
      <w:jc w:val="left"/>
    </w:pPr>
    <w:rPr>
      <w:sz w:val="18"/>
      <w:szCs w:val="18"/>
    </w:rPr>
  </w:style>
  <w:style w:type="paragraph" w:styleId="3">
    <w:name w:val="Document Map"/>
    <w:basedOn w:val="1"/>
    <w:link w:val="11"/>
    <w:qFormat/>
    <w:uiPriority w:val="99"/>
    <w:rPr>
      <w:rFonts w:ascii="宋体"/>
      <w:sz w:val="18"/>
      <w:szCs w:val="18"/>
    </w:rPr>
  </w:style>
  <w:style w:type="paragraph" w:styleId="4">
    <w:name w:val="Body Text Indent"/>
    <w:basedOn w:val="1"/>
    <w:qFormat/>
    <w:locked/>
    <w:uiPriority w:val="99"/>
    <w:pPr>
      <w:spacing w:after="120"/>
      <w:ind w:left="420" w:leftChars="200"/>
    </w:pPr>
    <w:rPr>
      <w:szCs w:val="24"/>
    </w:rPr>
  </w:style>
  <w:style w:type="paragraph" w:styleId="5">
    <w:name w:val="Balloon Text"/>
    <w:basedOn w:val="1"/>
    <w:link w:val="12"/>
    <w:semiHidden/>
    <w:qFormat/>
    <w:uiPriority w:val="99"/>
    <w:rPr>
      <w:sz w:val="18"/>
      <w:szCs w:val="18"/>
    </w:rPr>
  </w:style>
  <w:style w:type="paragraph" w:styleId="6">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qFormat/>
    <w:uiPriority w:val="99"/>
    <w:rPr>
      <w:rFonts w:cs="Times New Roman"/>
    </w:rPr>
  </w:style>
  <w:style w:type="table" w:styleId="10">
    <w:name w:val="Table Grid"/>
    <w:basedOn w:val="9"/>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文档结构图 Char"/>
    <w:link w:val="3"/>
    <w:qFormat/>
    <w:locked/>
    <w:uiPriority w:val="99"/>
    <w:rPr>
      <w:rFonts w:ascii="宋体" w:cs="Times New Roman"/>
      <w:kern w:val="2"/>
      <w:sz w:val="18"/>
      <w:szCs w:val="18"/>
    </w:rPr>
  </w:style>
  <w:style w:type="character" w:customStyle="1" w:styleId="12">
    <w:name w:val="批注框文本 Char"/>
    <w:link w:val="5"/>
    <w:semiHidden/>
    <w:qFormat/>
    <w:locked/>
    <w:uiPriority w:val="99"/>
    <w:rPr>
      <w:rFonts w:cs="Times New Roman"/>
      <w:sz w:val="2"/>
    </w:rPr>
  </w:style>
  <w:style w:type="character" w:customStyle="1" w:styleId="13">
    <w:name w:val="页脚 Char"/>
    <w:link w:val="2"/>
    <w:qFormat/>
    <w:locked/>
    <w:uiPriority w:val="99"/>
    <w:rPr>
      <w:rFonts w:cs="Times New Roman"/>
      <w:kern w:val="2"/>
      <w:sz w:val="18"/>
      <w:szCs w:val="18"/>
    </w:rPr>
  </w:style>
  <w:style w:type="character" w:customStyle="1" w:styleId="14">
    <w:name w:val="页眉 Char"/>
    <w:link w:val="6"/>
    <w:semiHidden/>
    <w:qFormat/>
    <w:locked/>
    <w:uiPriority w:val="99"/>
    <w:rPr>
      <w:rFonts w:cs="Times New Roman"/>
      <w:sz w:val="18"/>
      <w:szCs w:val="18"/>
    </w:rPr>
  </w:style>
  <w:style w:type="paragraph" w:customStyle="1" w:styleId="15">
    <w:name w:val="四号正文"/>
    <w:basedOn w:val="1"/>
    <w:link w:val="16"/>
    <w:qFormat/>
    <w:uiPriority w:val="99"/>
    <w:pPr>
      <w:spacing w:line="360" w:lineRule="auto"/>
    </w:pPr>
    <w:rPr>
      <w:rFonts w:ascii="??" w:hAnsi="??" w:cs="宋体"/>
      <w:color w:val="000000"/>
      <w:kern w:val="0"/>
      <w:sz w:val="28"/>
      <w:szCs w:val="21"/>
    </w:rPr>
  </w:style>
  <w:style w:type="character" w:customStyle="1" w:styleId="16">
    <w:name w:val="四号正文 Char"/>
    <w:link w:val="15"/>
    <w:qFormat/>
    <w:locked/>
    <w:uiPriority w:val="99"/>
    <w:rPr>
      <w:rFonts w:ascii="??" w:hAnsi="??" w:eastAsia="宋体" w:cs="宋体"/>
      <w:color w:val="000000"/>
      <w:sz w:val="21"/>
      <w:szCs w:val="21"/>
      <w:lang w:val="en-US" w:eastAsia="zh-CN" w:bidi="ar-SA"/>
    </w:rPr>
  </w:style>
  <w:style w:type="paragraph" w:customStyle="1" w:styleId="17">
    <w:name w:val="a"/>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PSZX</Company>
  <Pages>2</Pages>
  <Words>63</Words>
  <Characters>361</Characters>
  <Lines>3</Lines>
  <Paragraphs>1</Paragraphs>
  <TotalTime>1</TotalTime>
  <ScaleCrop>false</ScaleCrop>
  <LinksUpToDate>false</LinksUpToDate>
  <CharactersWithSpaces>423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Administrator</cp:lastModifiedBy>
  <cp:lastPrinted>2022-03-15T02:17:00Z</cp:lastPrinted>
  <dcterms:modified xsi:type="dcterms:W3CDTF">2023-06-21T02:10:34Z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53B7F86B27C64309879EEE75FFE498EF</vt:lpwstr>
  </property>
</Properties>
</file>