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pPr>
        <w:pStyle w:val="6"/>
        <w:spacing w:line="600" w:lineRule="exact"/>
        <w:ind w:firstLine="883"/>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（行政事业单位科级及以下退休人员活动及管理经费）</w:t>
      </w:r>
    </w:p>
    <w:p>
      <w:pPr>
        <w:pStyle w:val="6"/>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bookmarkStart w:id="0" w:name="_GoBack"/>
      <w:bookmarkEnd w:id="0"/>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eastAsia" w:ascii="仿宋_GB2312" w:hAnsi="宋体"/>
          <w:lang w:val="zh-CN"/>
        </w:rPr>
      </w:pPr>
      <w:r>
        <w:rPr>
          <w:rFonts w:hint="eastAsia" w:ascii="仿宋_GB2312" w:hAnsi="宋体"/>
          <w:lang w:val="en-US" w:eastAsia="zh-CN"/>
        </w:rPr>
        <w:t>1.</w:t>
      </w:r>
      <w:r>
        <w:rPr>
          <w:rFonts w:hint="eastAsia" w:ascii="仿宋_GB2312" w:hAnsi="宋体"/>
          <w:lang w:val="zh-CN"/>
        </w:rPr>
        <w:t>说明项目主管部门（单位）在该项目管理中的职能。</w:t>
      </w:r>
    </w:p>
    <w:p>
      <w:pPr>
        <w:adjustRightInd w:val="0"/>
        <w:snapToGrid w:val="0"/>
        <w:spacing w:line="600" w:lineRule="exact"/>
        <w:ind w:firstLine="720"/>
        <w:rPr>
          <w:rFonts w:hint="eastAsia" w:ascii="仿宋_GB2312" w:hAnsi="宋体"/>
          <w:lang w:val="zh-CN"/>
        </w:rPr>
      </w:pPr>
      <w:r>
        <w:rPr>
          <w:rFonts w:hint="eastAsia" w:ascii="仿宋_GB2312" w:hAnsi="宋体"/>
          <w:lang w:val="zh-CN" w:eastAsia="zh-CN"/>
        </w:rPr>
        <w:t>我局负责行政事业单位科级及以下退休人员活动经费及活动组工作经费的申请、拨付、监管。</w:t>
      </w:r>
    </w:p>
    <w:p>
      <w:pPr>
        <w:numPr>
          <w:ilvl w:val="0"/>
          <w:numId w:val="0"/>
        </w:numPr>
        <w:adjustRightInd w:val="0"/>
        <w:snapToGrid w:val="0"/>
        <w:spacing w:line="600" w:lineRule="exact"/>
        <w:ind w:firstLine="640" w:firstLineChars="200"/>
        <w:rPr>
          <w:rFonts w:hint="eastAsia" w:ascii="仿宋_GB2312" w:hAnsi="宋体"/>
          <w:lang w:val="zh-CN"/>
        </w:rPr>
      </w:pPr>
      <w:r>
        <w:rPr>
          <w:rFonts w:hint="eastAsia" w:ascii="仿宋_GB2312" w:hAnsi="宋体"/>
          <w:lang w:val="en-US" w:eastAsia="zh-CN"/>
        </w:rPr>
        <w:t>2.</w:t>
      </w:r>
      <w:r>
        <w:rPr>
          <w:rFonts w:hint="eastAsia" w:ascii="仿宋_GB2312" w:hAnsi="宋体"/>
          <w:lang w:val="zh-CN"/>
        </w:rPr>
        <w:t>项目立项、资金申报的依据。</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eastAsia="仿宋_GB2312"/>
          <w:lang w:val="en-US" w:eastAsia="zh-CN"/>
        </w:rPr>
      </w:pPr>
      <w:r>
        <w:rPr>
          <w:rFonts w:hint="eastAsia" w:ascii="仿宋_GB2312" w:hAnsi="宋体"/>
          <w:lang w:val="zh-CN"/>
        </w:rPr>
        <w:t>根据峨边彝族自治县人民政府关于《关于增加机关事业单位科级及以下（含科级）退休人员活动经费预算的请示》议定事项的通知精神，从</w:t>
      </w:r>
      <w:r>
        <w:rPr>
          <w:rFonts w:hint="eastAsia" w:ascii="仿宋_GB2312" w:hAnsi="宋体"/>
          <w:lang w:val="en-US" w:eastAsia="zh-CN"/>
        </w:rPr>
        <w:t>2018年7月起将我县退休人员活动经费调整为800元/年.人</w:t>
      </w:r>
      <w:r>
        <w:rPr>
          <w:rFonts w:hint="eastAsia" w:ascii="仿宋_GB2312" w:hAnsi="宋体"/>
          <w:lang w:val="zh-CN"/>
        </w:rPr>
        <w:t>。</w:t>
      </w:r>
    </w:p>
    <w:p>
      <w:pPr>
        <w:numPr>
          <w:ilvl w:val="0"/>
          <w:numId w:val="0"/>
        </w:numPr>
        <w:adjustRightInd w:val="0"/>
        <w:snapToGrid w:val="0"/>
        <w:spacing w:line="600" w:lineRule="exact"/>
        <w:ind w:firstLine="640" w:firstLineChars="200"/>
        <w:rPr>
          <w:rFonts w:hint="eastAsia" w:ascii="仿宋_GB2312" w:hAnsi="宋体"/>
          <w:lang w:val="zh-CN"/>
        </w:rPr>
      </w:pPr>
      <w:r>
        <w:rPr>
          <w:rFonts w:hint="eastAsia" w:ascii="仿宋_GB2312" w:hAnsi="宋体"/>
          <w:lang w:val="en-US" w:eastAsia="zh-CN"/>
        </w:rPr>
        <w:t>3.</w:t>
      </w:r>
      <w:r>
        <w:rPr>
          <w:rFonts w:hint="eastAsia" w:ascii="仿宋_GB2312" w:hAnsi="宋体"/>
          <w:lang w:val="zh-CN"/>
        </w:rPr>
        <w:t>资金管理办法制定情况，资金支持具体项目的条件、</w:t>
      </w:r>
    </w:p>
    <w:p>
      <w:pPr>
        <w:numPr>
          <w:ilvl w:val="0"/>
          <w:numId w:val="0"/>
        </w:numPr>
        <w:adjustRightInd w:val="0"/>
        <w:snapToGrid w:val="0"/>
        <w:spacing w:line="600" w:lineRule="exact"/>
        <w:rPr>
          <w:rFonts w:hint="eastAsia" w:ascii="仿宋_GB2312" w:hAnsi="宋体"/>
          <w:lang w:val="zh-CN"/>
        </w:rPr>
      </w:pPr>
      <w:r>
        <w:rPr>
          <w:rFonts w:hint="eastAsia" w:ascii="仿宋_GB2312" w:hAnsi="宋体"/>
          <w:lang w:val="zh-CN"/>
        </w:rPr>
        <w:t>范围与支持方式概况。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根据《峨边彝族自治县科级及以下退休人员活动经费使用管理办法》要求使用资金。</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720" w:leftChars="0"/>
        <w:textAlignment w:val="auto"/>
        <w:rPr>
          <w:rFonts w:hint="eastAsia" w:ascii="仿宋_GB2312" w:hAnsi="宋体"/>
          <w:lang w:val="zh-CN"/>
        </w:rPr>
      </w:pPr>
      <w:r>
        <w:rPr>
          <w:rFonts w:hint="eastAsia" w:ascii="仿宋" w:hAnsi="仿宋" w:eastAsia="仿宋" w:cs="仿宋"/>
          <w:b w:val="0"/>
          <w:bCs/>
          <w:lang w:val="zh-CN"/>
        </w:rPr>
        <w:t>该经费</w:t>
      </w:r>
      <w:r>
        <w:rPr>
          <w:rFonts w:hint="eastAsia" w:ascii="仿宋_GB2312" w:hAnsi="宋体"/>
          <w:lang w:val="zh-CN"/>
        </w:rPr>
        <w:t>由各活动组统一掌握使用，主要用于购买学习资</w:t>
      </w:r>
    </w:p>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仿宋_GB2312" w:hAnsi="宋体"/>
          <w:lang w:val="zh-CN"/>
        </w:rPr>
      </w:pPr>
      <w:r>
        <w:rPr>
          <w:rFonts w:hint="eastAsia" w:ascii="仿宋_GB2312" w:hAnsi="宋体"/>
          <w:lang w:val="zh-CN"/>
        </w:rPr>
        <w:t>料、订阅报刊杂志、组织开展活动和看望病员、节日慰问等。</w:t>
      </w:r>
    </w:p>
    <w:p>
      <w:pPr>
        <w:numPr>
          <w:ilvl w:val="0"/>
          <w:numId w:val="0"/>
        </w:numPr>
        <w:adjustRightInd w:val="0"/>
        <w:snapToGrid w:val="0"/>
        <w:spacing w:line="600" w:lineRule="exact"/>
        <w:ind w:firstLine="640" w:firstLineChars="200"/>
        <w:rPr>
          <w:rFonts w:hint="eastAsia" w:ascii="仿宋_GB2312" w:hAnsi="宋体"/>
          <w:lang w:val="zh-CN"/>
        </w:rPr>
      </w:pPr>
      <w:r>
        <w:rPr>
          <w:rFonts w:hint="eastAsia" w:ascii="仿宋_GB2312" w:hAnsi="宋体"/>
          <w:lang w:val="en-US" w:eastAsia="zh-CN"/>
        </w:rPr>
        <w:t>4.</w:t>
      </w:r>
      <w:r>
        <w:rPr>
          <w:rFonts w:hint="eastAsia" w:ascii="仿宋_GB2312" w:hAnsi="宋体"/>
          <w:lang w:val="zh-CN"/>
        </w:rPr>
        <w:t>资金分配的原则及考虑因素。</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根据实际人数，按标准拨付。</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zh-CN"/>
        </w:rPr>
      </w:pPr>
      <w:r>
        <w:rPr>
          <w:rFonts w:hint="eastAsia" w:ascii="仿宋_GB2312" w:hAnsi="宋体"/>
          <w:lang w:val="en-US" w:eastAsia="zh-CN"/>
        </w:rPr>
        <w:t>1.</w:t>
      </w:r>
      <w:r>
        <w:rPr>
          <w:rFonts w:hint="eastAsia" w:ascii="仿宋_GB2312" w:hAnsi="宋体"/>
          <w:lang w:val="zh-CN"/>
        </w:rPr>
        <w:t>项目主要内容。</w:t>
      </w:r>
    </w:p>
    <w:p>
      <w:pPr>
        <w:adjustRightInd w:val="0"/>
        <w:snapToGrid w:val="0"/>
        <w:spacing w:line="600" w:lineRule="exact"/>
        <w:ind w:firstLine="720"/>
        <w:rPr>
          <w:rFonts w:hint="eastAsia" w:ascii="仿宋_GB2312" w:hAnsi="宋体"/>
          <w:lang w:val="zh-CN"/>
        </w:rPr>
      </w:pPr>
      <w:r>
        <w:rPr>
          <w:rFonts w:hint="eastAsia" w:ascii="仿宋" w:hAnsi="仿宋" w:eastAsia="仿宋" w:cs="仿宋"/>
          <w:b w:val="0"/>
          <w:bCs/>
          <w:lang w:val="zh-CN"/>
        </w:rPr>
        <w:t>该经费</w:t>
      </w:r>
      <w:r>
        <w:rPr>
          <w:rFonts w:hint="eastAsia" w:ascii="仿宋_GB2312" w:hAnsi="宋体"/>
          <w:lang w:val="zh-CN"/>
        </w:rPr>
        <w:t>由各活动组统一掌握使用，主要用于购买学习资料、订阅报刊杂志、组织开展活动和看望病员、节日慰问等。</w:t>
      </w:r>
    </w:p>
    <w:p>
      <w:pPr>
        <w:numPr>
          <w:ilvl w:val="0"/>
          <w:numId w:val="0"/>
        </w:numPr>
        <w:adjustRightInd w:val="0"/>
        <w:snapToGrid w:val="0"/>
        <w:spacing w:line="600" w:lineRule="exact"/>
        <w:ind w:firstLine="640" w:firstLineChars="200"/>
        <w:rPr>
          <w:rFonts w:hint="eastAsia" w:ascii="仿宋_GB2312" w:hAnsi="宋体"/>
          <w:lang w:val="zh-CN"/>
        </w:rPr>
      </w:pPr>
      <w:r>
        <w:rPr>
          <w:rFonts w:hint="eastAsia" w:ascii="仿宋_GB2312" w:hAnsi="宋体"/>
          <w:lang w:val="en-US" w:eastAsia="zh-CN"/>
        </w:rPr>
        <w:t>2.</w:t>
      </w:r>
      <w:r>
        <w:rPr>
          <w:rFonts w:hint="eastAsia" w:ascii="仿宋_GB2312" w:hAnsi="宋体"/>
          <w:lang w:val="zh-CN"/>
        </w:rPr>
        <w:t>项目应实现的具体绩效目标，包括目标的量化、细化情况以及项目实施进度计划等。</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按实际人数半年拨付一次，每人</w:t>
      </w:r>
      <w:r>
        <w:rPr>
          <w:rFonts w:hint="eastAsia" w:ascii="仿宋_GB2312" w:hAnsi="宋体"/>
          <w:lang w:val="en-US" w:eastAsia="zh-CN"/>
        </w:rPr>
        <w:t>800元每年，2022年共1879名退休人员，实际拨付活动经费158.64万元，于2022年11月30日前全面完成,活动小组工作经费9万元一年拨付一次。</w:t>
      </w:r>
    </w:p>
    <w:p>
      <w:pPr>
        <w:numPr>
          <w:ilvl w:val="0"/>
          <w:numId w:val="0"/>
        </w:numPr>
        <w:adjustRightInd w:val="0"/>
        <w:snapToGrid w:val="0"/>
        <w:spacing w:line="600" w:lineRule="exact"/>
        <w:ind w:firstLine="640" w:firstLineChars="200"/>
        <w:rPr>
          <w:rFonts w:hint="eastAsia" w:ascii="仿宋_GB2312" w:hAnsi="宋体"/>
          <w:lang w:val="zh-CN"/>
        </w:rPr>
      </w:pPr>
      <w:r>
        <w:rPr>
          <w:rFonts w:hint="eastAsia" w:ascii="仿宋_GB2312" w:hAnsi="宋体"/>
          <w:lang w:val="en-US" w:eastAsia="zh-CN"/>
        </w:rPr>
        <w:t>3.</w:t>
      </w:r>
      <w:r>
        <w:rPr>
          <w:rFonts w:hint="eastAsia" w:ascii="仿宋_GB2312" w:hAnsi="宋体"/>
          <w:lang w:val="zh-CN"/>
        </w:rPr>
        <w:t>分析评价申报内容是否与实际相符，申报目标是否合理可行。</w:t>
      </w:r>
    </w:p>
    <w:p>
      <w:pPr>
        <w:numPr>
          <w:ilvl w:val="0"/>
          <w:numId w:val="0"/>
        </w:numPr>
        <w:adjustRightInd w:val="0"/>
        <w:snapToGrid w:val="0"/>
        <w:spacing w:line="600" w:lineRule="exact"/>
        <w:ind w:left="720" w:leftChars="0"/>
        <w:rPr>
          <w:rFonts w:hint="eastAsia" w:ascii="仿宋_GB2312" w:hAnsi="宋体" w:eastAsia="仿宋_GB2312"/>
          <w:lang w:val="en-US" w:eastAsia="zh-CN"/>
        </w:rPr>
      </w:pPr>
      <w:r>
        <w:rPr>
          <w:rFonts w:hint="eastAsia" w:ascii="仿宋_GB2312" w:hAnsi="宋体"/>
          <w:lang w:val="zh-CN"/>
        </w:rPr>
        <w:t>申报内容与实际相符，申报目标合理可行。</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项目绩效自评采用项目支出绩效评价指标体系进行。</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en-US" w:eastAsia="zh-CN"/>
        </w:rPr>
        <w:t>行政事业单位科级及以下退休人员活动经费（按实）</w:t>
      </w:r>
      <w:r>
        <w:rPr>
          <w:rFonts w:hint="eastAsia" w:ascii="仿宋_GB2312" w:hAnsi="宋体"/>
          <w:u w:val="none"/>
          <w:lang w:val="en-US" w:eastAsia="zh-CN"/>
        </w:rPr>
        <w:t>项目，2022年预算批复资金</w:t>
      </w:r>
      <w:r>
        <w:rPr>
          <w:rFonts w:hint="eastAsia" w:ascii="仿宋_GB2312" w:hAnsi="宋体"/>
          <w:lang w:val="en-US" w:eastAsia="zh-CN"/>
        </w:rPr>
        <w:t>158.64</w:t>
      </w:r>
      <w:r>
        <w:rPr>
          <w:rFonts w:hint="eastAsia" w:ascii="仿宋_GB2312" w:hAnsi="宋体"/>
          <w:u w:val="none"/>
          <w:lang w:val="en-US" w:eastAsia="zh-CN"/>
        </w:rPr>
        <w:t>万元，该项目资金全部是县级资金。</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（二）资金计划、到位及使用情况（可用表格形式反映）。</w:t>
      </w:r>
    </w:p>
    <w:p>
      <w:pPr>
        <w:adjustRightInd w:val="0"/>
        <w:snapToGrid w:val="0"/>
        <w:spacing w:line="600" w:lineRule="exact"/>
        <w:ind w:firstLine="720"/>
        <w:rPr>
          <w:rFonts w:ascii="仿宋_GB2312" w:hAnsi="宋体"/>
          <w:lang w:val="zh-CN"/>
        </w:rPr>
      </w:pPr>
      <w:r>
        <w:rPr>
          <w:rFonts w:hint="eastAsia" w:ascii="楷体_GB2312" w:hAnsi="宋体" w:eastAsia="楷体_GB2312"/>
          <w:lang w:val="en-US" w:eastAsia="zh-CN"/>
        </w:rPr>
        <w:t>1.</w:t>
      </w:r>
      <w:r>
        <w:rPr>
          <w:rFonts w:hint="eastAsia" w:ascii="楷体_GB2312" w:hAnsi="宋体" w:eastAsia="楷体_GB2312"/>
          <w:lang w:val="zh-CN"/>
        </w:rPr>
        <w:t>资金计划。</w:t>
      </w:r>
      <w:r>
        <w:rPr>
          <w:rFonts w:hint="eastAsia" w:ascii="仿宋_GB2312" w:hAnsi="宋体"/>
          <w:lang w:val="en-US" w:eastAsia="zh-CN"/>
        </w:rPr>
        <w:t>行政事业单位科级及以下退休人员活动经费（按实）</w:t>
      </w:r>
      <w:r>
        <w:rPr>
          <w:rFonts w:hint="eastAsia" w:ascii="仿宋_GB2312" w:hAnsi="宋体"/>
          <w:u w:val="none"/>
          <w:lang w:val="en-US" w:eastAsia="zh-CN"/>
        </w:rPr>
        <w:t>项目为县级资金，在</w:t>
      </w:r>
      <w:r>
        <w:rPr>
          <w:rFonts w:hint="eastAsia" w:ascii="仿宋_GB2312" w:hAnsi="宋体"/>
          <w:lang w:val="zh-CN"/>
        </w:rPr>
        <w:t>资金计划的基础上，全额按实拨付。</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en-US" w:eastAsia="zh-CN"/>
        </w:rPr>
        <w:t>2.</w:t>
      </w:r>
      <w:r>
        <w:rPr>
          <w:rFonts w:hint="eastAsia" w:ascii="楷体_GB2312" w:hAnsi="宋体" w:eastAsia="楷体_GB2312"/>
          <w:lang w:val="zh-CN"/>
        </w:rPr>
        <w:t>资金到位。</w:t>
      </w:r>
      <w:r>
        <w:rPr>
          <w:rFonts w:hint="eastAsia" w:ascii="仿宋_GB2312" w:hAnsi="宋体"/>
          <w:u w:val="none"/>
          <w:lang w:val="zh-CN" w:eastAsia="zh-CN"/>
        </w:rPr>
        <w:t>截止</w:t>
      </w:r>
      <w:r>
        <w:rPr>
          <w:rFonts w:hint="eastAsia" w:ascii="仿宋_GB2312" w:hAnsi="宋体"/>
          <w:u w:val="none"/>
          <w:lang w:val="en-US" w:eastAsia="zh-CN"/>
        </w:rPr>
        <w:t>2022年11月30日，</w:t>
      </w:r>
      <w:r>
        <w:rPr>
          <w:rFonts w:hint="eastAsia" w:ascii="仿宋_GB2312" w:hAnsi="宋体"/>
          <w:lang w:val="en-US" w:eastAsia="zh-CN"/>
        </w:rPr>
        <w:t>行政事业单位科级及以下退休人员活动经费（按实）</w:t>
      </w:r>
      <w:r>
        <w:rPr>
          <w:rFonts w:hint="eastAsia" w:ascii="仿宋_GB2312" w:hAnsi="宋体"/>
          <w:u w:val="none"/>
          <w:lang w:val="en-US" w:eastAsia="zh-CN"/>
        </w:rPr>
        <w:t>项目在</w:t>
      </w:r>
      <w:r>
        <w:rPr>
          <w:rFonts w:hint="eastAsia" w:ascii="仿宋_GB2312" w:hAnsi="宋体"/>
          <w:lang w:val="zh-CN"/>
        </w:rPr>
        <w:t>资金到位</w:t>
      </w:r>
      <w:r>
        <w:rPr>
          <w:rFonts w:hint="eastAsia" w:ascii="仿宋_GB2312" w:hAnsi="宋体"/>
          <w:lang w:val="en-US" w:eastAsia="zh-CN"/>
        </w:rPr>
        <w:t>158.64万元</w:t>
      </w:r>
      <w:r>
        <w:rPr>
          <w:rFonts w:hint="eastAsia" w:ascii="仿宋_GB2312" w:hAnsi="宋体"/>
          <w:lang w:val="zh-CN"/>
        </w:rPr>
        <w:t>。资金到位情况与资金计划进行比对，到位比例</w:t>
      </w:r>
      <w:r>
        <w:rPr>
          <w:rFonts w:hint="eastAsia" w:ascii="仿宋_GB2312" w:hAnsi="宋体"/>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en-US" w:eastAsia="zh-CN"/>
        </w:rPr>
        <w:t>3.</w:t>
      </w:r>
      <w:r>
        <w:rPr>
          <w:rFonts w:hint="eastAsia" w:ascii="楷体_GB2312" w:hAnsi="宋体" w:eastAsia="楷体_GB2312"/>
          <w:lang w:val="zh-CN"/>
        </w:rPr>
        <w:t>资金使用。</w:t>
      </w:r>
      <w:r>
        <w:rPr>
          <w:rFonts w:hint="eastAsia" w:ascii="仿宋_GB2312" w:hAnsi="宋体"/>
          <w:u w:val="none"/>
          <w:lang w:val="zh-CN" w:eastAsia="zh-CN"/>
        </w:rPr>
        <w:t>截止</w:t>
      </w:r>
      <w:r>
        <w:rPr>
          <w:rFonts w:hint="eastAsia" w:ascii="仿宋_GB2312" w:hAnsi="宋体"/>
          <w:u w:val="none"/>
          <w:lang w:val="en-US" w:eastAsia="zh-CN"/>
        </w:rPr>
        <w:t>2022年11月30日，</w:t>
      </w:r>
      <w:r>
        <w:rPr>
          <w:rFonts w:hint="eastAsia" w:ascii="仿宋_GB2312" w:hAnsi="宋体"/>
          <w:lang w:val="en-US" w:eastAsia="zh-CN"/>
        </w:rPr>
        <w:t>行政事业单位科级及以下退休人员活动经费（按实）</w:t>
      </w:r>
      <w:r>
        <w:rPr>
          <w:rFonts w:hint="eastAsia" w:ascii="仿宋_GB2312" w:hAnsi="宋体"/>
          <w:u w:val="none"/>
          <w:lang w:val="en-US" w:eastAsia="zh-CN"/>
        </w:rPr>
        <w:t>项目在</w:t>
      </w:r>
      <w:r>
        <w:rPr>
          <w:rFonts w:hint="eastAsia" w:ascii="仿宋_GB2312" w:hAnsi="宋体"/>
          <w:lang w:val="zh-CN"/>
        </w:rPr>
        <w:t>资金使用</w:t>
      </w:r>
      <w:r>
        <w:rPr>
          <w:rFonts w:hint="eastAsia" w:ascii="仿宋_GB2312" w:hAnsi="宋体"/>
          <w:lang w:val="en-US" w:eastAsia="zh-CN"/>
        </w:rPr>
        <w:t>158.64万元，使用比例100 %。资金支付合规合法，资金使用与预算相符。</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项目实施单位财务管理制度健全，严格执行财务管理制度，账务处理及时，会计核算规范。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（一）项目组织架构及实施流程。</w:t>
      </w:r>
    </w:p>
    <w:p>
      <w:pPr>
        <w:adjustRightInd w:val="0"/>
        <w:snapToGrid w:val="0"/>
        <w:spacing w:line="600" w:lineRule="exact"/>
        <w:ind w:firstLine="720"/>
        <w:rPr>
          <w:rFonts w:ascii="楷体_GB2312" w:hAnsi="宋体" w:eastAsia="楷体_GB2312"/>
          <w:b/>
          <w:lang w:val="zh-CN"/>
        </w:rPr>
      </w:pPr>
      <w:r>
        <w:rPr>
          <w:rFonts w:hint="eastAsia" w:ascii="仿宋" w:hAnsi="仿宋" w:eastAsia="仿宋" w:cs="仿宋"/>
          <w:b w:val="0"/>
          <w:bCs/>
          <w:lang w:val="en-US" w:eastAsia="zh-CN"/>
        </w:rPr>
        <w:t>根据事管股核定实际人数拨付资金。</w:t>
      </w:r>
    </w:p>
    <w:p>
      <w:pPr>
        <w:numPr>
          <w:ilvl w:val="0"/>
          <w:numId w:val="1"/>
        </w:num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项目管理情况。</w:t>
      </w:r>
    </w:p>
    <w:p>
      <w:pPr>
        <w:numPr>
          <w:ilvl w:val="0"/>
          <w:numId w:val="0"/>
        </w:numPr>
        <w:adjustRightInd w:val="0"/>
        <w:snapToGrid w:val="0"/>
        <w:spacing w:line="600" w:lineRule="exact"/>
        <w:ind w:firstLine="640" w:firstLineChars="200"/>
        <w:rPr>
          <w:rFonts w:ascii="仿宋_GB2312" w:hAnsi="宋体"/>
          <w:lang w:val="zh-CN"/>
        </w:rPr>
      </w:pPr>
      <w:r>
        <w:rPr>
          <w:rFonts w:hint="eastAsia" w:ascii="仿宋" w:hAnsi="仿宋" w:eastAsia="仿宋" w:cs="仿宋"/>
          <w:b w:val="0"/>
          <w:bCs/>
          <w:lang w:val="zh-CN"/>
        </w:rPr>
        <w:t>严格按照管理办法执行，符合管理制度</w:t>
      </w:r>
    </w:p>
    <w:p>
      <w:pPr>
        <w:numPr>
          <w:ilvl w:val="0"/>
          <w:numId w:val="1"/>
        </w:numPr>
        <w:adjustRightInd w:val="0"/>
        <w:snapToGrid w:val="0"/>
        <w:spacing w:line="600" w:lineRule="exact"/>
        <w:ind w:left="0" w:leftChars="0" w:firstLine="720" w:firstLineChars="0"/>
        <w:rPr>
          <w:rFonts w:hint="eastAsia" w:ascii="楷体_GB2312" w:hAnsi="宋体" w:eastAsia="楷体_GB2312"/>
          <w:b/>
          <w:lang w:val="zh-CN"/>
        </w:rPr>
      </w:pPr>
      <w:r>
        <w:rPr>
          <w:rFonts w:hint="eastAsia" w:ascii="楷体_GB2312" w:hAnsi="宋体" w:eastAsia="楷体_GB2312"/>
          <w:b/>
          <w:lang w:val="zh-CN"/>
        </w:rPr>
        <w:t>项目监管情况。</w:t>
      </w:r>
    </w:p>
    <w:p>
      <w:pPr>
        <w:numPr>
          <w:ilvl w:val="0"/>
          <w:numId w:val="0"/>
        </w:numPr>
        <w:adjustRightInd w:val="0"/>
        <w:snapToGrid w:val="0"/>
        <w:spacing w:line="600" w:lineRule="exact"/>
        <w:ind w:firstLine="640" w:firstLineChars="200"/>
        <w:rPr>
          <w:rFonts w:hint="eastAsia" w:ascii="楷体_GB2312" w:hAnsi="宋体" w:eastAsia="楷体_GB2312"/>
          <w:b/>
          <w:lang w:val="zh-CN"/>
        </w:rPr>
      </w:pPr>
      <w:r>
        <w:rPr>
          <w:rFonts w:hint="eastAsia" w:ascii="仿宋_GB2312" w:hAnsi="宋体"/>
          <w:lang w:val="zh-CN"/>
        </w:rPr>
        <w:t>本项目执行纳入动态管理，即时关注人员变动情况，实施动态管理，每半年调整一次。</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720" w:leftChars="0"/>
        <w:textAlignment w:val="auto"/>
        <w:rPr>
          <w:rFonts w:hint="eastAsia" w:ascii="仿宋_GB2312" w:hAnsi="宋体"/>
          <w:lang w:val="zh-CN"/>
        </w:rPr>
      </w:pPr>
      <w:r>
        <w:rPr>
          <w:rFonts w:hint="eastAsia" w:ascii="仿宋" w:hAnsi="仿宋" w:eastAsia="仿宋" w:cs="仿宋"/>
          <w:b w:val="0"/>
          <w:bCs/>
          <w:lang w:val="zh-CN"/>
        </w:rPr>
        <w:t>该经费</w:t>
      </w:r>
      <w:r>
        <w:rPr>
          <w:rFonts w:hint="eastAsia" w:ascii="仿宋_GB2312" w:hAnsi="宋体"/>
          <w:lang w:val="zh-CN"/>
        </w:rPr>
        <w:t>由各活动组统一掌握使用，主要用于购买学习资料、</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en-US" w:eastAsia="zh-CN"/>
        </w:rPr>
      </w:pPr>
      <w:r>
        <w:rPr>
          <w:rFonts w:hint="eastAsia" w:ascii="仿宋_GB2312" w:hAnsi="宋体"/>
          <w:lang w:val="zh-CN"/>
        </w:rPr>
        <w:t>订阅报刊杂志、组织开展活动和看望病员、节日慰问等。按实际人数半年拨付一次，每人</w:t>
      </w:r>
      <w:r>
        <w:rPr>
          <w:rFonts w:hint="eastAsia" w:ascii="仿宋_GB2312" w:hAnsi="宋体"/>
          <w:lang w:val="en-US" w:eastAsia="zh-CN"/>
        </w:rPr>
        <w:t>800元每年，2022年共1879名退休人员，实际拨付资金158.64万元，于2022年11月30日前全面完成。满意度达95%以上。</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lang w:val="en-US" w:eastAsia="zh-CN"/>
        </w:rPr>
      </w:pPr>
      <w:r>
        <w:rPr>
          <w:rFonts w:hint="eastAsia" w:ascii="仿宋_GB2312" w:hAnsi="宋体"/>
          <w:lang w:val="en-US" w:eastAsia="zh-CN"/>
        </w:rPr>
        <w:t>该项目的实施，充实了机关事业单位科级及以下退休人员退休生活、提升退休生活质量，提高社会满意度。</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widowControl/>
        <w:adjustRightInd w:val="0"/>
        <w:snapToGrid w:val="0"/>
        <w:spacing w:line="580" w:lineRule="exact"/>
        <w:ind w:firstLine="640" w:firstLineChars="200"/>
        <w:contextualSpacing/>
        <w:jc w:val="left"/>
        <w:rPr>
          <w:rFonts w:ascii="仿宋_GB2312" w:hAnsi="宋体"/>
          <w:bdr w:val="single" w:color="auto" w:sz="4" w:space="0"/>
          <w:lang w:val="zh-CN"/>
        </w:rPr>
      </w:pPr>
      <w:r>
        <w:rPr>
          <w:rFonts w:hint="eastAsia" w:ascii="仿宋_GB2312" w:hAnsi="宋体"/>
          <w:lang w:val="zh-CN"/>
        </w:rPr>
        <w:t>结</w:t>
      </w:r>
      <w:r>
        <w:rPr>
          <w:rFonts w:hint="eastAsia" w:ascii="仿宋_GB2312" w:hAnsi="宋体" w:cs="宋体"/>
          <w:color w:val="000000"/>
          <w:kern w:val="0"/>
          <w:szCs w:val="32"/>
          <w:shd w:val="clear" w:color="auto" w:fill="FFFFFF"/>
          <w:lang w:val="zh-CN"/>
        </w:rPr>
        <w:t>根据《峨边彝族自治县财政局 关于开展20</w:t>
      </w:r>
      <w:r>
        <w:rPr>
          <w:rFonts w:hint="eastAsia" w:ascii="仿宋_GB2312" w:hAnsi="宋体" w:cs="宋体"/>
          <w:color w:val="000000"/>
          <w:kern w:val="0"/>
          <w:szCs w:val="32"/>
          <w:shd w:val="clear" w:color="auto" w:fill="FFFFFF"/>
          <w:lang w:val="en-US" w:eastAsia="zh-CN"/>
        </w:rPr>
        <w:t>22</w:t>
      </w:r>
      <w:r>
        <w:rPr>
          <w:rFonts w:hint="eastAsia" w:ascii="仿宋_GB2312" w:hAnsi="宋体" w:cs="宋体"/>
          <w:color w:val="000000"/>
          <w:kern w:val="0"/>
          <w:szCs w:val="32"/>
          <w:shd w:val="clear" w:color="auto" w:fill="FFFFFF"/>
          <w:lang w:val="zh-CN"/>
        </w:rPr>
        <w:t>年部门整体、项目和政策支出绩效评价工作的通知》文件精神，</w:t>
      </w:r>
      <w:r>
        <w:rPr>
          <w:rFonts w:hint="eastAsia" w:ascii="仿宋_GB2312" w:hAnsi="宋体" w:cs="宋体"/>
          <w:color w:val="000000"/>
          <w:kern w:val="0"/>
          <w:szCs w:val="32"/>
          <w:shd w:val="clear" w:color="auto" w:fill="FFFFFF"/>
          <w:lang w:val="en-US" w:eastAsia="zh-CN"/>
        </w:rPr>
        <w:t>我单位认真组织开展了部门整体支出绩效评价工作，绩效评价自评</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lang w:val="en-US" w:eastAsia="zh-CN"/>
        </w:rPr>
        <w:t>98</w:t>
      </w:r>
      <w:r>
        <w:rPr>
          <w:rFonts w:hint="eastAsia" w:ascii="仿宋_GB2312" w:hAnsi="宋体" w:cs="宋体"/>
          <w:color w:val="000000"/>
          <w:kern w:val="0"/>
          <w:szCs w:val="32"/>
          <w:shd w:val="clear" w:color="auto" w:fill="FFFFFF"/>
          <w:lang w:val="zh-CN"/>
        </w:rPr>
        <w:t>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widowControl/>
        <w:adjustRightInd w:val="0"/>
        <w:snapToGrid w:val="0"/>
        <w:spacing w:line="580" w:lineRule="exact"/>
        <w:ind w:firstLine="640" w:firstLineChars="200"/>
        <w:contextualSpacing/>
        <w:jc w:val="left"/>
        <w:rPr>
          <w:rFonts w:ascii="仿宋_GB2312" w:hAnsi="宋体"/>
          <w:lang w:val="zh-CN"/>
        </w:rPr>
      </w:pPr>
      <w:r>
        <w:rPr>
          <w:rFonts w:hint="eastAsia" w:ascii="仿宋" w:hAnsi="仿宋" w:eastAsia="仿宋" w:cs="仿宋"/>
          <w:b w:val="0"/>
          <w:bCs/>
          <w:lang w:val="zh-CN"/>
        </w:rPr>
        <w:t>还需进一步持续加强资金监管。</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720"/>
      </w:pPr>
      <w:r>
        <w:rPr>
          <w:rFonts w:hint="eastAsia" w:ascii="仿宋_GB2312" w:hAnsi="宋体" w:cs="宋体"/>
          <w:color w:val="000000"/>
          <w:kern w:val="0"/>
          <w:szCs w:val="32"/>
          <w:shd w:val="clear" w:color="auto" w:fill="FFFFFF"/>
          <w:lang w:val="en-US" w:eastAsia="zh-CN"/>
        </w:rPr>
        <w:t xml:space="preserve"> 由于退休人员人数众多，活动组较多，资金监管难度大，</w:t>
      </w:r>
      <w:r>
        <w:rPr>
          <w:rFonts w:hint="eastAsia" w:ascii="仿宋" w:hAnsi="仿宋" w:eastAsia="仿宋" w:cs="仿宋"/>
          <w:b w:val="0"/>
          <w:bCs/>
          <w:lang w:val="zh-CN"/>
        </w:rPr>
        <w:t>建议活动经费由财政对各预算单位直接拨付，分散监管。</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23486F"/>
    <w:multiLevelType w:val="singleLevel"/>
    <w:tmpl w:val="B623486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129116A9"/>
    <w:rsid w:val="19B536B9"/>
    <w:rsid w:val="1C842E84"/>
    <w:rsid w:val="291C455A"/>
    <w:rsid w:val="2A502512"/>
    <w:rsid w:val="36926D0C"/>
    <w:rsid w:val="414A628B"/>
    <w:rsid w:val="53253CCF"/>
    <w:rsid w:val="673E27F9"/>
    <w:rsid w:val="6A457876"/>
    <w:rsid w:val="6EF16389"/>
    <w:rsid w:val="74276058"/>
    <w:rsid w:val="79016D9C"/>
    <w:rsid w:val="7B23700B"/>
    <w:rsid w:val="7BA70715"/>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1450</Words>
  <Characters>1540</Characters>
  <Lines>9</Lines>
  <Paragraphs>2</Paragraphs>
  <TotalTime>1</TotalTime>
  <ScaleCrop>false</ScaleCrop>
  <LinksUpToDate>false</LinksUpToDate>
  <CharactersWithSpaces>1545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2023-11-24T06:58:32Z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2295F6004E7C4908A6170C90E5C595B7</vt:lpwstr>
  </property>
</Properties>
</file>