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方正黑体_GBK" w:hAnsi="SimSun" w:eastAsia="方正黑体_GBK"/>
          <w:sz w:val="33"/>
          <w:szCs w:val="33"/>
          <w:lang w:val="en-US" w:eastAsia="zh-CN"/>
        </w:rPr>
      </w:pPr>
      <w:r>
        <w:rPr>
          <w:rFonts w:hint="eastAsia" w:ascii="方正黑体_GBK" w:hAnsi="SimSun" w:eastAsia="方正黑体_GBK"/>
          <w:sz w:val="33"/>
          <w:szCs w:val="33"/>
          <w:lang w:val="zh-CN"/>
        </w:rPr>
        <w:t>附件</w:t>
      </w:r>
      <w:r>
        <w:rPr>
          <w:rFonts w:hint="eastAsia" w:ascii="方正黑体_GBK" w:hAnsi="SimSun" w:eastAsia="方正黑体_GBK"/>
          <w:sz w:val="33"/>
          <w:szCs w:val="33"/>
          <w:lang w:val="en-US" w:eastAsia="zh-CN"/>
        </w:rPr>
        <w:t>2</w:t>
      </w:r>
    </w:p>
    <w:p>
      <w:pPr>
        <w:widowControl/>
        <w:spacing w:line="580" w:lineRule="exact"/>
        <w:ind w:firstLine="883" w:firstLineChars="200"/>
        <w:contextualSpacing/>
        <w:jc w:val="center"/>
        <w:rPr>
          <w:rFonts w:hint="eastAsia" w:ascii="SimSun" w:eastAsia="SimSun"/>
          <w:b/>
          <w:sz w:val="44"/>
          <w:szCs w:val="44"/>
          <w:shd w:val="clear" w:color="auto" w:fill="FFFFFF"/>
          <w:lang w:eastAsia="zh-CN"/>
        </w:rPr>
      </w:pPr>
      <w:r>
        <w:rPr>
          <w:rFonts w:hint="eastAsia" w:ascii="SimSun"/>
          <w:b/>
          <w:sz w:val="44"/>
          <w:szCs w:val="44"/>
          <w:shd w:val="clear" w:color="auto" w:fill="FFFFFF"/>
          <w:lang w:eastAsia="zh-CN"/>
        </w:rPr>
        <w:t>峨边彝族自治县人民法院</w:t>
      </w:r>
    </w:p>
    <w:p>
      <w:pPr>
        <w:widowControl/>
        <w:spacing w:line="580" w:lineRule="exact"/>
        <w:contextualSpacing/>
        <w:jc w:val="center"/>
        <w:rPr>
          <w:rFonts w:ascii="FZXiaoBiaoSong-B05S" w:eastAsia="FZXiaoBiaoSong-B05S"/>
          <w:sz w:val="44"/>
          <w:szCs w:val="44"/>
          <w:shd w:val="clear" w:color="auto" w:fill="FFFFFF"/>
        </w:rPr>
      </w:pPr>
      <w:r>
        <w:rPr>
          <w:rFonts w:hint="eastAsia" w:ascii="FZXiaoBiaoSong-B05S" w:hAnsi="SimSun" w:eastAsia="FZXiaoBiaoSong-B05S"/>
          <w:sz w:val="44"/>
          <w:szCs w:val="44"/>
          <w:shd w:val="clear" w:color="auto" w:fill="FFFFFF"/>
          <w:lang w:val="en-US" w:eastAsia="zh-CN"/>
        </w:rPr>
        <w:t xml:space="preserve">   </w:t>
      </w:r>
      <w:r>
        <w:rPr>
          <w:rFonts w:hint="eastAsia" w:ascii="FZXiaoBiaoSong-B05S" w:hAnsi="SimSun" w:eastAsia="FZXiaoBiaoSong-B05S"/>
          <w:sz w:val="44"/>
          <w:szCs w:val="44"/>
          <w:shd w:val="clear" w:color="auto" w:fill="FFFFFF"/>
          <w:lang w:eastAsia="zh-CN"/>
        </w:rPr>
        <w:t>县</w:t>
      </w:r>
      <w:r>
        <w:rPr>
          <w:rFonts w:hint="eastAsia" w:ascii="FZXiaoBiaoSong-B05S" w:hAnsi="SimSun" w:eastAsia="FZXiaoBiaoSong-B05S"/>
          <w:sz w:val="44"/>
          <w:szCs w:val="44"/>
          <w:shd w:val="clear" w:color="auto" w:fill="FFFFFF"/>
        </w:rPr>
        <w:t>级部门整体绩效自评报告范本</w:t>
      </w:r>
    </w:p>
    <w:p>
      <w:pPr>
        <w:widowControl/>
        <w:spacing w:line="580" w:lineRule="exact"/>
        <w:contextualSpacing/>
        <w:jc w:val="center"/>
        <w:rPr>
          <w:rFonts w:ascii="FZXiaoBiaoSong-B05S" w:eastAsia="FZXiaoBiaoSong-B05S"/>
          <w:sz w:val="44"/>
          <w:szCs w:val="44"/>
          <w:shd w:val="clear" w:color="auto" w:fill="FFFFFF"/>
        </w:rPr>
      </w:pPr>
      <w:r>
        <w:rPr>
          <w:rFonts w:hint="eastAsia" w:ascii="FangSong_GB2312" w:hAnsi="SimSun" w:eastAsia="FangSong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SimSun" w:eastAsia="方正仿宋_GBK" w:cs="SimSun"/>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rPr>
        <w:t>一、</w:t>
      </w:r>
      <w:r>
        <w:rPr>
          <w:rFonts w:hint="eastAsia" w:ascii="SimHei" w:hAnsi="SimHei" w:eastAsia="SimHei" w:cs="SimSun"/>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综合办公室、政治部（督察室）、立案庭（诉讼服务中心）、刑事审判庭、民事审判庭（环境资源审判庭）、行政审判庭（未成年人案件审判庭）、执行局、审判管理办公室（研究室）</w:t>
      </w: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机构职能和人员概况。</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1.综合办公室。负责协助院领导组织、协调、处理司法政务；负责综合性办文办会、文秘、信息、宣传、保密、档案、代表委员联络、决议事项督办、社会综合治理；负责财务管理、诉讼费监督管理、后勤物资装备配置及管理、办公用房和法庭建设维护、信息系统建设及运行、维护和管理保障，承担其他与政务后勤保障相关的工作。</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2.政治部（督察室）。负责思想政治建设、队伍建设、文化建设、机构编制管理、干部人事管理、教育培训、表彰奖励、人民陪审员管理、内部监督管理，承担其他与组织人事管理相关的工作。</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3.立案庭（诉讼服务中心）。负责本院各类案件登记立案及立案审查，诉前财产保全、诉前调解、立案调解、信访接待、诉非衔接，案件材料收转、案件查询、法律咨询、送达，依法审理部分简易民事一审案件，承担其他与立案和诉讼服务相关的工作。</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4.刑事审判庭。依法审理本院各类刑事一审案件，负责总结刑事审判工作经验，承担其他与刑事审判相关的工作。</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5.民事审判庭（环境资源审判庭）。依法审理本院各类民事一审案件、涉环境资源案件，负责总结民事审判和环境资源案件审判工作经验，承担其他与民事审判和环境资源案件审判相关的工作。</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6.行政审判庭（未成年人案件审判庭）。依法审理各类行政一审、行政赔偿一审、行政非诉审查、国家赔偿案件及各类再审案件，平衡各审判庭任务量分流出的部分案件，负责总结行政审判工作经验，承担其他与行政审判相关的工作；依法审理本院涉及未成年人的刑事、民事、行政案件，总结未成年人案件审判工作经验；承担其他与未成年人案件审判相关的工作。</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7.执行局。负责办理本院各类执行案件，总结执行工作经验，承担其他与执行相关的工作。</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8.审判管理办公室（研究室）。负责案件评查、司法公开等审判管理工作，负责审判委员会、调研、案例等工作；负责司法评估、拍卖、鉴定等工作；负责本院重大工作部署的调查研究和全院调研工作，起草审判执行综合性文件、适用法律政策请示，司法统计与分析等工作；根据工作需要，依法审理刑事、民事、行政等案件；承担其他与审判管理及司法事务相关的工作。</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在编政法干警</w:t>
      </w:r>
      <w:r>
        <w:rPr>
          <w:rFonts w:hint="eastAsia" w:ascii="KaiTi_GB2312" w:hAnsi="SimSun" w:eastAsia="KaiTi_GB2312" w:cs="SimSun"/>
          <w:color w:val="000000"/>
          <w:kern w:val="0"/>
          <w:szCs w:val="32"/>
          <w:shd w:val="clear" w:color="auto" w:fill="FFFFFF"/>
          <w:lang w:val="en-US" w:eastAsia="zh-CN"/>
        </w:rPr>
        <w:t>55人</w:t>
      </w:r>
      <w:r>
        <w:rPr>
          <w:rFonts w:hint="eastAsia" w:ascii="KaiTi_GB2312" w:hAnsi="SimSun" w:eastAsia="KaiTi_GB2312" w:cs="SimSun"/>
          <w:color w:val="000000"/>
          <w:kern w:val="0"/>
          <w:szCs w:val="32"/>
          <w:shd w:val="clear" w:color="auto" w:fill="FFFFFF"/>
          <w:lang w:val="zh-CN"/>
        </w:rPr>
        <w:t>，其中工勤人员1人。辅警、聘用书记员共计3</w:t>
      </w:r>
      <w:r>
        <w:rPr>
          <w:rFonts w:hint="eastAsia" w:ascii="KaiTi_GB2312" w:hAnsi="SimSun" w:eastAsia="KaiTi_GB2312" w:cs="SimSun"/>
          <w:color w:val="000000"/>
          <w:kern w:val="0"/>
          <w:szCs w:val="32"/>
          <w:shd w:val="clear" w:color="auto" w:fill="FFFFFF"/>
          <w:lang w:val="en-US" w:eastAsia="zh-CN"/>
        </w:rPr>
        <w:t>1人</w:t>
      </w:r>
      <w:r>
        <w:rPr>
          <w:rFonts w:hint="eastAsia" w:ascii="KaiTi_GB2312" w:hAnsi="SimSun" w:eastAsia="KaiTi_GB2312" w:cs="SimSun"/>
          <w:color w:val="000000"/>
          <w:kern w:val="0"/>
          <w:szCs w:val="32"/>
          <w:shd w:val="clear" w:color="auto" w:fill="FFFFFF"/>
          <w:lang w:val="zh-CN"/>
        </w:rPr>
        <w:t>。</w:t>
      </w:r>
    </w:p>
    <w:p>
      <w:pPr>
        <w:widowControl/>
        <w:numPr>
          <w:ilvl w:val="0"/>
          <w:numId w:val="1"/>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年度主要工作任务。</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保障全院全年正常运行，受理各类民商事、刑事、执行等案件，为全县经济发展提供司法保障，继续推进新建审判大楼项目，完成乡村振兴任务等。</w:t>
      </w:r>
    </w:p>
    <w:p>
      <w:pPr>
        <w:widowControl/>
        <w:numPr>
          <w:ilvl w:val="0"/>
          <w:numId w:val="1"/>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部门整体支出绩效目标。</w:t>
      </w:r>
    </w:p>
    <w:p>
      <w:pPr>
        <w:widowControl/>
        <w:numPr>
          <w:ilvl w:val="0"/>
          <w:numId w:val="0"/>
        </w:numPr>
        <w:adjustRightInd w:val="0"/>
        <w:snapToGrid w:val="0"/>
        <w:spacing w:line="580" w:lineRule="exact"/>
        <w:ind w:firstLine="640" w:firstLineChars="200"/>
        <w:contextualSpacing/>
        <w:jc w:val="left"/>
        <w:rPr>
          <w:rFonts w:hint="default"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zh-CN"/>
        </w:rPr>
        <w:t>保障基本运行，全年共受理案件</w:t>
      </w:r>
      <w:r>
        <w:rPr>
          <w:rFonts w:hint="eastAsia" w:ascii="KaiTi_GB2312" w:hAnsi="SimSun" w:eastAsia="KaiTi_GB2312" w:cs="SimSun"/>
          <w:color w:val="000000"/>
          <w:kern w:val="0"/>
          <w:szCs w:val="32"/>
          <w:shd w:val="clear" w:color="auto" w:fill="FFFFFF"/>
          <w:lang w:val="en-US" w:eastAsia="zh-CN"/>
        </w:rPr>
        <w:t>1318件，结案率99.39%。法律进企业、进校园及法律宣传34次，完成乡村振兴任务3个村。</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KaiTi_GB2312" w:hAnsi="SimSun" w:eastAsia="KaiTi_GB2312" w:cs="SimSun"/>
          <w:b w:val="0"/>
          <w:bCs w:val="0"/>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（一）部门财政资</w:t>
      </w:r>
      <w:r>
        <w:rPr>
          <w:rFonts w:hint="eastAsia" w:ascii="KaiTi_GB2312" w:hAnsi="SimSun" w:eastAsia="KaiTi_GB2312" w:cs="SimSun"/>
          <w:b w:val="0"/>
          <w:bCs w:val="0"/>
          <w:color w:val="000000"/>
          <w:kern w:val="0"/>
          <w:szCs w:val="32"/>
          <w:shd w:val="clear" w:color="auto" w:fill="FFFFFF"/>
          <w:lang w:val="zh-CN"/>
        </w:rPr>
        <w:t>金收入情况。</w:t>
      </w:r>
    </w:p>
    <w:p>
      <w:pPr>
        <w:widowControl/>
        <w:adjustRightInd w:val="0"/>
        <w:snapToGrid w:val="0"/>
        <w:spacing w:line="580" w:lineRule="exact"/>
        <w:ind w:firstLine="640" w:firstLineChars="200"/>
        <w:contextualSpacing/>
        <w:jc w:val="left"/>
        <w:rPr>
          <w:rFonts w:hint="eastAsia" w:ascii="KaiTi_GB2312" w:hAnsi="SimSun" w:eastAsia="KaiTi_GB2312" w:cs="SimSun"/>
          <w:b w:val="0"/>
          <w:bCs w:val="0"/>
          <w:color w:val="000000"/>
          <w:kern w:val="0"/>
          <w:szCs w:val="32"/>
          <w:highlight w:val="none"/>
          <w:shd w:val="clear" w:color="auto" w:fill="FFFFFF"/>
          <w:lang w:val="zh-CN"/>
        </w:rPr>
      </w:pPr>
      <w:r>
        <w:rPr>
          <w:rFonts w:hint="eastAsia" w:ascii="KaiTi_GB2312" w:hAnsi="SimSun" w:eastAsia="KaiTi_GB2312" w:cs="SimSun"/>
          <w:color w:val="000000"/>
          <w:kern w:val="0"/>
          <w:szCs w:val="32"/>
          <w:highlight w:val="none"/>
          <w:shd w:val="clear" w:color="auto" w:fill="FFFFFF"/>
          <w:lang w:val="zh-CN"/>
        </w:rPr>
        <w:t>峨边彝族自治县人民法院202</w:t>
      </w:r>
      <w:r>
        <w:rPr>
          <w:rFonts w:hint="eastAsia" w:ascii="KaiTi_GB2312" w:hAnsi="SimSun" w:eastAsia="KaiTi_GB2312" w:cs="SimSun"/>
          <w:color w:val="000000"/>
          <w:kern w:val="0"/>
          <w:szCs w:val="32"/>
          <w:highlight w:val="none"/>
          <w:shd w:val="clear" w:color="auto" w:fill="FFFFFF"/>
          <w:lang w:val="en-US" w:eastAsia="zh-CN"/>
        </w:rPr>
        <w:t>2</w:t>
      </w:r>
      <w:r>
        <w:rPr>
          <w:rFonts w:hint="eastAsia" w:ascii="KaiTi_GB2312" w:hAnsi="SimSun" w:eastAsia="KaiTi_GB2312" w:cs="SimSun"/>
          <w:color w:val="000000"/>
          <w:kern w:val="0"/>
          <w:szCs w:val="32"/>
          <w:highlight w:val="none"/>
          <w:shd w:val="clear" w:color="auto" w:fill="FFFFFF"/>
          <w:lang w:val="zh-CN"/>
        </w:rPr>
        <w:t>年财政拨款预算收入</w:t>
      </w:r>
      <w:r>
        <w:rPr>
          <w:rFonts w:hint="eastAsia" w:ascii="KaiTi_GB2312" w:hAnsi="SimSun" w:eastAsia="KaiTi_GB2312" w:cs="SimSun"/>
          <w:color w:val="000000"/>
          <w:kern w:val="0"/>
          <w:szCs w:val="32"/>
          <w:highlight w:val="none"/>
          <w:shd w:val="clear" w:color="auto" w:fill="FFFFFF"/>
          <w:lang w:val="en-US" w:eastAsia="zh-CN"/>
        </w:rPr>
        <w:t>1972.8</w:t>
      </w:r>
      <w:r>
        <w:rPr>
          <w:rFonts w:hint="eastAsia" w:ascii="KaiTi_GB2312" w:hAnsi="SimSun" w:eastAsia="KaiTi_GB2312" w:cs="SimSun"/>
          <w:color w:val="000000"/>
          <w:kern w:val="0"/>
          <w:szCs w:val="32"/>
          <w:highlight w:val="none"/>
          <w:shd w:val="clear" w:color="auto" w:fill="FFFFFF"/>
          <w:lang w:val="zh-CN"/>
        </w:rPr>
        <w:t>万元，其中基本支出收入</w:t>
      </w:r>
      <w:r>
        <w:rPr>
          <w:rFonts w:hint="eastAsia" w:ascii="KaiTi_GB2312" w:hAnsi="SimSun" w:eastAsia="KaiTi_GB2312" w:cs="SimSun"/>
          <w:color w:val="000000"/>
          <w:kern w:val="0"/>
          <w:szCs w:val="32"/>
          <w:highlight w:val="none"/>
          <w:shd w:val="clear" w:color="auto" w:fill="FFFFFF"/>
          <w:lang w:val="en-US" w:eastAsia="zh-CN"/>
        </w:rPr>
        <w:t>1635.42</w:t>
      </w:r>
      <w:r>
        <w:rPr>
          <w:rFonts w:hint="eastAsia" w:ascii="KaiTi_GB2312" w:hAnsi="SimSun" w:eastAsia="KaiTi_GB2312" w:cs="SimSun"/>
          <w:color w:val="000000"/>
          <w:kern w:val="0"/>
          <w:szCs w:val="32"/>
          <w:highlight w:val="none"/>
          <w:shd w:val="clear" w:color="auto" w:fill="FFFFFF"/>
          <w:lang w:val="zh-CN"/>
        </w:rPr>
        <w:t>万元，县级资金</w:t>
      </w:r>
      <w:r>
        <w:rPr>
          <w:rFonts w:hint="eastAsia" w:ascii="KaiTi_GB2312" w:hAnsi="SimSun" w:eastAsia="KaiTi_GB2312" w:cs="SimSun"/>
          <w:color w:val="000000"/>
          <w:kern w:val="0"/>
          <w:szCs w:val="32"/>
          <w:highlight w:val="none"/>
          <w:shd w:val="clear" w:color="auto" w:fill="FFFFFF"/>
          <w:lang w:val="en-US" w:eastAsia="zh-CN"/>
        </w:rPr>
        <w:t>337.38</w:t>
      </w:r>
      <w:r>
        <w:rPr>
          <w:rFonts w:hint="eastAsia" w:ascii="KaiTi_GB2312" w:hAnsi="SimSun" w:eastAsia="KaiTi_GB2312" w:cs="SimSun"/>
          <w:color w:val="000000"/>
          <w:kern w:val="0"/>
          <w:szCs w:val="32"/>
          <w:highlight w:val="none"/>
          <w:shd w:val="clear" w:color="auto" w:fill="FFFFFF"/>
          <w:lang w:val="zh-CN"/>
        </w:rPr>
        <w:t>万元。</w:t>
      </w:r>
    </w:p>
    <w:p>
      <w:pPr>
        <w:widowControl/>
        <w:numPr>
          <w:ilvl w:val="0"/>
          <w:numId w:val="2"/>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b w:val="0"/>
          <w:bCs w:val="0"/>
          <w:color w:val="000000"/>
          <w:kern w:val="0"/>
          <w:szCs w:val="32"/>
          <w:shd w:val="clear" w:color="auto" w:fill="FFFFFF"/>
          <w:lang w:val="zh-CN"/>
        </w:rPr>
        <w:t>部门财政资金支出情况</w:t>
      </w:r>
      <w:r>
        <w:rPr>
          <w:rFonts w:hint="eastAsia" w:ascii="KaiTi_GB2312" w:hAnsi="SimSun" w:eastAsia="KaiTi_GB2312" w:cs="SimSun"/>
          <w:color w:val="000000"/>
          <w:kern w:val="0"/>
          <w:szCs w:val="32"/>
          <w:shd w:val="clear" w:color="auto" w:fill="FFFFFF"/>
          <w:lang w:val="zh-CN"/>
        </w:rPr>
        <w:t>。</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highlight w:val="none"/>
          <w:shd w:val="clear" w:color="auto" w:fill="FFFFFF"/>
          <w:lang w:val="zh-CN"/>
        </w:rPr>
      </w:pPr>
      <w:r>
        <w:rPr>
          <w:rFonts w:hint="eastAsia" w:ascii="KaiTi_GB2312" w:hAnsi="SimSun" w:eastAsia="KaiTi_GB2312" w:cs="SimSun"/>
          <w:color w:val="000000"/>
          <w:kern w:val="0"/>
          <w:szCs w:val="32"/>
          <w:highlight w:val="none"/>
          <w:shd w:val="clear" w:color="auto" w:fill="FFFFFF"/>
          <w:lang w:val="zh-CN"/>
        </w:rPr>
        <w:t>峨边彝族自治县人民法院202</w:t>
      </w:r>
      <w:r>
        <w:rPr>
          <w:rFonts w:hint="eastAsia" w:ascii="KaiTi_GB2312" w:hAnsi="SimSun" w:eastAsia="KaiTi_GB2312" w:cs="SimSun"/>
          <w:color w:val="000000"/>
          <w:kern w:val="0"/>
          <w:szCs w:val="32"/>
          <w:highlight w:val="none"/>
          <w:shd w:val="clear" w:color="auto" w:fill="FFFFFF"/>
          <w:lang w:val="en-US" w:eastAsia="zh-CN"/>
        </w:rPr>
        <w:t>2</w:t>
      </w:r>
      <w:r>
        <w:rPr>
          <w:rFonts w:hint="eastAsia" w:ascii="KaiTi_GB2312" w:hAnsi="SimSun" w:eastAsia="KaiTi_GB2312" w:cs="SimSun"/>
          <w:color w:val="000000"/>
          <w:kern w:val="0"/>
          <w:szCs w:val="32"/>
          <w:highlight w:val="none"/>
          <w:shd w:val="clear" w:color="auto" w:fill="FFFFFF"/>
          <w:lang w:val="zh-CN"/>
        </w:rPr>
        <w:t>年，基本支出</w:t>
      </w:r>
      <w:r>
        <w:rPr>
          <w:rFonts w:hint="eastAsia" w:ascii="KaiTi_GB2312" w:hAnsi="SimSun" w:eastAsia="KaiTi_GB2312" w:cs="SimSun"/>
          <w:color w:val="000000"/>
          <w:kern w:val="0"/>
          <w:szCs w:val="32"/>
          <w:highlight w:val="none"/>
          <w:shd w:val="clear" w:color="auto" w:fill="FFFFFF"/>
          <w:lang w:val="en-US" w:eastAsia="zh-CN"/>
        </w:rPr>
        <w:t>1635.42</w:t>
      </w:r>
      <w:r>
        <w:rPr>
          <w:rFonts w:hint="eastAsia" w:ascii="KaiTi_GB2312" w:hAnsi="SimSun" w:eastAsia="KaiTi_GB2312" w:cs="SimSun"/>
          <w:color w:val="000000"/>
          <w:kern w:val="0"/>
          <w:szCs w:val="32"/>
          <w:highlight w:val="none"/>
          <w:shd w:val="clear" w:color="auto" w:fill="FFFFFF"/>
          <w:lang w:val="zh-CN"/>
        </w:rPr>
        <w:t>万元，项目支出</w:t>
      </w:r>
      <w:r>
        <w:rPr>
          <w:rFonts w:hint="eastAsia" w:ascii="KaiTi_GB2312" w:hAnsi="SimSun" w:eastAsia="KaiTi_GB2312" w:cs="SimSun"/>
          <w:color w:val="000000"/>
          <w:kern w:val="0"/>
          <w:szCs w:val="32"/>
          <w:highlight w:val="none"/>
          <w:shd w:val="clear" w:color="auto" w:fill="FFFFFF"/>
          <w:lang w:val="en-US" w:eastAsia="zh-CN"/>
        </w:rPr>
        <w:t>599.51</w:t>
      </w:r>
      <w:r>
        <w:rPr>
          <w:rFonts w:hint="eastAsia" w:ascii="KaiTi_GB2312" w:hAnsi="SimSun" w:eastAsia="KaiTi_GB2312" w:cs="SimSun"/>
          <w:color w:val="000000"/>
          <w:kern w:val="0"/>
          <w:szCs w:val="32"/>
          <w:highlight w:val="none"/>
          <w:shd w:val="clear" w:color="auto" w:fill="FFFFFF"/>
          <w:lang w:val="zh-CN"/>
        </w:rPr>
        <w:t>万元，其中</w:t>
      </w:r>
      <w:r>
        <w:rPr>
          <w:rFonts w:hint="eastAsia" w:ascii="KaiTi_GB2312" w:hAnsi="SimSun" w:eastAsia="KaiTi_GB2312" w:cs="SimSun"/>
          <w:color w:val="000000"/>
          <w:kern w:val="0"/>
          <w:szCs w:val="32"/>
          <w:highlight w:val="none"/>
          <w:shd w:val="clear" w:color="auto" w:fill="FFFFFF"/>
          <w:lang w:val="en-US" w:eastAsia="zh-CN"/>
        </w:rPr>
        <w:t>县级</w:t>
      </w:r>
      <w:r>
        <w:rPr>
          <w:rFonts w:hint="eastAsia" w:ascii="KaiTi_GB2312" w:hAnsi="SimSun" w:eastAsia="KaiTi_GB2312" w:cs="SimSun"/>
          <w:color w:val="000000"/>
          <w:kern w:val="0"/>
          <w:szCs w:val="32"/>
          <w:highlight w:val="none"/>
          <w:shd w:val="clear" w:color="auto" w:fill="FFFFFF"/>
          <w:lang w:val="zh-CN"/>
        </w:rPr>
        <w:t>项目</w:t>
      </w:r>
      <w:r>
        <w:rPr>
          <w:rFonts w:hint="eastAsia" w:ascii="KaiTi_GB2312" w:hAnsi="SimSun" w:eastAsia="KaiTi_GB2312" w:cs="SimSun"/>
          <w:color w:val="000000"/>
          <w:kern w:val="0"/>
          <w:szCs w:val="32"/>
          <w:highlight w:val="none"/>
          <w:shd w:val="clear" w:color="auto" w:fill="FFFFFF"/>
          <w:lang w:val="en-US" w:eastAsia="zh-CN"/>
        </w:rPr>
        <w:t>5</w:t>
      </w:r>
      <w:r>
        <w:rPr>
          <w:rFonts w:hint="eastAsia" w:ascii="KaiTi_GB2312" w:hAnsi="SimSun" w:eastAsia="KaiTi_GB2312" w:cs="SimSun"/>
          <w:color w:val="000000"/>
          <w:kern w:val="0"/>
          <w:szCs w:val="32"/>
          <w:highlight w:val="none"/>
          <w:shd w:val="clear" w:color="auto" w:fill="FFFFFF"/>
          <w:lang w:val="zh-CN"/>
        </w:rPr>
        <w:t>个，具体支出为：办案业务补助</w:t>
      </w:r>
      <w:r>
        <w:rPr>
          <w:rFonts w:hint="eastAsia" w:ascii="KaiTi_GB2312" w:hAnsi="SimSun" w:eastAsia="KaiTi_GB2312" w:cs="SimSun"/>
          <w:color w:val="000000"/>
          <w:kern w:val="0"/>
          <w:szCs w:val="32"/>
          <w:highlight w:val="none"/>
          <w:shd w:val="clear" w:color="auto" w:fill="FFFFFF"/>
          <w:lang w:val="en-US" w:eastAsia="zh-CN"/>
        </w:rPr>
        <w:t>18.89万元；</w:t>
      </w:r>
      <w:r>
        <w:rPr>
          <w:rFonts w:hint="eastAsia" w:ascii="KaiTi_GB2312" w:hAnsi="SimSun" w:eastAsia="KaiTi_GB2312" w:cs="SimSun"/>
          <w:color w:val="000000"/>
          <w:kern w:val="0"/>
          <w:szCs w:val="32"/>
          <w:highlight w:val="none"/>
          <w:shd w:val="clear" w:color="auto" w:fill="FFFFFF"/>
          <w:lang w:val="zh-CN"/>
        </w:rPr>
        <w:t>办公楼租赁费及物业管理费</w:t>
      </w:r>
      <w:r>
        <w:rPr>
          <w:rFonts w:hint="eastAsia" w:ascii="KaiTi_GB2312" w:hAnsi="SimSun" w:eastAsia="KaiTi_GB2312" w:cs="SimSun"/>
          <w:color w:val="000000"/>
          <w:kern w:val="0"/>
          <w:szCs w:val="32"/>
          <w:highlight w:val="none"/>
          <w:shd w:val="clear" w:color="auto" w:fill="FFFFFF"/>
          <w:lang w:val="en-US" w:eastAsia="zh-CN"/>
        </w:rPr>
        <w:t>67.96</w:t>
      </w:r>
      <w:r>
        <w:rPr>
          <w:rFonts w:hint="eastAsia" w:ascii="KaiTi_GB2312" w:hAnsi="SimSun" w:eastAsia="KaiTi_GB2312" w:cs="SimSun"/>
          <w:color w:val="000000"/>
          <w:kern w:val="0"/>
          <w:szCs w:val="32"/>
          <w:highlight w:val="none"/>
          <w:shd w:val="clear" w:color="auto" w:fill="FFFFFF"/>
          <w:lang w:val="zh-CN"/>
        </w:rPr>
        <w:t>万元；派出乡镇法庭实质化运行费用</w:t>
      </w:r>
      <w:r>
        <w:rPr>
          <w:rFonts w:hint="eastAsia" w:ascii="KaiTi_GB2312" w:hAnsi="SimSun" w:eastAsia="KaiTi_GB2312" w:cs="SimSun"/>
          <w:color w:val="000000"/>
          <w:kern w:val="0"/>
          <w:szCs w:val="32"/>
          <w:highlight w:val="none"/>
          <w:shd w:val="clear" w:color="auto" w:fill="FFFFFF"/>
          <w:lang w:val="en-US" w:eastAsia="zh-CN"/>
        </w:rPr>
        <w:t>15.83</w:t>
      </w:r>
      <w:r>
        <w:rPr>
          <w:rFonts w:hint="eastAsia" w:ascii="KaiTi_GB2312" w:hAnsi="SimSun" w:eastAsia="KaiTi_GB2312" w:cs="SimSun"/>
          <w:color w:val="000000"/>
          <w:kern w:val="0"/>
          <w:szCs w:val="32"/>
          <w:highlight w:val="none"/>
          <w:shd w:val="clear" w:color="auto" w:fill="FFFFFF"/>
          <w:lang w:val="zh-CN"/>
        </w:rPr>
        <w:t>万元；峨边彝族自治县人民法院</w:t>
      </w:r>
      <w:r>
        <w:rPr>
          <w:rFonts w:hint="eastAsia" w:ascii="KaiTi_GB2312" w:hAnsi="SimSun" w:eastAsia="KaiTi_GB2312" w:cs="SimSun"/>
          <w:color w:val="000000"/>
          <w:kern w:val="0"/>
          <w:szCs w:val="32"/>
          <w:highlight w:val="none"/>
          <w:shd w:val="clear" w:color="auto" w:fill="FFFFFF"/>
          <w:lang w:val="en-US" w:eastAsia="zh-CN"/>
        </w:rPr>
        <w:t>2022年县级乡村振兴补助资金（县级领导驻村帮扶工作经费）10</w:t>
      </w:r>
      <w:r>
        <w:rPr>
          <w:rFonts w:hint="eastAsia" w:ascii="KaiTi_GB2312" w:hAnsi="SimSun" w:eastAsia="KaiTi_GB2312" w:cs="SimSun"/>
          <w:color w:val="000000"/>
          <w:kern w:val="0"/>
          <w:szCs w:val="32"/>
          <w:highlight w:val="none"/>
          <w:shd w:val="clear" w:color="auto" w:fill="FFFFFF"/>
          <w:lang w:val="zh-CN"/>
        </w:rPr>
        <w:t>万元；政府领导批示〔</w:t>
      </w:r>
      <w:r>
        <w:rPr>
          <w:rFonts w:hint="eastAsia" w:ascii="KaiTi_GB2312" w:hAnsi="SimSun" w:eastAsia="KaiTi_GB2312" w:cs="SimSun"/>
          <w:color w:val="000000"/>
          <w:kern w:val="0"/>
          <w:szCs w:val="32"/>
          <w:highlight w:val="none"/>
          <w:shd w:val="clear" w:color="auto" w:fill="FFFFFF"/>
          <w:lang w:val="en-US" w:eastAsia="zh-CN"/>
        </w:rPr>
        <w:t>2021</w:t>
      </w:r>
      <w:r>
        <w:rPr>
          <w:rFonts w:hint="eastAsia" w:ascii="KaiTi_GB2312" w:hAnsi="SimSun" w:eastAsia="KaiTi_GB2312" w:cs="SimSun"/>
          <w:color w:val="000000"/>
          <w:kern w:val="0"/>
          <w:szCs w:val="32"/>
          <w:highlight w:val="none"/>
          <w:shd w:val="clear" w:color="auto" w:fill="FFFFFF"/>
          <w:lang w:val="zh-CN"/>
        </w:rPr>
        <w:t>〕</w:t>
      </w:r>
      <w:r>
        <w:rPr>
          <w:rFonts w:hint="eastAsia" w:ascii="KaiTi_GB2312" w:hAnsi="SimSun" w:eastAsia="KaiTi_GB2312" w:cs="SimSun"/>
          <w:color w:val="000000"/>
          <w:kern w:val="0"/>
          <w:szCs w:val="32"/>
          <w:highlight w:val="none"/>
          <w:shd w:val="clear" w:color="auto" w:fill="FFFFFF"/>
          <w:lang w:val="en-US" w:eastAsia="zh-CN"/>
        </w:rPr>
        <w:t>93号，审判法庭及地下公共车库建设项目前期投入费用90.49万元.</w:t>
      </w:r>
    </w:p>
    <w:p>
      <w:pPr>
        <w:widowControl/>
        <w:numPr>
          <w:ilvl w:val="0"/>
          <w:numId w:val="2"/>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部门财政资金结转结余情况。</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highlight w:val="none"/>
          <w:shd w:val="clear" w:color="auto" w:fill="FFFFFF"/>
          <w:lang w:val="zh-CN"/>
        </w:rPr>
        <w:t>峨边彝族自治县人民法院202</w:t>
      </w:r>
      <w:r>
        <w:rPr>
          <w:rFonts w:hint="eastAsia" w:ascii="KaiTi_GB2312" w:hAnsi="SimSun" w:eastAsia="KaiTi_GB2312" w:cs="SimSun"/>
          <w:color w:val="000000"/>
          <w:kern w:val="0"/>
          <w:szCs w:val="32"/>
          <w:highlight w:val="none"/>
          <w:shd w:val="clear" w:color="auto" w:fill="FFFFFF"/>
          <w:lang w:val="en-US" w:eastAsia="zh-CN"/>
        </w:rPr>
        <w:t>2</w:t>
      </w:r>
      <w:r>
        <w:rPr>
          <w:rFonts w:hint="eastAsia" w:ascii="KaiTi_GB2312" w:hAnsi="SimSun" w:eastAsia="KaiTi_GB2312" w:cs="SimSun"/>
          <w:color w:val="000000"/>
          <w:kern w:val="0"/>
          <w:szCs w:val="32"/>
          <w:highlight w:val="none"/>
          <w:shd w:val="clear" w:color="auto" w:fill="FFFFFF"/>
          <w:lang w:val="zh-CN"/>
        </w:rPr>
        <w:t>年无财政资金结转结余。</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1、绩效自评公开</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按照上级部门相关要求，坚持收支平衡、真实合法、科学规范原则，实施公开透明的预算制度，及时在政府门户网站上公开部门预算。</w:t>
      </w:r>
    </w:p>
    <w:p>
      <w:pPr>
        <w:widowControl/>
        <w:numPr>
          <w:ilvl w:val="0"/>
          <w:numId w:val="3"/>
        </w:numPr>
        <w:adjustRightInd w:val="0"/>
        <w:snapToGrid w:val="0"/>
        <w:spacing w:line="580" w:lineRule="exact"/>
        <w:ind w:left="320" w:leftChars="0" w:firstLine="640" w:firstLineChars="0"/>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评价结果整改</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我院2022年经费开支严格按照预算执行，支出符合国家财经法规和财务管理制度规定，按照要求严格执行政府采购。资产管理安全，固定资产利用率、重点工作完成率等均达到年初计划数。根据绩效管理结果整改问题、不断完善预算管理制度、进一步提高预算执行质量。</w:t>
      </w:r>
    </w:p>
    <w:p>
      <w:pPr>
        <w:widowControl/>
        <w:numPr>
          <w:ilvl w:val="0"/>
          <w:numId w:val="3"/>
        </w:numPr>
        <w:adjustRightInd w:val="0"/>
        <w:snapToGrid w:val="0"/>
        <w:spacing w:line="580" w:lineRule="exact"/>
        <w:ind w:left="320" w:leftChars="0" w:firstLine="640" w:firstLineChars="0"/>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应用结果反馈</w:t>
      </w:r>
    </w:p>
    <w:p>
      <w:pPr>
        <w:widowControl/>
        <w:numPr>
          <w:ilvl w:val="0"/>
          <w:numId w:val="0"/>
        </w:numPr>
        <w:adjustRightInd w:val="0"/>
        <w:snapToGrid w:val="0"/>
        <w:spacing w:line="580" w:lineRule="exact"/>
        <w:ind w:firstLine="640" w:firstLineChars="200"/>
        <w:contextualSpacing/>
        <w:jc w:val="left"/>
        <w:rPr>
          <w:rFonts w:hint="default"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我院按照要求及时向财政部门反馈了绩效自评结果以及结果应用情况。</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1.整体情况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eastAsia="zh-CN"/>
        </w:rPr>
      </w:pPr>
      <w:r>
        <w:rPr>
          <w:rFonts w:hint="eastAsia" w:ascii="KaiTi_GB2312" w:hAnsi="SimSun" w:eastAsia="KaiTi_GB2312" w:cs="SimSun"/>
          <w:color w:val="000000"/>
          <w:kern w:val="0"/>
          <w:szCs w:val="32"/>
          <w:shd w:val="clear" w:color="auto" w:fill="FFFFFF"/>
          <w:lang w:val="zh-CN" w:eastAsia="zh-CN"/>
        </w:rPr>
        <w:t>我院特定目标类县级项目共</w:t>
      </w:r>
      <w:r>
        <w:rPr>
          <w:rFonts w:hint="eastAsia" w:ascii="KaiTi_GB2312" w:hAnsi="SimSun" w:eastAsia="KaiTi_GB2312" w:cs="SimSun"/>
          <w:color w:val="000000"/>
          <w:kern w:val="0"/>
          <w:szCs w:val="32"/>
          <w:shd w:val="clear" w:color="auto" w:fill="FFFFFF"/>
          <w:lang w:val="en-US" w:eastAsia="zh-CN"/>
        </w:rPr>
        <w:t>5个，</w:t>
      </w:r>
      <w:r>
        <w:rPr>
          <w:rFonts w:hint="eastAsia" w:ascii="KaiTi_GB2312" w:hAnsi="SimSun" w:eastAsia="KaiTi_GB2312" w:cs="SimSun"/>
          <w:color w:val="000000"/>
          <w:kern w:val="0"/>
          <w:szCs w:val="32"/>
          <w:shd w:val="clear" w:color="auto" w:fill="FFFFFF"/>
          <w:lang w:val="zh-CN" w:eastAsia="zh-CN"/>
        </w:rPr>
        <w:t>项目实施前编制了绩效目标、实施完成后目标基本实现、支出控制在预算内、预算完成情况良好、资金结余率低、无违规等情况。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2.100万以上项目：</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eastAsia="zh-CN"/>
        </w:rPr>
      </w:pPr>
      <w:r>
        <w:rPr>
          <w:rFonts w:hint="eastAsia" w:ascii="KaiTi_GB2312" w:hAnsi="SimSun" w:eastAsia="KaiTi_GB2312" w:cs="SimSun"/>
          <w:color w:val="000000"/>
          <w:kern w:val="0"/>
          <w:szCs w:val="32"/>
          <w:shd w:val="clear" w:color="auto" w:fill="FFFFFF"/>
          <w:lang w:val="zh-CN" w:eastAsia="zh-CN"/>
        </w:rPr>
        <w:t>无</w:t>
      </w:r>
    </w:p>
    <w:p>
      <w:pPr>
        <w:widowControl/>
        <w:numPr>
          <w:ilvl w:val="0"/>
          <w:numId w:val="2"/>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结果应用情况。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1、绩效自评公开</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按照上级部门相关要求，坚持收支平衡、真实合法、科学规范原则，实施公开透明的预算制度，及时在政府门户网站上公开部门预算。</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2、评价结果整改</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我院2021年经费开支严格按照预算执行，支出符合国家财经法规和财务管理制度规定，按照要求严格执行政府采购。资产管理安全，固定资产利用率、重点工作完成率等均达到年初计划数。根据绩效管理结果整改问题、不断完善预算管理制度、进一步提高预算执行质量。</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3、应用结果反馈</w:t>
      </w:r>
    </w:p>
    <w:p>
      <w:pPr>
        <w:widowControl/>
        <w:numPr>
          <w:ilvl w:val="0"/>
          <w:numId w:val="0"/>
        </w:numPr>
        <w:adjustRightInd w:val="0"/>
        <w:snapToGrid w:val="0"/>
        <w:spacing w:line="580" w:lineRule="exact"/>
        <w:ind w:firstLine="640" w:firstLineChars="200"/>
        <w:contextualSpacing/>
        <w:jc w:val="left"/>
        <w:rPr>
          <w:rFonts w:hint="default"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zh-CN"/>
        </w:rPr>
        <w:t>本年我院自评质量较好，绩效目标和自评结果按规定公开，预算配置控制较好，预算执行上，支出总额控制在预算以内，评价结果反馈情况良好。</w:t>
      </w:r>
    </w:p>
    <w:p>
      <w:pPr>
        <w:widowControl/>
        <w:numPr>
          <w:ilvl w:val="0"/>
          <w:numId w:val="0"/>
        </w:numPr>
        <w:adjustRightInd w:val="0"/>
        <w:snapToGrid w:val="0"/>
        <w:spacing w:line="580" w:lineRule="exact"/>
        <w:ind w:leftChars="200"/>
        <w:contextualSpacing/>
        <w:jc w:val="left"/>
        <w:rPr>
          <w:rFonts w:hint="eastAsia" w:ascii="KaiTi_GB2312" w:hAnsi="SimSun" w:eastAsia="KaiTi_GB2312" w:cs="SimSun"/>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根据《峨边彝族自治县财政局 关于开展2021年财政绩效评价工作的通知》文件精神，峨边法院认真组织开展了部门整体支出绩效评价工作，绩效评价得分：</w:t>
      </w:r>
      <w:r>
        <w:rPr>
          <w:rFonts w:hint="eastAsia" w:ascii="KaiTi_GB2312" w:hAnsi="SimSun" w:eastAsia="KaiTi_GB2312" w:cs="SimSun"/>
          <w:color w:val="000000"/>
          <w:kern w:val="0"/>
          <w:szCs w:val="32"/>
          <w:shd w:val="clear" w:color="auto" w:fill="FFFFFF"/>
          <w:lang w:val="en-US" w:eastAsia="zh-CN"/>
        </w:rPr>
        <w:t>100</w:t>
      </w:r>
      <w:r>
        <w:rPr>
          <w:rFonts w:hint="eastAsia" w:ascii="KaiTi_GB2312" w:hAnsi="SimSun" w:eastAsia="KaiTi_GB2312" w:cs="SimSun"/>
          <w:color w:val="000000"/>
          <w:kern w:val="0"/>
          <w:szCs w:val="32"/>
          <w:shd w:val="clear" w:color="auto" w:fill="FFFFFF"/>
          <w:lang w:val="zh-CN"/>
        </w:rPr>
        <w:t>分。</w:t>
      </w:r>
    </w:p>
    <w:p>
      <w:pPr>
        <w:widowControl/>
        <w:numPr>
          <w:ilvl w:val="0"/>
          <w:numId w:val="4"/>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存在问题。</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一是预算编制有待</w:t>
      </w:r>
      <w:bookmarkStart w:id="0" w:name="_GoBack"/>
      <w:bookmarkEnd w:id="0"/>
      <w:r>
        <w:rPr>
          <w:rFonts w:hint="eastAsia" w:ascii="KaiTi_GB2312" w:hAnsi="SimSun" w:eastAsia="KaiTi_GB2312" w:cs="SimSun"/>
          <w:color w:val="000000"/>
          <w:kern w:val="0"/>
          <w:szCs w:val="32"/>
          <w:shd w:val="clear" w:color="auto" w:fill="FFFFFF"/>
          <w:lang w:val="zh-CN"/>
        </w:rPr>
        <w:t>优化，预算编制与实际支出项目有的存在差异；二是预算拨付滞后，部分专项资金财政拨付不及时，导致项目资金拨付缓慢</w:t>
      </w:r>
    </w:p>
    <w:p>
      <w:pPr>
        <w:widowControl/>
        <w:numPr>
          <w:ilvl w:val="0"/>
          <w:numId w:val="4"/>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改进建议。</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一是进一步强化绩效考核意识，将绩效考核工作纳入全院工作目标；二是优化预算编制，在资金使用上确保无挪用、无占有情况；三是完善资金拨付流程，减少存量资金。</w:t>
      </w:r>
    </w:p>
    <w:p>
      <w:pPr>
        <w:widowControl/>
        <w:numPr>
          <w:ilvl w:val="0"/>
          <w:numId w:val="0"/>
        </w:numPr>
        <w:adjustRightInd w:val="0"/>
        <w:snapToGrid w:val="0"/>
        <w:spacing w:line="580" w:lineRule="exact"/>
        <w:ind w:leftChars="200"/>
        <w:contextualSpacing/>
        <w:jc w:val="left"/>
        <w:rPr>
          <w:rFonts w:hint="eastAsia" w:ascii="KaiTi_GB2312" w:hAnsi="SimSun" w:eastAsia="KaiTi_GB2312" w:cs="SimSun"/>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D240B1EA-807B-42DD-AC19-8EA8AE5372DC}"/>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9A100040-C3A1-4A92-A5B9-672A1BD078F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3" w:fontKey="{DF32DD28-DF93-4C69-B370-F7704AD5C1CB}"/>
  </w:font>
  <w:font w:name="FangSong_GB2312">
    <w:panose1 w:val="02010609030101010101"/>
    <w:charset w:val="86"/>
    <w:family w:val="modern"/>
    <w:pitch w:val="default"/>
    <w:sig w:usb0="00000001" w:usb1="080E0000" w:usb2="00000000" w:usb3="00000000" w:csb0="00040000" w:csb1="00000000"/>
    <w:embedRegular r:id="rId4" w:fontKey="{2E6D9838-F3B2-4099-A2F9-61CB6EE37995}"/>
  </w:font>
  <w:font w:name="方正仿宋_GBK">
    <w:altName w:val="Microsoft YaHei"/>
    <w:panose1 w:val="03000509000000000000"/>
    <w:charset w:val="86"/>
    <w:family w:val="auto"/>
    <w:pitch w:val="default"/>
    <w:sig w:usb0="00000000" w:usb1="00000000" w:usb2="00000000" w:usb3="00000000" w:csb0="00040000" w:csb1="00000000"/>
    <w:embedRegular r:id="rId5" w:fontKey="{BD446B98-B884-4020-9527-720AEF9836A1}"/>
  </w:font>
  <w:font w:name="KaiTi_GB2312">
    <w:panose1 w:val="02010609030101010101"/>
    <w:charset w:val="86"/>
    <w:family w:val="modern"/>
    <w:pitch w:val="default"/>
    <w:sig w:usb0="00000001" w:usb1="080E0000" w:usb2="00000000" w:usb3="00000000" w:csb0="00040000" w:csb1="00000000"/>
    <w:embedRegular r:id="rId6" w:fontKey="{38FABA5D-C846-4C17-8809-12DFF7DDA27D}"/>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SimSun" w:hAnsi="SimSun"/>
        <w:sz w:val="28"/>
        <w:szCs w:val="28"/>
      </w:rPr>
      <w:fldChar w:fldCharType="begin"/>
    </w:r>
    <w:r>
      <w:rPr>
        <w:rFonts w:ascii="SimSun" w:hAnsi="SimSun"/>
        <w:sz w:val="28"/>
        <w:szCs w:val="28"/>
      </w:rPr>
      <w:instrText xml:space="preserve"> PAGE   \* MERGEFORMAT </w:instrText>
    </w:r>
    <w:r>
      <w:rPr>
        <w:rFonts w:ascii="SimSun" w:hAnsi="SimSun"/>
        <w:sz w:val="28"/>
        <w:szCs w:val="28"/>
      </w:rPr>
      <w:fldChar w:fldCharType="separate"/>
    </w:r>
    <w:r>
      <w:rPr>
        <w:rFonts w:ascii="SimSun"/>
        <w:sz w:val="28"/>
        <w:szCs w:val="28"/>
        <w:lang w:val="zh-CN"/>
      </w:rPr>
      <w:t>-</w:t>
    </w:r>
    <w:r>
      <w:rPr>
        <w:rFonts w:ascii="SimSun" w:hAnsi="SimSun"/>
        <w:sz w:val="28"/>
        <w:szCs w:val="28"/>
      </w:rPr>
      <w:t xml:space="preserve"> 12 -</w:t>
    </w:r>
    <w:r>
      <w:rPr>
        <w:rFonts w:ascii="SimSun" w:hAnsi="SimSun"/>
        <w:sz w:val="28"/>
        <w:szCs w:val="28"/>
      </w:rPr>
      <w:fldChar w:fldCharType="end"/>
    </w:r>
  </w:p>
  <w:p>
    <w:pPr>
      <w:pStyle w:val="4"/>
      <w:tabs>
        <w:tab w:val="right" w:pos="9184"/>
        <w:tab w:val="clear" w:pos="4153"/>
        <w:tab w:val="clear" w:pos="8306"/>
      </w:tabs>
      <w:rPr>
        <w:rFonts w:asci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11CB67"/>
    <w:multiLevelType w:val="singleLevel"/>
    <w:tmpl w:val="A511CB67"/>
    <w:lvl w:ilvl="0" w:tentative="0">
      <w:start w:val="2"/>
      <w:numFmt w:val="chineseCounting"/>
      <w:suff w:val="nothing"/>
      <w:lvlText w:val="（%1）"/>
      <w:lvlJc w:val="left"/>
      <w:rPr>
        <w:rFonts w:hint="eastAsia"/>
      </w:rPr>
    </w:lvl>
  </w:abstractNum>
  <w:abstractNum w:abstractNumId="1">
    <w:nsid w:val="C45BB671"/>
    <w:multiLevelType w:val="singleLevel"/>
    <w:tmpl w:val="C45BB671"/>
    <w:lvl w:ilvl="0" w:tentative="0">
      <w:start w:val="2"/>
      <w:numFmt w:val="decimal"/>
      <w:suff w:val="nothing"/>
      <w:lvlText w:val="%1、"/>
      <w:lvlJc w:val="left"/>
      <w:pPr>
        <w:ind w:left="320"/>
      </w:pPr>
    </w:lvl>
  </w:abstractNum>
  <w:abstractNum w:abstractNumId="2">
    <w:nsid w:val="EE263448"/>
    <w:multiLevelType w:val="singleLevel"/>
    <w:tmpl w:val="EE263448"/>
    <w:lvl w:ilvl="0" w:tentative="0">
      <w:start w:val="2"/>
      <w:numFmt w:val="chineseCounting"/>
      <w:suff w:val="nothing"/>
      <w:lvlText w:val="（%1）"/>
      <w:lvlJc w:val="left"/>
      <w:rPr>
        <w:rFonts w:hint="eastAsia"/>
      </w:rPr>
    </w:lvl>
  </w:abstractNum>
  <w:abstractNum w:abstractNumId="3">
    <w:nsid w:val="675DB93F"/>
    <w:multiLevelType w:val="singleLevel"/>
    <w:tmpl w:val="675DB93F"/>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B5A498B"/>
    <w:rsid w:val="18D17537"/>
    <w:rsid w:val="19927F78"/>
    <w:rsid w:val="21AE59D8"/>
    <w:rsid w:val="286F56EA"/>
    <w:rsid w:val="2D4170C5"/>
    <w:rsid w:val="2D527252"/>
    <w:rsid w:val="329102D6"/>
    <w:rsid w:val="3A9520B3"/>
    <w:rsid w:val="3C5059FC"/>
    <w:rsid w:val="3DE562B7"/>
    <w:rsid w:val="3E6507EA"/>
    <w:rsid w:val="47550EBA"/>
    <w:rsid w:val="50BB3388"/>
    <w:rsid w:val="624B03F0"/>
    <w:rsid w:val="6636451A"/>
    <w:rsid w:val="6B6D3586"/>
    <w:rsid w:val="6BE94116"/>
    <w:rsid w:val="6E285F5B"/>
    <w:rsid w:val="6E833176"/>
    <w:rsid w:val="78916378"/>
    <w:rsid w:val="79D132ED"/>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SimSun" w:cs="Times New Roman"/>
      <w:kern w:val="2"/>
      <w:sz w:val="32"/>
      <w:szCs w:val="24"/>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0"/>
    <w:qFormat/>
    <w:uiPriority w:val="99"/>
    <w:rPr>
      <w:rFonts w:ascii="SimSun"/>
      <w:sz w:val="18"/>
      <w:szCs w:val="18"/>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qFormat/>
    <w:uiPriority w:val="99"/>
    <w:rPr>
      <w:rFonts w:cs="Times New Roman"/>
    </w:rPr>
  </w:style>
  <w:style w:type="character" w:customStyle="1" w:styleId="10">
    <w:name w:val="文档结构图 Char"/>
    <w:link w:val="2"/>
    <w:qFormat/>
    <w:locked/>
    <w:uiPriority w:val="99"/>
    <w:rPr>
      <w:rFonts w:ascii="SimSun" w:cs="Times New Roman"/>
      <w:kern w:val="2"/>
      <w:sz w:val="18"/>
      <w:szCs w:val="18"/>
    </w:rPr>
  </w:style>
  <w:style w:type="character" w:customStyle="1" w:styleId="11">
    <w:name w:val="批注框文本 Char"/>
    <w:link w:val="3"/>
    <w:semiHidden/>
    <w:qFormat/>
    <w:locked/>
    <w:uiPriority w:val="99"/>
    <w:rPr>
      <w:rFonts w:cs="Times New Roman"/>
      <w:sz w:val="2"/>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locked/>
    <w:uiPriority w:val="99"/>
    <w:rPr>
      <w:rFonts w:cs="Times New Roman"/>
      <w:sz w:val="18"/>
      <w:szCs w:val="18"/>
    </w:rPr>
  </w:style>
  <w:style w:type="paragraph" w:customStyle="1" w:styleId="14">
    <w:name w:val="四号正文"/>
    <w:basedOn w:val="1"/>
    <w:link w:val="15"/>
    <w:qFormat/>
    <w:uiPriority w:val="99"/>
    <w:pPr>
      <w:spacing w:line="360" w:lineRule="auto"/>
    </w:pPr>
    <w:rPr>
      <w:rFonts w:ascii="??" w:hAnsi="??" w:cs="SimSun"/>
      <w:color w:val="000000"/>
      <w:kern w:val="0"/>
      <w:sz w:val="28"/>
      <w:szCs w:val="21"/>
    </w:rPr>
  </w:style>
  <w:style w:type="character" w:customStyle="1" w:styleId="15">
    <w:name w:val="四号正文 Char"/>
    <w:link w:val="14"/>
    <w:autoRedefine/>
    <w:qFormat/>
    <w:locked/>
    <w:uiPriority w:val="99"/>
    <w:rPr>
      <w:rFonts w:ascii="??" w:hAnsi="??" w:eastAsia="SimSun" w:cs="SimSun"/>
      <w:color w:val="000000"/>
      <w:sz w:val="21"/>
      <w:szCs w:val="21"/>
      <w:lang w:val="en-US" w:eastAsia="zh-CN" w:bidi="ar-SA"/>
    </w:rPr>
  </w:style>
  <w:style w:type="paragraph" w:customStyle="1" w:styleId="16">
    <w:name w:val="a"/>
    <w:basedOn w:val="1"/>
    <w:autoRedefine/>
    <w:qFormat/>
    <w:uiPriority w:val="99"/>
    <w:pPr>
      <w:widowControl/>
      <w:spacing w:before="100" w:beforeAutospacing="1" w:after="100" w:afterAutospacing="1"/>
      <w:jc w:val="left"/>
    </w:pPr>
    <w:rPr>
      <w:rFonts w:ascii="SimSun" w:hAnsi="SimSun" w:cs="SimSu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11</TotalTime>
  <ScaleCrop>false</ScaleCrop>
  <LinksUpToDate>false</LinksUpToDate>
  <CharactersWithSpaces>423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2023-06-14T09:44:00Z</cp:lastPrinted>
  <dcterms:modified xsi:type="dcterms:W3CDTF">2024-03-28T06:13:22Z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F65172BB41D64EA387C1AD70A5A4BFE5</vt:lpwstr>
  </property>
</Properties>
</file>