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hint="eastAsia" w:ascii="FZXiaoBiaoSong-B05S" w:hAnsi="SimSun" w:eastAsia="FZXiaoBiaoSong-B05S"/>
          <w:sz w:val="44"/>
          <w:szCs w:val="44"/>
          <w:lang w:val="en-US" w:eastAsia="zh-CN"/>
        </w:rPr>
      </w:pPr>
      <w:r>
        <w:rPr>
          <w:rFonts w:hint="eastAsia" w:ascii="FZXiaoBiaoSong-B05S" w:hAnsi="SimSun" w:eastAsia="FZXiaoBiaoSong-B05S"/>
          <w:sz w:val="44"/>
          <w:szCs w:val="44"/>
          <w:lang w:eastAsia="zh-CN"/>
        </w:rPr>
        <w:t>峨边彝族自治县人民检察院</w:t>
      </w:r>
      <w:r>
        <w:rPr>
          <w:rFonts w:hint="eastAsia" w:ascii="FZXiaoBiaoSong-B05S" w:hAnsi="SimSun" w:eastAsia="FZXiaoBiaoSong-B05S"/>
          <w:sz w:val="44"/>
          <w:szCs w:val="44"/>
          <w:lang w:val="en-US" w:eastAsia="zh-CN"/>
        </w:rPr>
        <w:t>2022年度</w:t>
      </w:r>
    </w:p>
    <w:p>
      <w:pPr>
        <w:autoSpaceDE w:val="0"/>
        <w:autoSpaceDN w:val="0"/>
        <w:adjustRightInd w:val="0"/>
        <w:jc w:val="center"/>
        <w:rPr>
          <w:rFonts w:ascii="SimHei" w:hAnsi="SimHei" w:eastAsia="SimHei" w:cs="SimSun"/>
          <w:b/>
          <w:kern w:val="0"/>
          <w:sz w:val="44"/>
          <w:szCs w:val="44"/>
        </w:rPr>
      </w:pPr>
      <w:r>
        <w:rPr>
          <w:rFonts w:hint="eastAsia" w:ascii="FZXiaoBiaoSong-B05S" w:hAnsi="SimSun" w:eastAsia="FZXiaoBiaoSong-B05S"/>
          <w:sz w:val="44"/>
          <w:szCs w:val="44"/>
          <w:lang w:val="en-US" w:eastAsia="zh-CN"/>
        </w:rPr>
        <w:t>项目支出绩效自评报告</w:t>
      </w:r>
    </w:p>
    <w:p>
      <w:pPr>
        <w:autoSpaceDE w:val="0"/>
        <w:autoSpaceDN w:val="0"/>
        <w:adjustRightInd w:val="0"/>
        <w:ind w:firstLine="3200" w:firstLineChars="1000"/>
        <w:jc w:val="both"/>
        <w:rPr>
          <w:rFonts w:hint="eastAsia" w:ascii="FangSong_GB2312" w:hAnsi="FangSong_GB2312" w:eastAsia="FangSong_GB2312" w:cs="FangSong_GB2312"/>
          <w:kern w:val="0"/>
          <w:sz w:val="32"/>
          <w:szCs w:val="32"/>
          <w:lang w:val="en-US" w:eastAsia="zh-CN"/>
        </w:rPr>
      </w:pPr>
      <w:r>
        <w:rPr>
          <w:rFonts w:hint="eastAsia" w:ascii="FangSong_GB2312" w:hAnsi="FangSong_GB2312" w:cs="FangSong_GB2312"/>
          <w:kern w:val="0"/>
          <w:sz w:val="32"/>
          <w:szCs w:val="32"/>
          <w:lang w:val="en-US" w:eastAsia="zh-CN"/>
        </w:rPr>
        <w:t>（司法救助</w:t>
      </w:r>
      <w:r>
        <w:rPr>
          <w:rFonts w:hint="eastAsia" w:ascii="FangSong_GB2312" w:hAnsi="FangSong_GB2312" w:eastAsia="FangSong_GB2312" w:cs="FangSong_GB2312"/>
          <w:kern w:val="0"/>
          <w:sz w:val="32"/>
          <w:szCs w:val="32"/>
          <w:lang w:val="en-US" w:eastAsia="zh-CN"/>
        </w:rPr>
        <w:t>）</w:t>
      </w:r>
    </w:p>
    <w:p>
      <w:pPr>
        <w:adjustRightInd w:val="0"/>
        <w:snapToGrid w:val="0"/>
        <w:spacing w:line="600" w:lineRule="exact"/>
        <w:ind w:firstLine="720"/>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val="0"/>
          <w:bCs/>
          <w:sz w:val="32"/>
          <w:szCs w:val="32"/>
          <w:lang w:val="zh-CN"/>
        </w:rPr>
        <w:t>（一）</w:t>
      </w:r>
      <w:r>
        <w:rPr>
          <w:rFonts w:hint="eastAsia" w:ascii="KaiTi_GB2312" w:hAnsi="SimSun" w:eastAsia="KaiTi_GB2312"/>
          <w:b/>
          <w:sz w:val="32"/>
          <w:szCs w:val="32"/>
          <w:lang w:val="zh-CN"/>
        </w:rPr>
        <w:t>项目基本情况。</w:t>
      </w:r>
    </w:p>
    <w:p>
      <w:pPr>
        <w:adjustRightInd w:val="0"/>
        <w:snapToGrid w:val="0"/>
        <w:spacing w:line="600" w:lineRule="exact"/>
        <w:ind w:firstLine="640" w:firstLineChars="200"/>
        <w:rPr>
          <w:rFonts w:hint="default"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按照中共中央政法委员会 财政部 最高人民法院 最高人民检察院 公安部 司法部关于印发《关于建立完善国家司法救助制度的意见（试行）》的通知（中政委[2014]3号）规定受到侵害但无法获得有效赔偿的当事人提出国家司法救助申请的，应当予以救助。</w:t>
      </w:r>
    </w:p>
    <w:p>
      <w:pPr>
        <w:numPr>
          <w:ilvl w:val="0"/>
          <w:numId w:val="1"/>
        </w:numPr>
        <w:autoSpaceDE w:val="0"/>
        <w:autoSpaceDN w:val="0"/>
        <w:adjustRightInd w:val="0"/>
        <w:spacing w:line="500" w:lineRule="exact"/>
        <w:ind w:firstLine="640" w:firstLineChars="200"/>
        <w:jc w:val="left"/>
        <w:rPr>
          <w:rFonts w:hint="eastAsia" w:ascii="KaiTi_GB2312" w:hAnsi="KaiTi_GB2312" w:eastAsia="KaiTi_GB2312" w:cs="KaiTi_GB2312"/>
          <w:b/>
          <w:sz w:val="32"/>
          <w:szCs w:val="32"/>
          <w:lang w:val="zh-CN"/>
        </w:rPr>
      </w:pPr>
      <w:r>
        <w:rPr>
          <w:rFonts w:hint="eastAsia" w:ascii="KaiTi_GB2312" w:hAnsi="KaiTi_GB2312" w:eastAsia="KaiTi_GB2312" w:cs="KaiTi_GB2312"/>
          <w:b/>
          <w:sz w:val="32"/>
          <w:szCs w:val="32"/>
          <w:lang w:val="zh-CN"/>
        </w:rPr>
        <w:t>项目绩效目标。</w:t>
      </w:r>
    </w:p>
    <w:p>
      <w:pPr>
        <w:numPr>
          <w:ilvl w:val="0"/>
          <w:numId w:val="0"/>
        </w:numPr>
        <w:autoSpaceDE w:val="0"/>
        <w:autoSpaceDN w:val="0"/>
        <w:adjustRightInd w:val="0"/>
        <w:spacing w:line="500" w:lineRule="exact"/>
        <w:ind w:firstLine="640" w:firstLineChars="200"/>
        <w:jc w:val="left"/>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救助人数大于6人，救助金5.28万元全部发放到位，资金支付时间为2022年内。帮助受到侵害但无法获得有效赔偿的当事人，帮助他们摆脱生活困境，彰显党和政府的民生关怀，有利于实现社会公平正义，促进社会和谐稳定，维护司法权威和公信</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en-US" w:eastAsia="zh-CN"/>
        </w:rPr>
        <w:t>从实际出发，进行项目开展的可行性分析，落实资金使用安排。项目绩效评价实施步骤：1、了解业务工作完成情况。2、收集核查资料。收集该项目相关政策文件和项目单位相关制度等资料；核查相关制度是否完善，资金使用和费用报销是否合规、手续是否齐全、是否存在挤占、截留、挪用等情况。3、得出评价结论，形成绩效评价报告。</w:t>
      </w:r>
    </w:p>
    <w:p>
      <w:pPr>
        <w:adjustRightInd w:val="0"/>
        <w:snapToGrid w:val="0"/>
        <w:spacing w:line="600" w:lineRule="exact"/>
        <w:ind w:firstLine="720"/>
        <w:rPr>
          <w:rFonts w:hint="eastAsia" w:ascii="SimHei" w:hAnsi="SimSun" w:eastAsia="SimHei"/>
          <w:sz w:val="32"/>
          <w:szCs w:val="32"/>
        </w:rPr>
      </w:pPr>
      <w:r>
        <w:rPr>
          <w:rFonts w:hint="eastAsia" w:ascii="SimHei" w:hAnsi="SimSun" w:eastAsia="SimHei"/>
          <w:sz w:val="32"/>
          <w:szCs w:val="32"/>
        </w:rPr>
        <w:t>二、项目资金申报及使用情况</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此项目于2022年初预算</w:t>
      </w:r>
      <w:r>
        <w:rPr>
          <w:rFonts w:hint="eastAsia" w:ascii="FangSong_GB2312" w:hAnsi="FangSong_GB2312" w:cs="FangSong_GB2312"/>
          <w:b w:val="0"/>
          <w:bCs/>
          <w:sz w:val="32"/>
          <w:szCs w:val="32"/>
          <w:lang w:val="en-US" w:eastAsia="zh-CN"/>
        </w:rPr>
        <w:t>5.28万元。财政批复5.28万元。</w:t>
      </w:r>
    </w:p>
    <w:p>
      <w:pPr>
        <w:adjustRightInd w:val="0"/>
        <w:snapToGrid w:val="0"/>
        <w:spacing w:line="600" w:lineRule="exact"/>
        <w:ind w:firstLine="720"/>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1．资金计划。</w:t>
      </w:r>
      <w:r>
        <w:rPr>
          <w:rFonts w:hint="eastAsia" w:ascii="FangSong_GB2312" w:hAnsi="FangSong_GB2312" w:cs="FangSong_GB2312"/>
          <w:b w:val="0"/>
          <w:bCs/>
          <w:sz w:val="32"/>
          <w:szCs w:val="32"/>
          <w:lang w:val="zh-CN" w:eastAsia="zh-CN"/>
        </w:rPr>
        <w:t>该工作经费正常年度预算，全年预算金额为</w:t>
      </w:r>
      <w:r>
        <w:rPr>
          <w:rFonts w:hint="eastAsia" w:ascii="FangSong_GB2312" w:hAnsi="FangSong_GB2312" w:cs="FangSong_GB2312"/>
          <w:b w:val="0"/>
          <w:bCs/>
          <w:sz w:val="32"/>
          <w:szCs w:val="32"/>
          <w:lang w:val="en-US" w:eastAsia="zh-CN"/>
        </w:rPr>
        <w:t>5.28万元</w:t>
      </w:r>
      <w:r>
        <w:rPr>
          <w:rFonts w:hint="eastAsia" w:ascii="FangSong_GB2312" w:hAnsi="FangSong_GB2312" w:cs="FangSong_GB2312"/>
          <w:b w:val="0"/>
          <w:bCs/>
          <w:sz w:val="32"/>
          <w:szCs w:val="32"/>
          <w:lang w:val="zh-CN" w:eastAsia="zh-CN"/>
        </w:rPr>
        <w:t>，其中县级财政资金</w:t>
      </w:r>
      <w:r>
        <w:rPr>
          <w:rFonts w:hint="eastAsia" w:ascii="FangSong_GB2312" w:hAnsi="FangSong_GB2312" w:cs="FangSong_GB2312"/>
          <w:b w:val="0"/>
          <w:bCs/>
          <w:sz w:val="32"/>
          <w:szCs w:val="32"/>
          <w:lang w:val="en-US" w:eastAsia="zh-CN"/>
        </w:rPr>
        <w:t>5.28万元</w:t>
      </w:r>
      <w:r>
        <w:rPr>
          <w:rFonts w:hint="eastAsia" w:ascii="FangSong_GB2312" w:hAnsi="FangSong_GB2312" w:cs="FangSong_GB2312"/>
          <w:b w:val="0"/>
          <w:bCs/>
          <w:sz w:val="32"/>
          <w:szCs w:val="32"/>
          <w:lang w:val="zh-CN" w:eastAsia="zh-CN"/>
        </w:rPr>
        <w:t>。</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2．资金到位。</w:t>
      </w:r>
      <w:r>
        <w:rPr>
          <w:rFonts w:hint="eastAsia" w:ascii="FangSong_GB2312" w:hAnsi="FangSong_GB2312" w:cs="FangSong_GB2312"/>
          <w:b w:val="0"/>
          <w:bCs/>
          <w:sz w:val="32"/>
          <w:szCs w:val="32"/>
          <w:lang w:val="zh-CN" w:eastAsia="zh-CN"/>
        </w:rPr>
        <w:t>2022年自治县财政局下达了检察院换装经费</w:t>
      </w:r>
      <w:r>
        <w:rPr>
          <w:rFonts w:hint="eastAsia" w:ascii="FangSong_GB2312" w:hAnsi="FangSong_GB2312" w:cs="FangSong_GB2312"/>
          <w:b w:val="0"/>
          <w:bCs/>
          <w:sz w:val="32"/>
          <w:szCs w:val="32"/>
          <w:lang w:val="en-US" w:eastAsia="zh-CN"/>
        </w:rPr>
        <w:t>5.28万元</w:t>
      </w:r>
      <w:r>
        <w:rPr>
          <w:rFonts w:hint="eastAsia" w:ascii="FangSong_GB2312" w:hAnsi="FangSong_GB2312" w:cs="FangSong_GB2312"/>
          <w:b w:val="0"/>
          <w:bCs/>
          <w:sz w:val="32"/>
          <w:szCs w:val="32"/>
          <w:lang w:val="zh-CN"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KaiTi_GB2312" w:hAnsi="SimSun" w:eastAsia="KaiTi_GB2312"/>
          <w:lang w:val="zh-CN"/>
        </w:rPr>
        <w:t>3．资金使用。</w:t>
      </w:r>
      <w:r>
        <w:rPr>
          <w:rFonts w:hint="eastAsia" w:ascii="FangSong_GB2312" w:hAnsi="FangSong_GB2312" w:cs="FangSong_GB2312"/>
          <w:b w:val="0"/>
          <w:bCs/>
          <w:sz w:val="32"/>
          <w:szCs w:val="32"/>
          <w:lang w:val="zh-CN" w:eastAsia="zh-CN"/>
        </w:rPr>
        <w:t>此项目预算资金按照实报实销的原则我</w:t>
      </w:r>
      <w:r>
        <w:rPr>
          <w:rFonts w:hint="eastAsia" w:ascii="FangSong_GB2312" w:hAnsi="FangSong_GB2312" w:cs="FangSong_GB2312"/>
          <w:b w:val="0"/>
          <w:bCs/>
          <w:sz w:val="32"/>
          <w:szCs w:val="32"/>
          <w:lang w:val="en-US" w:eastAsia="zh-CN"/>
        </w:rPr>
        <w:t>镇</w:t>
      </w:r>
      <w:r>
        <w:rPr>
          <w:rFonts w:hint="eastAsia" w:ascii="FangSong_GB2312" w:hAnsi="FangSong_GB2312" w:cs="FangSong_GB2312"/>
          <w:b w:val="0"/>
          <w:bCs/>
          <w:sz w:val="32"/>
          <w:szCs w:val="32"/>
          <w:lang w:val="zh-CN" w:eastAsia="zh-CN"/>
        </w:rPr>
        <w:t>于2022年</w:t>
      </w:r>
      <w:r>
        <w:rPr>
          <w:rFonts w:hint="eastAsia" w:ascii="FangSong_GB2312" w:hAnsi="FangSong_GB2312" w:cs="FangSong_GB2312"/>
          <w:b w:val="0"/>
          <w:bCs/>
          <w:sz w:val="32"/>
          <w:szCs w:val="32"/>
          <w:lang w:val="en-US" w:eastAsia="zh-CN"/>
        </w:rPr>
        <w:t>5月7日</w:t>
      </w:r>
      <w:r>
        <w:rPr>
          <w:rFonts w:hint="eastAsia" w:ascii="FangSong_GB2312" w:hAnsi="FangSong_GB2312" w:cs="FangSong_GB2312"/>
          <w:b w:val="0"/>
          <w:bCs/>
          <w:sz w:val="32"/>
          <w:szCs w:val="32"/>
          <w:lang w:val="zh-CN" w:eastAsia="zh-CN"/>
        </w:rPr>
        <w:t>支付资金完成</w:t>
      </w:r>
      <w:r>
        <w:rPr>
          <w:rFonts w:hint="eastAsia" w:ascii="FangSong_GB2312" w:hAnsi="FangSong_GB2312" w:cs="FangSong_GB2312"/>
          <w:b w:val="0"/>
          <w:bCs/>
          <w:sz w:val="32"/>
          <w:szCs w:val="32"/>
          <w:lang w:val="en-US" w:eastAsia="zh-CN"/>
        </w:rPr>
        <w:t>5.28万元</w:t>
      </w:r>
      <w:r>
        <w:rPr>
          <w:rFonts w:hint="eastAsia" w:ascii="FangSong_GB2312" w:hAnsi="FangSong_GB2312" w:cs="FangSong_GB2312"/>
          <w:b w:val="0"/>
          <w:bCs/>
          <w:sz w:val="32"/>
          <w:szCs w:val="32"/>
          <w:lang w:val="zh-CN" w:eastAsia="zh-CN"/>
        </w:rPr>
        <w:t>，项目资金</w:t>
      </w:r>
      <w:r>
        <w:rPr>
          <w:rFonts w:hint="eastAsia" w:ascii="FangSong_GB2312" w:hAnsi="FangSong_GB2312" w:cs="FangSong_GB2312"/>
          <w:b w:val="0"/>
          <w:bCs/>
          <w:sz w:val="32"/>
          <w:szCs w:val="32"/>
          <w:lang w:val="en-US" w:eastAsia="zh-CN"/>
        </w:rPr>
        <w:t>无</w:t>
      </w:r>
      <w:r>
        <w:rPr>
          <w:rFonts w:hint="eastAsia" w:ascii="FangSong_GB2312" w:hAnsi="FangSong_GB2312" w:cs="FangSong_GB2312"/>
          <w:b w:val="0"/>
          <w:bCs/>
          <w:sz w:val="32"/>
          <w:szCs w:val="32"/>
          <w:lang w:val="zh-CN" w:eastAsia="zh-CN"/>
        </w:rPr>
        <w:t>结余。</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FangSong_GB2312" w:cs="FangSong_GB2312"/>
          <w:b w:val="0"/>
          <w:bCs/>
          <w:sz w:val="32"/>
          <w:szCs w:val="32"/>
          <w:lang w:val="zh-CN" w:eastAsia="zh-CN"/>
        </w:rPr>
        <w:t>项目实施单位财务管理制度健全，严格执行财务管理制度，账务处理及时，会计核算规范。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sz w:val="32"/>
          <w:szCs w:val="32"/>
          <w:lang w:val="zh-CN"/>
        </w:rPr>
      </w:pPr>
      <w:r>
        <w:rPr>
          <w:rFonts w:hint="eastAsia" w:ascii="SimHei" w:hAnsi="SimSun" w:eastAsia="SimHei"/>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项目实施由主要领导负总责，分管领导指导，办公室具体负责，组织机构健全，分工明确。项目资金做到专款专用，严格把好事前（开支计划）、事中（跟踪问效）和事后（报销结算）的实施流程。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资金使用严格按照《财政专项资金管理办法》和我院财务管理制度，按月向县财政局提交用款计划申请，对资金使用严格审批，经分管领导审核确认后方可支出，并按照相关政策规定进行账务处理，经费支出手续齐备，从申请－审核－</w:t>
      </w:r>
      <w:bookmarkStart w:id="0" w:name="_GoBack"/>
      <w:bookmarkEnd w:id="0"/>
      <w:r>
        <w:rPr>
          <w:rFonts w:hint="eastAsia" w:ascii="FangSong_GB2312" w:hAnsi="FangSong_GB2312" w:cs="FangSong_GB2312"/>
          <w:b w:val="0"/>
          <w:bCs/>
          <w:sz w:val="32"/>
          <w:szCs w:val="32"/>
          <w:lang w:val="zh-CN" w:eastAsia="zh-CN"/>
        </w:rPr>
        <w:t>批准的支付款项程序到位，落实专款专用原则。</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建立了《峨边彝族自治县人民检察院费用支出报销审批制度》，加强财务内部审核，严格财务报销程序、报销要件。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FangSong_GB2312" w:hAnsi="SimSun"/>
          <w:sz w:val="32"/>
          <w:szCs w:val="32"/>
          <w:lang w:val="zh-CN"/>
        </w:rPr>
      </w:pPr>
      <w:r>
        <w:rPr>
          <w:rFonts w:hint="eastAsia" w:ascii="SimHei" w:hAnsi="SimSun" w:eastAsia="SimHei"/>
          <w:sz w:val="32"/>
          <w:szCs w:val="32"/>
          <w:lang w:eastAsia="zh-CN"/>
        </w:rPr>
        <w:t>四、</w:t>
      </w:r>
      <w:r>
        <w:rPr>
          <w:rFonts w:hint="eastAsia" w:ascii="SimHei" w:hAnsi="SimSun" w:eastAsia="SimHei"/>
          <w:sz w:val="32"/>
          <w:szCs w:val="32"/>
        </w:rPr>
        <w:t>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zh-CN"/>
        </w:rPr>
        <w:t>数量指标：救助人数</w:t>
      </w:r>
      <w:r>
        <w:rPr>
          <w:rFonts w:hint="eastAsia" w:ascii="FangSong_GB2312" w:hAnsi="SimSun"/>
          <w:sz w:val="32"/>
          <w:szCs w:val="32"/>
          <w:lang w:val="en-US" w:eastAsia="zh-CN"/>
        </w:rPr>
        <w:t>6人。</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质量指标：资金支付率100%。</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时效指标：完成时间：2022年12月之前。</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满意度指标：群众满意度≥90%。</w:t>
      </w:r>
    </w:p>
    <w:p>
      <w:pPr>
        <w:numPr>
          <w:ilvl w:val="0"/>
          <w:numId w:val="3"/>
        </w:num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项目效益情况。</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1.经济效益指标：无</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2.社会效益指标：有效维护社会大局和谐稳定。</w:t>
      </w:r>
    </w:p>
    <w:p>
      <w:pPr>
        <w:adjustRightInd w:val="0"/>
        <w:snapToGrid w:val="0"/>
        <w:spacing w:line="600" w:lineRule="exact"/>
        <w:ind w:firstLine="640" w:firstLineChars="200"/>
        <w:rPr>
          <w:rFonts w:hint="eastAsia" w:ascii="FangSong_GB2312" w:hAnsi="SimSun"/>
          <w:sz w:val="32"/>
          <w:szCs w:val="32"/>
          <w:lang w:val="en-US" w:eastAsia="zh-CN"/>
        </w:rPr>
      </w:pPr>
      <w:r>
        <w:rPr>
          <w:rFonts w:hint="eastAsia" w:ascii="FangSong_GB2312" w:hAnsi="SimSun"/>
          <w:sz w:val="32"/>
          <w:szCs w:val="32"/>
          <w:lang w:val="en-US" w:eastAsia="zh-CN"/>
        </w:rPr>
        <w:t>3.可持续影响指标：无</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4.满意度指标：群众满意度≥90%。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SimHei" w:hAnsi="SimSun" w:eastAsia="SimHei"/>
          <w:sz w:val="32"/>
          <w:szCs w:val="32"/>
        </w:rPr>
      </w:pPr>
      <w:r>
        <w:rPr>
          <w:rFonts w:hint="eastAsia" w:ascii="SimHei" w:hAnsi="SimSun" w:eastAsia="SimHei"/>
          <w:sz w:val="32"/>
          <w:szCs w:val="32"/>
          <w:lang w:eastAsia="zh-CN"/>
        </w:rPr>
        <w:t>五</w:t>
      </w:r>
      <w:r>
        <w:rPr>
          <w:rFonts w:hint="eastAsia" w:ascii="SimHei" w:hAnsi="SimSun" w:eastAsia="SimHei"/>
          <w:sz w:val="32"/>
          <w:szCs w:val="32"/>
        </w:rPr>
        <w:t>、评价结论及建议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（一）评价结论。</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我院司法救助项目绩效评价总体得分及评价结果为98分。</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无</w:t>
      </w:r>
    </w:p>
    <w:p>
      <w:pPr>
        <w:numPr>
          <w:ilvl w:val="0"/>
          <w:numId w:val="0"/>
        </w:numPr>
        <w:adjustRightInd w:val="0"/>
        <w:snapToGrid w:val="0"/>
        <w:spacing w:line="600" w:lineRule="exact"/>
        <w:ind w:firstLine="640" w:firstLineChars="200"/>
        <w:rPr>
          <w:rFonts w:hint="eastAsia" w:ascii="KaiTi_GB2312" w:hAnsi="SimSun" w:eastAsia="KaiTi_GB2312"/>
          <w:b/>
          <w:sz w:val="32"/>
          <w:szCs w:val="32"/>
          <w:lang w:val="zh-CN"/>
        </w:rPr>
      </w:pPr>
      <w:r>
        <w:rPr>
          <w:rFonts w:hint="eastAsia" w:ascii="KaiTi_GB2312" w:hAnsi="SimSun" w:eastAsia="KaiTi_GB2312"/>
          <w:b/>
          <w:sz w:val="32"/>
          <w:szCs w:val="32"/>
          <w:lang w:val="zh-CN"/>
        </w:rPr>
        <w:t>（三）相关建议。</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无</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32ADBC3B-9BAD-44C6-82E0-86BBECA5740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2" w:fontKey="{B86CC139-6B4C-419D-AEFE-C27863A66654}"/>
  </w:font>
  <w:font w:name="FangSong_GB2312">
    <w:panose1 w:val="02010609030101010101"/>
    <w:charset w:val="86"/>
    <w:family w:val="modern"/>
    <w:pitch w:val="default"/>
    <w:sig w:usb0="00000001" w:usb1="080E0000" w:usb2="00000000" w:usb3="00000000" w:csb0="00040000" w:csb1="00000000"/>
    <w:embedRegular r:id="rId3" w:fontKey="{2A7BE687-14C5-42EE-A44D-45BA6131E2DE}"/>
  </w:font>
  <w:font w:name="FZXiaoBiaoSong-B05S">
    <w:panose1 w:val="02000000000000000000"/>
    <w:charset w:val="86"/>
    <w:family w:val="script"/>
    <w:pitch w:val="default"/>
    <w:sig w:usb0="00000001" w:usb1="080E0000" w:usb2="00000000" w:usb3="00000000" w:csb0="00040000" w:csb1="00000000"/>
    <w:embedRegular r:id="rId4" w:fontKey="{015FD87A-AC6B-4EDB-9231-EAE1E7DFC94D}"/>
  </w:font>
  <w:font w:name="KaiTi_GB2312">
    <w:panose1 w:val="02010609030101010101"/>
    <w:charset w:val="86"/>
    <w:family w:val="auto"/>
    <w:pitch w:val="default"/>
    <w:sig w:usb0="00000001" w:usb1="080E0000" w:usb2="00000000" w:usb3="00000000" w:csb0="00040000" w:csb1="00000000"/>
    <w:embedRegular r:id="rId5" w:fontKey="{31BC8CC1-79EF-4A37-844B-64B577842684}"/>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abstractNum w:abstractNumId="2">
    <w:nsid w:val="60D994C3"/>
    <w:multiLevelType w:val="singleLevel"/>
    <w:tmpl w:val="60D994C3"/>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3193673"/>
    <w:rsid w:val="05272CC4"/>
    <w:rsid w:val="08AB1F39"/>
    <w:rsid w:val="093F12D8"/>
    <w:rsid w:val="0A754FBA"/>
    <w:rsid w:val="0B797DC8"/>
    <w:rsid w:val="12983CDA"/>
    <w:rsid w:val="17EE37FD"/>
    <w:rsid w:val="1BEF4851"/>
    <w:rsid w:val="1FBA0E92"/>
    <w:rsid w:val="301E47E3"/>
    <w:rsid w:val="32A5753B"/>
    <w:rsid w:val="349214A7"/>
    <w:rsid w:val="359D33CE"/>
    <w:rsid w:val="39813C7E"/>
    <w:rsid w:val="3E233C19"/>
    <w:rsid w:val="47ED4049"/>
    <w:rsid w:val="4CB7096E"/>
    <w:rsid w:val="579C4BC3"/>
    <w:rsid w:val="5AE5229F"/>
    <w:rsid w:val="5E5845BE"/>
    <w:rsid w:val="66E95699"/>
    <w:rsid w:val="6CA6168A"/>
    <w:rsid w:val="7002319A"/>
    <w:rsid w:val="7A4A0B43"/>
    <w:rsid w:val="7CF42574"/>
    <w:rsid w:val="7DE145C0"/>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0"/>
      <w:szCs w:val="24"/>
      <w:lang w:val="en-US" w:eastAsia="zh-CN" w:bidi="ar-SA"/>
    </w:rPr>
  </w:style>
  <w:style w:type="character" w:default="1" w:styleId="6">
    <w:name w:val="Default Paragraph Font"/>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spacing w:before="100" w:beforeAutospacing="1" w:after="100" w:afterAutospacing="1"/>
      <w:jc w:val="left"/>
    </w:pPr>
    <w:rPr>
      <w:rFonts w:ascii="Calibri" w:hAnsi="Calibri" w:eastAsia="SimSun"/>
      <w:kern w:val="0"/>
      <w:sz w:val="24"/>
      <w:szCs w:val="24"/>
    </w:rPr>
  </w:style>
  <w:style w:type="character" w:styleId="7">
    <w:name w:val="page number"/>
    <w:basedOn w:val="6"/>
    <w:autoRedefine/>
    <w:qFormat/>
    <w:uiPriority w:val="0"/>
  </w:style>
  <w:style w:type="character" w:customStyle="1" w:styleId="8">
    <w:name w:val="页脚 Char"/>
    <w:link w:val="2"/>
    <w:autoRedefine/>
    <w:qFormat/>
    <w:uiPriority w:val="0"/>
    <w:rPr>
      <w:rFonts w:eastAsia="FangSong_GB2312"/>
      <w:sz w:val="18"/>
      <w:szCs w:val="18"/>
    </w:rPr>
  </w:style>
  <w:style w:type="character" w:customStyle="1" w:styleId="9">
    <w:name w:val="页脚 Char1"/>
    <w:basedOn w:val="6"/>
    <w:link w:val="2"/>
    <w:autoRedefine/>
    <w:semiHidden/>
    <w:qFormat/>
    <w:uiPriority w:val="99"/>
    <w:rPr>
      <w:rFonts w:ascii="Times New Roman" w:hAnsi="Times New Roman" w:eastAsia="FangSong_GB2312" w:cs="Times New Roman"/>
      <w:sz w:val="18"/>
      <w:szCs w:val="18"/>
    </w:rPr>
  </w:style>
  <w:style w:type="character" w:customStyle="1" w:styleId="10">
    <w:name w:val="页眉 Char"/>
    <w:basedOn w:val="6"/>
    <w:link w:val="3"/>
    <w:autoRedefine/>
    <w:semiHidden/>
    <w:qFormat/>
    <w:uiPriority w:val="99"/>
    <w:rPr>
      <w:rFonts w:ascii="Times New Roman" w:hAnsi="Times New Roman" w:eastAsia="FangSong_GB2312" w:cs="Times New Roman"/>
      <w:sz w:val="18"/>
      <w:szCs w:val="18"/>
    </w:rPr>
  </w:style>
  <w:style w:type="paragraph" w:customStyle="1"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207</Words>
  <Characters>1185</Characters>
  <Lines>9</Lines>
  <Paragraphs>2</Paragraphs>
  <TotalTime>0</TotalTime>
  <ScaleCrop>false</ScaleCrop>
  <LinksUpToDate>false</LinksUpToDate>
  <CharactersWithSpaces>1390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碧云天</cp:lastModifiedBy>
  <cp:lastPrinted>2020-07-17T07:07:00Z</cp:lastPrinted>
  <dcterms:modified xsi:type="dcterms:W3CDTF">2024-03-28T04:00:24Z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0688B1856F9A4EBF93C650A4EBC2F43D</vt:lpwstr>
  </property>
</Properties>
</file>