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eastAsia="zh-CN"/>
        </w:rPr>
      </w:pPr>
      <w:r>
        <w:rPr>
          <w:rFonts w:hint="eastAsia" w:ascii="FZXiaoBiaoSong-B05S" w:hAnsi="SimSun" w:eastAsia="FZXiaoBiaoSong-B05S"/>
          <w:sz w:val="44"/>
          <w:szCs w:val="44"/>
          <w:lang w:eastAsia="zh-CN"/>
        </w:rPr>
        <w:t>峨边彝族自治县人民检察院</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2022年度项目支出绩效自评报告</w:t>
      </w:r>
    </w:p>
    <w:p>
      <w:pPr>
        <w:autoSpaceDE w:val="0"/>
        <w:autoSpaceDN w:val="0"/>
        <w:adjustRightInd w:val="0"/>
        <w:jc w:val="both"/>
        <w:rPr>
          <w:rFonts w:hint="eastAsia" w:ascii="FangSong_GB2312" w:hAnsi="FangSong_GB2312" w:eastAsia="FangSong_GB2312" w:cs="FangSong_GB2312"/>
          <w:kern w:val="0"/>
          <w:sz w:val="24"/>
          <w:szCs w:val="24"/>
          <w:lang w:val="en-US" w:eastAsia="zh-CN"/>
        </w:rPr>
      </w:pPr>
    </w:p>
    <w:p>
      <w:pPr>
        <w:adjustRightInd w:val="0"/>
        <w:snapToGrid w:val="0"/>
        <w:spacing w:line="600" w:lineRule="exact"/>
        <w:ind w:firstLine="640" w:firstLineChars="200"/>
        <w:jc w:val="center"/>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（办案和专业技术用房、新增业务用房及地下公共车库建设项目前期开支费用）</w:t>
      </w:r>
    </w:p>
    <w:p>
      <w:pPr>
        <w:adjustRightInd w:val="0"/>
        <w:snapToGrid w:val="0"/>
        <w:spacing w:line="600" w:lineRule="exact"/>
        <w:ind w:firstLine="720"/>
        <w:rPr>
          <w:rFonts w:hint="eastAsia" w:ascii="SimHei" w:hAnsi="SimSun" w:eastAsia="SimHei"/>
          <w:sz w:val="32"/>
          <w:szCs w:val="32"/>
        </w:rPr>
      </w:pP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lang w:val="en-US" w:eastAsia="zh-CN"/>
        </w:rPr>
      </w:pPr>
      <w:r>
        <w:rPr>
          <w:rFonts w:hint="eastAsia" w:ascii="FangSong_GB2312" w:hAnsi="FangSong" w:cs="FangSong"/>
          <w:sz w:val="32"/>
          <w:szCs w:val="32"/>
          <w:lang w:eastAsia="zh-CN"/>
        </w:rPr>
        <w:t>按合同进度完成两房建设监理费用的支付。</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支付监理费35.35万元，支付时间2022年内</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35.35万元。财政批复35.35万元。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2022年自治县财政局下达了检察院两房建设前期费用资金</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镇</w:t>
      </w:r>
      <w:r>
        <w:rPr>
          <w:rFonts w:hint="eastAsia" w:ascii="FangSong_GB2312" w:hAnsi="FangSong_GB2312" w:cs="FangSong_GB2312"/>
          <w:b w:val="0"/>
          <w:bCs/>
          <w:sz w:val="32"/>
          <w:szCs w:val="32"/>
          <w:lang w:val="zh-CN" w:eastAsia="zh-CN"/>
        </w:rPr>
        <w:t>于2022年支付资金完成</w:t>
      </w:r>
      <w:r>
        <w:rPr>
          <w:rFonts w:hint="eastAsia" w:ascii="FangSong_GB2312" w:hAnsi="FangSong_GB2312" w:cs="FangSong_GB2312"/>
          <w:b w:val="0"/>
          <w:bCs/>
          <w:sz w:val="32"/>
          <w:szCs w:val="32"/>
          <w:lang w:val="en-US" w:eastAsia="zh-CN"/>
        </w:rPr>
        <w:t>35.35万元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数量指标：支付金额</w:t>
      </w:r>
      <w:r>
        <w:rPr>
          <w:rFonts w:hint="eastAsia" w:ascii="FangSong_GB2312" w:hAnsi="SimSun"/>
          <w:sz w:val="32"/>
          <w:szCs w:val="32"/>
          <w:lang w:val="en-US" w:eastAsia="zh-CN"/>
        </w:rPr>
        <w:t>35.35万元。</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KaiTi_GB2312" w:hAnsi="SimSun" w:eastAsia="KaiTi_GB2312"/>
          <w:b/>
          <w:sz w:val="32"/>
          <w:szCs w:val="32"/>
          <w:lang w:val="zh-CN"/>
        </w:rPr>
      </w:pPr>
      <w:r>
        <w:rPr>
          <w:rFonts w:hint="eastAsia" w:ascii="FangSong_GB2312" w:hAnsi="SimSun"/>
          <w:sz w:val="32"/>
          <w:szCs w:val="32"/>
          <w:lang w:val="zh-CN" w:eastAsia="zh-CN"/>
        </w:rPr>
        <w:t>我院办案和专业技术用房、新增业务用房及地下公共车库建设项目前期开支费用绩效评价总体得分及评价结果为98分。从自评情况来看，峨边彝族自治县人民检察院项目预算</w:t>
      </w:r>
      <w:bookmarkStart w:id="0" w:name="_GoBack"/>
      <w:bookmarkEnd w:id="0"/>
      <w:r>
        <w:rPr>
          <w:rFonts w:hint="eastAsia" w:ascii="FangSong_GB2312" w:hAnsi="SimSun"/>
          <w:sz w:val="32"/>
          <w:szCs w:val="32"/>
          <w:lang w:val="zh-CN" w:eastAsia="zh-CN"/>
        </w:rPr>
        <w:t>、决算编制合理，支出高效规范，财政支出确保了机关正常运转，保证了项目开支，财政支出绩效良好。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绩效目标设置不够完善。项目总体目标较为宏观，未设置分节点目标，目标设置不够细化、量化，难以衡量项目资金产出的效益。</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建立绩效意识，规范目标设置。专项资金从立项编预算开始就设置规范的绩效目标与合理的绩效指标。对项目的个性化分析，总结以前年度数据。归纳和提炼项目产出相关的数量、质量、时效及社会效益指标。</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52709278-F62B-495D-AE40-14ACD05BCE9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040C74D5-2B82-4DEE-9C60-6EC1990031CA}"/>
  </w:font>
  <w:font w:name="SimSun">
    <w:panose1 w:val="02010600030101010101"/>
    <w:charset w:val="7A"/>
    <w:family w:val="auto"/>
    <w:pitch w:val="default"/>
    <w:sig w:usb0="00000003" w:usb1="288F0000" w:usb2="00000006" w:usb3="00000000" w:csb0="00040001" w:csb1="00000000"/>
    <w:embedRegular r:id="rId3" w:fontKey="{216157C4-E5C0-4245-99D5-22F65450AA73}"/>
  </w:font>
  <w:font w:name="FangSong_GB2312">
    <w:panose1 w:val="02010609030101010101"/>
    <w:charset w:val="86"/>
    <w:family w:val="modern"/>
    <w:pitch w:val="default"/>
    <w:sig w:usb0="00000001" w:usb1="080E0000" w:usb2="00000000" w:usb3="00000000" w:csb0="00040000" w:csb1="00000000"/>
    <w:embedRegular r:id="rId4" w:fontKey="{09A27068-9080-42F7-8A5A-8E48D157A862}"/>
  </w:font>
  <w:font w:name="FZXiaoBiaoSong-B05S">
    <w:panose1 w:val="02000000000000000000"/>
    <w:charset w:val="86"/>
    <w:family w:val="script"/>
    <w:pitch w:val="default"/>
    <w:sig w:usb0="00000001" w:usb1="080E0000" w:usb2="00000000" w:usb3="00000000" w:csb0="00040000" w:csb1="00000000"/>
    <w:embedRegular r:id="rId5" w:fontKey="{CE6C884D-5114-4408-B1F9-513237E3B08D}"/>
  </w:font>
  <w:font w:name="KaiTi_GB2312">
    <w:panose1 w:val="02010609030101010101"/>
    <w:charset w:val="86"/>
    <w:family w:val="auto"/>
    <w:pitch w:val="default"/>
    <w:sig w:usb0="00000001" w:usb1="080E0000" w:usb2="00000000" w:usb3="00000000" w:csb0="00040000" w:csb1="00000000"/>
    <w:embedRegular r:id="rId6" w:fontKey="{519469ED-D945-419B-9F3D-D7C859FEC1A3}"/>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67025E"/>
    <w:rsid w:val="0B797DC8"/>
    <w:rsid w:val="12983CDA"/>
    <w:rsid w:val="17EE37FD"/>
    <w:rsid w:val="1BEF4851"/>
    <w:rsid w:val="1FBA0E92"/>
    <w:rsid w:val="284D45B6"/>
    <w:rsid w:val="2CB765D1"/>
    <w:rsid w:val="301E47E3"/>
    <w:rsid w:val="32A5753B"/>
    <w:rsid w:val="349214A7"/>
    <w:rsid w:val="359D33CE"/>
    <w:rsid w:val="39813C7E"/>
    <w:rsid w:val="3E233C19"/>
    <w:rsid w:val="47ED4049"/>
    <w:rsid w:val="4CB7096E"/>
    <w:rsid w:val="53D17D9E"/>
    <w:rsid w:val="54696CA4"/>
    <w:rsid w:val="579C4BC3"/>
    <w:rsid w:val="5AE5229F"/>
    <w:rsid w:val="5E5845BE"/>
    <w:rsid w:val="66E95699"/>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autoRedefine/>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qFormat/>
    <w:uiPriority w:val="0"/>
  </w:style>
  <w:style w:type="character" w:customStyle="1" w:styleId="8">
    <w:name w:val="页脚 Char"/>
    <w:link w:val="2"/>
    <w:qFormat/>
    <w:uiPriority w:val="0"/>
    <w:rPr>
      <w:rFonts w:eastAsia="FangSong_GB2312"/>
      <w:sz w:val="18"/>
      <w:szCs w:val="18"/>
    </w:rPr>
  </w:style>
  <w:style w:type="character" w:customStyle="1" w:styleId="9">
    <w:name w:val="页脚 Char1"/>
    <w:basedOn w:val="6"/>
    <w:link w:val="2"/>
    <w:semiHidden/>
    <w:qFormat/>
    <w:uiPriority w:val="99"/>
    <w:rPr>
      <w:rFonts w:ascii="Times New Roman" w:hAnsi="Times New Roman" w:eastAsia="FangSong_GB2312" w:cs="Times New Roman"/>
      <w:sz w:val="18"/>
      <w:szCs w:val="18"/>
    </w:rPr>
  </w:style>
  <w:style w:type="character" w:customStyle="1" w:styleId="10">
    <w:name w:val="页眉 Char"/>
    <w:basedOn w:val="6"/>
    <w:link w:val="3"/>
    <w:semiHidden/>
    <w:qFormat/>
    <w:uiPriority w:val="99"/>
    <w:rPr>
      <w:rFonts w:ascii="Times New Roman" w:hAnsi="Times New Roman" w:eastAsia="FangSong_GB2312" w:cs="Times New Roman"/>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1276</Words>
  <Characters>1339</Characters>
  <Lines>9</Lines>
  <Paragraphs>2</Paragraphs>
  <TotalTime>2</TotalTime>
  <ScaleCrop>false</ScaleCrop>
  <LinksUpToDate>false</LinksUpToDate>
  <CharactersWithSpaces>1340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2024-03-28T03:57:58Z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