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方正黑体_GBK" w:hAnsi="宋体" w:eastAsia="方正黑体_GBK"/>
          <w:sz w:val="33"/>
          <w:szCs w:val="33"/>
          <w:lang w:val="en-US" w:eastAsia="zh-CN"/>
        </w:rPr>
      </w:pPr>
      <w:r>
        <w:rPr>
          <w:rFonts w:hint="eastAsia" w:ascii="方正黑体_GBK" w:hAnsi="宋体" w:eastAsia="方正黑体_GBK"/>
          <w:sz w:val="33"/>
          <w:szCs w:val="33"/>
          <w:lang w:val="zh-CN"/>
        </w:rPr>
        <w:t>附件</w:t>
      </w:r>
      <w:r>
        <w:rPr>
          <w:rFonts w:hint="eastAsia" w:ascii="方正黑体_GBK" w:hAnsi="宋体" w:eastAsia="方正黑体_GBK"/>
          <w:sz w:val="33"/>
          <w:szCs w:val="33"/>
          <w:lang w:val="en-US" w:eastAsia="zh-CN"/>
        </w:rPr>
        <w:t>2</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峨边彝族自治县人民检察院</w:t>
      </w:r>
      <w:r>
        <w:rPr>
          <w:rFonts w:hint="eastAsia" w:ascii="方正小标宋简体" w:hAnsi="宋体" w:eastAsia="方正小标宋简体"/>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微软雅黑" w:eastAsia="仿宋_GB2312" w:cs="仿宋_GB2312"/>
          <w:color w:val="000000"/>
          <w:kern w:val="0"/>
          <w:sz w:val="32"/>
          <w:szCs w:val="32"/>
          <w:shd w:val="clear" w:color="auto" w:fill="FFFFFF"/>
          <w:lang w:val="en-US" w:eastAsia="zh-CN" w:bidi="ar"/>
        </w:rPr>
        <w:t>峨边彝族自治县人民检察院行政单位1个，无下属二级单位。</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widowControl/>
        <w:adjustRightInd w:val="0"/>
        <w:snapToGrid w:val="0"/>
        <w:spacing w:line="580" w:lineRule="exact"/>
        <w:ind w:firstLine="640" w:firstLineChars="200"/>
        <w:contextualSpacing/>
        <w:jc w:val="left"/>
        <w:rPr>
          <w:rFonts w:ascii="仿宋_GB2312" w:hAnsi="微软雅黑" w:eastAsia="仿宋_GB2312" w:cs="仿宋_GB2312"/>
          <w:color w:val="000000"/>
          <w:kern w:val="0"/>
          <w:sz w:val="32"/>
          <w:szCs w:val="32"/>
          <w:shd w:val="clear" w:color="auto" w:fill="FFFFFF"/>
          <w:lang w:val="en-US" w:eastAsia="zh-CN" w:bidi="ar"/>
        </w:rPr>
      </w:pPr>
      <w:r>
        <w:rPr>
          <w:rFonts w:ascii="仿宋_GB2312" w:hAnsi="微软雅黑" w:eastAsia="仿宋_GB2312" w:cs="仿宋_GB2312"/>
          <w:color w:val="000000"/>
          <w:kern w:val="0"/>
          <w:sz w:val="32"/>
          <w:szCs w:val="32"/>
          <w:shd w:val="clear" w:color="auto" w:fill="FFFFFF"/>
          <w:lang w:val="en-US" w:eastAsia="zh-CN" w:bidi="ar"/>
        </w:rPr>
        <w:t>我国宪法规定人民检察院是国家的法律监督机关。人民检察院依法独立行使检察权，不受行政机关、社会团体和个人的干涉。我国宪法、人民检察院组织法、检察官法、刑法、刑事诉讼法、民事诉讼法、行政诉讼法等有关法律规定，明确了人民检察院的职权范围。主要职责是：</w:t>
      </w:r>
    </w:p>
    <w:p>
      <w:pPr>
        <w:widowControl/>
        <w:adjustRightInd w:val="0"/>
        <w:snapToGrid w:val="0"/>
        <w:spacing w:line="580" w:lineRule="exact"/>
        <w:ind w:firstLine="640" w:firstLineChars="200"/>
        <w:contextualSpacing/>
        <w:jc w:val="left"/>
        <w:rPr>
          <w:rFonts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1.依照法律规定对有关刑事案件行使侦查权；</w:t>
      </w:r>
    </w:p>
    <w:p>
      <w:pPr>
        <w:widowControl/>
        <w:adjustRightInd w:val="0"/>
        <w:snapToGrid w:val="0"/>
        <w:spacing w:line="580" w:lineRule="exact"/>
        <w:ind w:firstLine="640" w:firstLineChars="200"/>
        <w:contextualSpacing/>
        <w:jc w:val="left"/>
        <w:rPr>
          <w:rFonts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2.对刑事案件进行审查，批捕或者决定是否逮捕犯罪嫌疑人；3.对刑事案件进行审查，决定是否提起公诉，对决定提起公诉的案件支持公诉；</w:t>
      </w:r>
    </w:p>
    <w:p>
      <w:pPr>
        <w:widowControl/>
        <w:adjustRightInd w:val="0"/>
        <w:snapToGrid w:val="0"/>
        <w:spacing w:line="580" w:lineRule="exact"/>
        <w:ind w:firstLine="640" w:firstLineChars="200"/>
        <w:contextualSpacing/>
        <w:jc w:val="left"/>
        <w:rPr>
          <w:rFonts w:hint="eastAsia"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4.依照法律规定提起公益诉讼；</w:t>
      </w:r>
    </w:p>
    <w:p>
      <w:pPr>
        <w:widowControl/>
        <w:adjustRightInd w:val="0"/>
        <w:snapToGrid w:val="0"/>
        <w:spacing w:line="580" w:lineRule="exact"/>
        <w:ind w:firstLine="640" w:firstLineChars="200"/>
        <w:contextualSpacing/>
        <w:jc w:val="left"/>
        <w:rPr>
          <w:rFonts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5.对诉讼活动实行法律监督；</w:t>
      </w:r>
    </w:p>
    <w:p>
      <w:pPr>
        <w:widowControl/>
        <w:adjustRightInd w:val="0"/>
        <w:snapToGrid w:val="0"/>
        <w:spacing w:line="580" w:lineRule="exact"/>
        <w:ind w:firstLine="640" w:firstLineChars="200"/>
        <w:contextualSpacing/>
        <w:jc w:val="left"/>
        <w:rPr>
          <w:rFonts w:hint="eastAsia"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6.对判决、裁定等生效法律文书的执行工作实行法律监督；</w:t>
      </w:r>
    </w:p>
    <w:p>
      <w:pPr>
        <w:widowControl/>
        <w:adjustRightInd w:val="0"/>
        <w:snapToGrid w:val="0"/>
        <w:spacing w:line="580" w:lineRule="exact"/>
        <w:ind w:firstLine="640" w:firstLineChars="200"/>
        <w:contextualSpacing/>
        <w:jc w:val="left"/>
        <w:rPr>
          <w:rFonts w:hint="eastAsia"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7.对监狱、看守所的执法活动实行法律监督；</w:t>
      </w:r>
    </w:p>
    <w:p>
      <w:pPr>
        <w:widowControl/>
        <w:adjustRightInd w:val="0"/>
        <w:snapToGrid w:val="0"/>
        <w:spacing w:line="580" w:lineRule="exact"/>
        <w:ind w:firstLine="640" w:firstLineChars="200"/>
        <w:contextualSpacing/>
        <w:jc w:val="left"/>
        <w:rPr>
          <w:rFonts w:hint="eastAsia"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8.法律规定的其他职权。</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 w:hAnsi="仿宋" w:eastAsia="仿宋"/>
          <w:color w:val="000000"/>
          <w:kern w:val="2"/>
          <w:sz w:val="32"/>
          <w:szCs w:val="32"/>
          <w:lang w:val="en-US" w:eastAsia="zh-CN" w:bidi="ar-SA"/>
        </w:rPr>
        <w:t>县检察院总编制34名，其中：行政编制32名，工勤编制2名，事业编制0名。在职人员总数31名，其中：行政30名，工勤1名，事业0名。</w:t>
      </w:r>
    </w:p>
    <w:p>
      <w:pPr>
        <w:widowControl/>
        <w:numPr>
          <w:ilvl w:val="0"/>
          <w:numId w:val="0"/>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en-US" w:eastAsia="zh-CN"/>
        </w:rPr>
      </w:pP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auto"/>
          <w:kern w:val="0"/>
          <w:szCs w:val="32"/>
          <w:shd w:val="clear" w:color="auto" w:fill="FFFFFF"/>
          <w:lang w:val="zh-CN"/>
        </w:rPr>
      </w:pPr>
      <w:r>
        <w:rPr>
          <w:rFonts w:hint="eastAsia" w:ascii="楷体_GB2312" w:hAnsi="宋体" w:eastAsia="楷体_GB2312" w:cs="宋体"/>
          <w:color w:val="auto"/>
          <w:kern w:val="0"/>
          <w:szCs w:val="32"/>
          <w:shd w:val="clear" w:color="auto" w:fill="FFFFFF"/>
          <w:lang w:val="zh-CN"/>
        </w:rPr>
        <w:t>年度主要工作任务。</w:t>
      </w:r>
    </w:p>
    <w:p>
      <w:pPr>
        <w:keepNext w:val="0"/>
        <w:keepLines w:val="0"/>
        <w:pageBreakBefore w:val="0"/>
        <w:widowControl w:val="0"/>
        <w:kinsoku/>
        <w:wordWrap/>
        <w:overflowPunct/>
        <w:topLinePunct w:val="0"/>
        <w:autoSpaceDE/>
        <w:autoSpaceDN/>
        <w:bidi w:val="0"/>
        <w:adjustRightInd w:val="0"/>
        <w:snapToGrid w:val="0"/>
        <w:spacing w:line="600" w:lineRule="exact"/>
        <w:ind w:firstLine="632" w:firstLineChars="200"/>
        <w:jc w:val="both"/>
        <w:textAlignment w:val="auto"/>
        <w:rPr>
          <w:rFonts w:hint="eastAsia" w:ascii="楷体_GB2312" w:hAnsi="宋体" w:eastAsia="楷体_GB2312" w:cs="宋体"/>
          <w:color w:val="000000"/>
          <w:kern w:val="0"/>
          <w:szCs w:val="32"/>
          <w:shd w:val="clear" w:color="auto" w:fill="FFFFFF"/>
          <w:lang w:val="en-US" w:eastAsia="zh-CN"/>
        </w:rPr>
      </w:pPr>
      <w:r>
        <w:rPr>
          <w:rFonts w:hint="eastAsia" w:ascii="仿宋_GB2312" w:hAnsi="微软雅黑" w:eastAsia="仿宋_GB2312" w:cs="仿宋_GB2312"/>
          <w:color w:val="000000"/>
          <w:kern w:val="0"/>
          <w:sz w:val="32"/>
          <w:szCs w:val="32"/>
          <w:shd w:val="clear" w:color="auto" w:fill="FFFFFF"/>
          <w:lang w:val="en-US" w:eastAsia="zh-CN" w:bidi="ar"/>
        </w:rPr>
        <w:t>2022年我院将始终坚持以习近平新时代中国特色社会主义思想为指导，紧紧抓住服务保障党的二十大胜利召开这条主线，牢牢把握以检察工作高质量发展服务经济社会高质量发展这个主题，持续深入贯彻落实《中共中央关于加强新时代检察机关法律监督工作的意见》，以高度的政治自觉、法治自觉、检察自觉，全面协调充分履行“四大检察”职能，不断提升法律监督能力，为全面开启生态强县美丽峨边高质量发展新征程提供更加优质高效的司法保障。</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auto"/>
          <w:kern w:val="0"/>
          <w:szCs w:val="32"/>
          <w:shd w:val="clear" w:color="auto" w:fill="FFFFFF"/>
          <w:lang w:val="zh-CN"/>
        </w:rPr>
      </w:pPr>
      <w:r>
        <w:rPr>
          <w:rFonts w:hint="eastAsia" w:ascii="楷体_GB2312" w:hAnsi="宋体" w:eastAsia="楷体_GB2312" w:cs="宋体"/>
          <w:color w:val="auto"/>
          <w:kern w:val="0"/>
          <w:szCs w:val="32"/>
          <w:shd w:val="clear" w:color="auto" w:fill="FFFFFF"/>
          <w:lang w:val="zh-CN"/>
        </w:rPr>
        <w:t>部门整体支出绩效目标。</w:t>
      </w:r>
    </w:p>
    <w:p>
      <w:pPr>
        <w:keepNext w:val="0"/>
        <w:keepLines w:val="0"/>
        <w:pageBreakBefore w:val="0"/>
        <w:kinsoku/>
        <w:wordWrap/>
        <w:overflowPunct/>
        <w:autoSpaceDE/>
        <w:autoSpaceDN/>
        <w:bidi w:val="0"/>
        <w:adjustRightInd/>
        <w:snapToGrid/>
        <w:spacing w:line="600" w:lineRule="exact"/>
        <w:ind w:firstLine="640" w:firstLineChars="200"/>
        <w:textAlignment w:val="auto"/>
        <w:outlineLvl w:val="1"/>
        <w:rPr>
          <w:rFonts w:hint="eastAsia" w:ascii="仿宋" w:hAnsi="仿宋" w:eastAsia="仿宋" w:cs="宋体"/>
          <w:color w:val="000000"/>
          <w:kern w:val="0"/>
          <w:sz w:val="32"/>
          <w:szCs w:val="32"/>
          <w:lang w:val="zh-CN" w:eastAsia="zh-CN" w:bidi="ar"/>
        </w:rPr>
      </w:pPr>
      <w:r>
        <w:rPr>
          <w:rFonts w:hint="eastAsia" w:ascii="仿宋" w:hAnsi="仿宋" w:eastAsia="仿宋" w:cs="宋体"/>
          <w:color w:val="000000"/>
          <w:kern w:val="0"/>
          <w:sz w:val="32"/>
          <w:szCs w:val="32"/>
          <w:lang w:val="zh-CN" w:eastAsia="zh-CN" w:bidi="ar"/>
        </w:rPr>
        <w:t>以习近平新时代中国特色社会主义思想为指导，全面贯彻习近平法治思想，坚决拥护和捍卫“两个确立”，坚决做到“两个维护”，认真贯彻会议精神，坚持为大局服务，为人民司法的检察使命，努力推动“四大检察”“十大业务”全面协调充分发展，为建设更高水平法治峨边、平安峨边贡献检察力量。</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kinsoku/>
        <w:wordWrap/>
        <w:overflowPunct/>
        <w:autoSpaceDE/>
        <w:autoSpaceDN/>
        <w:bidi w:val="0"/>
        <w:adjustRightInd/>
        <w:snapToGrid/>
        <w:spacing w:line="600" w:lineRule="exact"/>
        <w:ind w:firstLine="640" w:firstLineChars="200"/>
        <w:textAlignment w:val="auto"/>
        <w:outlineLvl w:val="1"/>
        <w:rPr>
          <w:rFonts w:hint="eastAsia" w:ascii="楷体_GB2312" w:hAnsi="宋体" w:eastAsia="楷体_GB2312" w:cs="宋体"/>
          <w:color w:val="000000"/>
          <w:kern w:val="0"/>
          <w:szCs w:val="32"/>
          <w:shd w:val="clear" w:color="auto" w:fill="FFFFFF"/>
          <w:lang w:val="zh-CN"/>
        </w:rPr>
      </w:pPr>
      <w:r>
        <w:rPr>
          <w:rFonts w:hint="eastAsia" w:ascii="仿宋" w:hAnsi="仿宋" w:eastAsia="仿宋" w:cs="宋体"/>
          <w:color w:val="000000"/>
          <w:kern w:val="0"/>
          <w:sz w:val="32"/>
          <w:szCs w:val="32"/>
          <w:lang w:val="en-US" w:eastAsia="zh-CN" w:bidi="ar"/>
        </w:rPr>
        <w:t>2022年收入预算578.04万元，一般公共预算拨款收入542.69万元，占93.88%，政府性基金预算财政拨款收入35.35万元，占6.12%。</w:t>
      </w:r>
    </w:p>
    <w:p>
      <w:pPr>
        <w:widowControl/>
        <w:numPr>
          <w:ilvl w:val="0"/>
          <w:numId w:val="2"/>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widowControl/>
        <w:numPr>
          <w:ilvl w:val="0"/>
          <w:numId w:val="0"/>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 xml:space="preserve">     </w:t>
      </w:r>
      <w:r>
        <w:rPr>
          <w:rFonts w:hint="eastAsia" w:ascii="仿宋" w:hAnsi="仿宋" w:eastAsia="仿宋" w:cs="宋体"/>
          <w:color w:val="000000"/>
          <w:kern w:val="0"/>
          <w:sz w:val="32"/>
          <w:szCs w:val="32"/>
          <w:lang w:val="zh-CN" w:eastAsia="zh-CN" w:bidi="ar"/>
        </w:rPr>
        <w:t>20</w:t>
      </w:r>
      <w:r>
        <w:rPr>
          <w:rFonts w:hint="eastAsia" w:ascii="仿宋" w:hAnsi="仿宋" w:eastAsia="仿宋" w:cs="宋体"/>
          <w:color w:val="000000"/>
          <w:kern w:val="0"/>
          <w:sz w:val="32"/>
          <w:szCs w:val="32"/>
          <w:lang w:val="en-US" w:eastAsia="zh-CN" w:bidi="ar"/>
        </w:rPr>
        <w:t>22</w:t>
      </w:r>
      <w:r>
        <w:rPr>
          <w:rFonts w:hint="eastAsia" w:ascii="仿宋" w:hAnsi="仿宋" w:eastAsia="仿宋" w:cs="宋体"/>
          <w:color w:val="000000"/>
          <w:kern w:val="0"/>
          <w:sz w:val="32"/>
          <w:szCs w:val="32"/>
          <w:lang w:val="zh-CN" w:eastAsia="zh-CN" w:bidi="ar"/>
        </w:rPr>
        <w:t>年本年支出合计</w:t>
      </w:r>
      <w:r>
        <w:rPr>
          <w:rFonts w:hint="eastAsia" w:ascii="仿宋" w:hAnsi="仿宋" w:eastAsia="仿宋" w:cs="宋体"/>
          <w:color w:val="000000"/>
          <w:kern w:val="0"/>
          <w:sz w:val="32"/>
          <w:szCs w:val="32"/>
          <w:lang w:val="en-US" w:eastAsia="zh-CN" w:bidi="ar"/>
        </w:rPr>
        <w:t>542.69</w:t>
      </w:r>
      <w:r>
        <w:rPr>
          <w:rFonts w:hint="eastAsia" w:ascii="仿宋" w:hAnsi="仿宋" w:eastAsia="仿宋" w:cs="宋体"/>
          <w:color w:val="000000"/>
          <w:kern w:val="0"/>
          <w:sz w:val="32"/>
          <w:szCs w:val="32"/>
          <w:lang w:val="zh-CN" w:eastAsia="zh-CN" w:bidi="ar"/>
        </w:rPr>
        <w:t>万元，基本支出</w:t>
      </w:r>
      <w:r>
        <w:rPr>
          <w:rFonts w:hint="eastAsia" w:ascii="仿宋" w:hAnsi="仿宋" w:eastAsia="仿宋" w:cs="宋体"/>
          <w:color w:val="000000"/>
          <w:kern w:val="0"/>
          <w:sz w:val="32"/>
          <w:szCs w:val="32"/>
          <w:lang w:val="en-US" w:eastAsia="zh-CN" w:bidi="ar"/>
        </w:rPr>
        <w:t>463.44万元，占85.4%，项目79.25万元，占14.6%。</w:t>
      </w:r>
      <w:r>
        <w:rPr>
          <w:rFonts w:hint="eastAsia" w:ascii="楷体_GB2312" w:hAnsi="宋体" w:eastAsia="楷体_GB2312" w:cs="宋体"/>
          <w:color w:val="000000"/>
          <w:kern w:val="0"/>
          <w:szCs w:val="32"/>
          <w:shd w:val="clear" w:color="auto" w:fill="FFFFFF"/>
          <w:lang w:val="en-US" w:eastAsia="zh-CN"/>
        </w:rPr>
        <w:t xml:space="preserve">     </w:t>
      </w:r>
    </w:p>
    <w:p>
      <w:pPr>
        <w:widowControl/>
        <w:numPr>
          <w:ilvl w:val="0"/>
          <w:numId w:val="2"/>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 xml:space="preserve">     无。</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snapToGrid w:val="0"/>
        <w:spacing w:line="520" w:lineRule="exact"/>
        <w:ind w:firstLine="640" w:firstLineChars="200"/>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峨</w:t>
      </w:r>
      <w:r>
        <w:rPr>
          <w:rFonts w:hint="eastAsia" w:ascii="仿宋_GB2312" w:hAnsi="仿宋" w:eastAsia="仿宋_GB2312"/>
          <w:sz w:val="32"/>
          <w:szCs w:val="32"/>
        </w:rPr>
        <w:t>边彝族自治县人民检察院紧紧围绕县委决策部署和“重大产业项目攻坚年”经济工作主题，积极践行最高人民检察院“质量建设年”总体要求，聚焦法律监督主责主业，协调推进“四大检察”，为峨边经济社会高质量发展作出积极贡献。</w:t>
      </w:r>
    </w:p>
    <w:p>
      <w:pPr>
        <w:snapToGrid w:val="0"/>
        <w:spacing w:line="520" w:lineRule="exact"/>
        <w:ind w:firstLine="640" w:firstLineChars="200"/>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一是严格按照财政厅预算编制要求，认真贯彻落实中央、省委省政府关于“厉行节约”的一系列指示要求，扎实做好绩效管理工作，确保绩效目标科学合理、规范完整、细化量化并与预算安排相匹配。</w:t>
      </w:r>
    </w:p>
    <w:p>
      <w:pPr>
        <w:snapToGrid w:val="0"/>
        <w:spacing w:line="520" w:lineRule="exact"/>
        <w:ind w:firstLine="640" w:firstLineChars="200"/>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二是以部门预算项目绩效为核心，加强支出进度管理，完善预算动态监控，主动作为，提前谋划，推动机关运行和重大项目的实施，确保绩效目标实现。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2022年我院按照财政资金使用用途和目的，健全了资金管理制度，款项支付规范，认真执行资金计划，保障了机关正常运转，较好的完成了年度工作目标任务。</w:t>
      </w:r>
    </w:p>
    <w:p>
      <w:pPr>
        <w:widowControl/>
        <w:numPr>
          <w:ilvl w:val="0"/>
          <w:numId w:val="3"/>
        </w:numPr>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整体情况</w:t>
      </w:r>
    </w:p>
    <w:p>
      <w:pPr>
        <w:widowControl/>
        <w:numPr>
          <w:ilvl w:val="0"/>
          <w:numId w:val="0"/>
        </w:numPr>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    我院项目共6个，预算数79.25万元，支出数79.25万元，支付率100%。其中</w:t>
      </w:r>
      <w:bookmarkStart w:id="0" w:name="_GoBack"/>
      <w:bookmarkEnd w:id="0"/>
      <w:r>
        <w:rPr>
          <w:rFonts w:hint="eastAsia" w:ascii="仿宋_GB2312" w:hAnsi="宋体" w:eastAsia="仿宋_GB2312" w:cs="宋体"/>
          <w:color w:val="000000"/>
          <w:kern w:val="0"/>
          <w:szCs w:val="32"/>
          <w:shd w:val="clear" w:color="auto" w:fill="FFFFFF"/>
          <w:lang w:val="en-US" w:eastAsia="zh-CN"/>
        </w:rPr>
        <w:t>换装经费预算3.84万元，支出数3.84万元，司法救助项目预算数5.28万元，支出数5.28万元，检察信息化建设项目预算数2.8万元，支出数2.8万元，两房建设前期费用项目预算35.35万元，支出数35.35万元，2022年县级乡村振兴补助资金项目预算10万元，支出数为10万元。我院按照经费使用办法严格开支范围，规范使用方向，结合项目绩效目标和工作实际，对项目资金进行了科学合理分配，在资金使用中做到“事前有预算、事中有监督、事后有总结”，确保费用支出规范合理，</w:t>
      </w:r>
      <w:r>
        <w:rPr>
          <w:rFonts w:ascii="仿宋" w:hAnsi="仿宋" w:eastAsia="仿宋" w:cs="仿宋"/>
          <w:color w:val="000000"/>
          <w:spacing w:val="0"/>
          <w:position w:val="0"/>
          <w:sz w:val="32"/>
          <w:shd w:val="clear" w:fill="FFFFFF"/>
        </w:rPr>
        <w:t>部门预算执行进度有序</w:t>
      </w:r>
      <w:r>
        <w:rPr>
          <w:rFonts w:hint="eastAsia" w:ascii="仿宋" w:hAnsi="仿宋" w:eastAsia="仿宋" w:cs="仿宋"/>
          <w:color w:val="000000"/>
          <w:spacing w:val="0"/>
          <w:position w:val="0"/>
          <w:sz w:val="32"/>
          <w:shd w:val="clear" w:fill="FFFFFF"/>
          <w:lang w:eastAsia="zh-CN"/>
        </w:rPr>
        <w:t>，</w:t>
      </w:r>
      <w:r>
        <w:rPr>
          <w:rFonts w:hint="eastAsia" w:ascii="仿宋_GB2312" w:hAnsi="宋体" w:eastAsia="仿宋_GB2312" w:cs="宋体"/>
          <w:color w:val="000000"/>
          <w:kern w:val="0"/>
          <w:szCs w:val="32"/>
          <w:shd w:val="clear" w:color="auto" w:fill="FFFFFF"/>
          <w:lang w:val="en-US" w:eastAsia="zh-CN"/>
        </w:rPr>
        <w:t>完成部门项目绩效目标。</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2.100万以上项目：无。</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我院历年来均按照财政要求，在规定时间内将预、决算通过部</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门网站和市政府门户网站进行了公开，对年度预算绩效管理工作进行了自评，并对自评结果进行公开。对自评发现的问题进行了整改。</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从自评情况来看，峨边彝族自治县人民检察院得分</w:t>
      </w:r>
      <w:r>
        <w:rPr>
          <w:rFonts w:hint="eastAsia" w:ascii="仿宋_GB2312" w:hAnsi="宋体" w:eastAsia="仿宋_GB2312" w:cs="宋体"/>
          <w:color w:val="000000"/>
          <w:kern w:val="0"/>
          <w:szCs w:val="32"/>
          <w:shd w:val="clear" w:color="auto" w:fill="FFFFFF"/>
          <w:lang w:val="en-US" w:eastAsia="zh-CN"/>
        </w:rPr>
        <w:t>96分，</w:t>
      </w:r>
      <w:r>
        <w:rPr>
          <w:rFonts w:hint="eastAsia" w:ascii="仿宋_GB2312" w:hAnsi="宋体" w:eastAsia="仿宋_GB2312" w:cs="宋体"/>
          <w:color w:val="000000"/>
          <w:kern w:val="0"/>
          <w:szCs w:val="32"/>
          <w:shd w:val="clear" w:color="auto" w:fill="FFFFFF"/>
          <w:lang w:val="zh-CN"/>
        </w:rPr>
        <w:t>预、决算编制合理，支出高效规范，财政支出既确保了机关正常运转，又保证了重点项目开支，财政支出绩效良好。</w:t>
      </w:r>
    </w:p>
    <w:p>
      <w:pPr>
        <w:widowControl/>
        <w:numPr>
          <w:ilvl w:val="0"/>
          <w:numId w:val="4"/>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在实际工作过程中，由于业务工作内容和重点有所变化，导致预算编制与实际支出存在一定差异。</w:t>
      </w:r>
    </w:p>
    <w:p>
      <w:pPr>
        <w:widowControl/>
        <w:numPr>
          <w:ilvl w:val="0"/>
          <w:numId w:val="4"/>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 一是强化绩效考核意识，将绩效考核工作纳入全局工作目标；</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en-US" w:eastAsia="zh-CN"/>
        </w:rPr>
        <w:t>二是优化预算编制，合理利用好预算调整、预算中期评估等机会，及时对预算进行调整，确保资金使用无挪用、无占用。</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Arial Unicode MS"/>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舒体">
    <w:panose1 w:val="02010601030101010101"/>
    <w:charset w:val="86"/>
    <w:family w:val="auto"/>
    <w:pitch w:val="default"/>
    <w:sig w:usb0="00000003"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amp;quot">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黑体_GBK">
    <w:altName w:val="Arial Unicode MS"/>
    <w:panose1 w:val="00000000000000000000"/>
    <w:charset w:val="00"/>
    <w:family w:val="auto"/>
    <w:pitch w:val="default"/>
    <w:sig w:usb0="00000000" w:usb1="00000000" w:usb2="00000000" w:usb3="00000000" w:csb0="00000000" w:csb1="00000000"/>
  </w:font>
  <w:font w:name="方正仿宋_GBK">
    <w:altName w:val="Arial Unicode MS"/>
    <w:panose1 w:val="00000000000000000000"/>
    <w:charset w:val="00"/>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方正大标宋简体">
    <w:altName w:val="宋体"/>
    <w:panose1 w:val="00000000000000000000"/>
    <w:charset w:val="86"/>
    <w:family w:val="auto"/>
    <w:pitch w:val="default"/>
    <w:sig w:usb0="00000000" w:usb1="00000000" w:usb2="00000010" w:usb3="00000000" w:csb0="00040000" w:csb1="00000000"/>
  </w:font>
  <w:font w:name="ˎ̥">
    <w:altName w:val="宋体"/>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65877F"/>
    <w:multiLevelType w:val="singleLevel"/>
    <w:tmpl w:val="6465877F"/>
    <w:lvl w:ilvl="0" w:tentative="0">
      <w:start w:val="2"/>
      <w:numFmt w:val="chineseCounting"/>
      <w:suff w:val="nothing"/>
      <w:lvlText w:val="（%1）"/>
      <w:lvlJc w:val="left"/>
    </w:lvl>
  </w:abstractNum>
  <w:abstractNum w:abstractNumId="1">
    <w:nsid w:val="64658B12"/>
    <w:multiLevelType w:val="singleLevel"/>
    <w:tmpl w:val="64658B12"/>
    <w:lvl w:ilvl="0" w:tentative="0">
      <w:start w:val="2"/>
      <w:numFmt w:val="chineseCounting"/>
      <w:suff w:val="nothing"/>
      <w:lvlText w:val="（%1）"/>
      <w:lvlJc w:val="left"/>
    </w:lvl>
  </w:abstractNum>
  <w:abstractNum w:abstractNumId="2">
    <w:nsid w:val="6465D148"/>
    <w:multiLevelType w:val="singleLevel"/>
    <w:tmpl w:val="6465D148"/>
    <w:lvl w:ilvl="0" w:tentative="0">
      <w:start w:val="1"/>
      <w:numFmt w:val="decimal"/>
      <w:suff w:val="nothing"/>
      <w:lvlText w:val="%1."/>
      <w:lvlJc w:val="left"/>
    </w:lvl>
  </w:abstractNum>
  <w:abstractNum w:abstractNumId="3">
    <w:nsid w:val="6465E1C5"/>
    <w:multiLevelType w:val="singleLevel"/>
    <w:tmpl w:val="6465E1C5"/>
    <w:lvl w:ilvl="0" w:tentative="0">
      <w:start w:val="2"/>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D527252"/>
    <w:rsid w:val="327715D9"/>
    <w:rsid w:val="329102D6"/>
    <w:rsid w:val="3A9520B3"/>
    <w:rsid w:val="3C5059FC"/>
    <w:rsid w:val="3DE562B7"/>
    <w:rsid w:val="3E6507EA"/>
    <w:rsid w:val="470F61EC"/>
    <w:rsid w:val="47550EBA"/>
    <w:rsid w:val="50BB3388"/>
    <w:rsid w:val="6636451A"/>
    <w:rsid w:val="6BE94116"/>
    <w:rsid w:val="6E833176"/>
    <w:rsid w:val="78916378"/>
    <w:rsid w:val="7BC20073"/>
    <w:rsid w:val="7C631402"/>
    <w:rsid w:val="7DCC0F6E"/>
    <w:rsid w:val="7E140770"/>
    <w:rsid w:val="9BFF62CB"/>
  </w:rsids>
  <m:mathPr>
    <m:lMargin m:val="0"/>
    <m:mathFont m:val="Cambria Math"/>
    <m:rMargin m:val="0"/>
    <m:wrapIndent m:val="1440"/>
    <m:brkBin m:val="before"/>
    <m:brkBinSub m:val="--"/>
    <m:defJc m:val="centerGroup"/>
    <m:intLim m:val="subSup"/>
    <m:naryLim m:val="undOvr"/>
    <m:smallFrac m:val="1"/>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0</TotalTime>
  <ScaleCrop>false</ScaleCrop>
  <LinksUpToDate>false</LinksUpToDate>
  <CharactersWithSpaces>423</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峨边彝族自治县人民检察院</cp:lastModifiedBy>
  <cp:lastPrinted>2023-06-14T09:44:00Z</cp:lastPrinted>
  <dcterms:modified xsi:type="dcterms:W3CDTF">2023-11-06T07:02:39Z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y fmtid="{D5CDD505-2E9C-101B-9397-08002B2CF9AE}" pid="3" name="ICV">
    <vt:lpwstr>53B7F86B27C64309879EEE75FFE498EF</vt:lpwstr>
  </property>
</Properties>
</file>