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 xml:space="preserve">峨边彝族自治县人民检察院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2022年项目</w:t>
      </w: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FangSong_GB2312" w:hAnsi="SimSun"/>
        </w:rPr>
      </w:pPr>
      <w:r>
        <w:rPr>
          <w:rFonts w:hint="eastAsia" w:ascii="FangSong_GB2312" w:hAnsi="SimSun"/>
        </w:rPr>
        <w:t>（</w:t>
      </w:r>
      <w:r>
        <w:rPr>
          <w:rFonts w:hint="eastAsia" w:ascii="FangSong_GB2312" w:hAnsi="SimSun"/>
          <w:lang w:eastAsia="zh-CN"/>
        </w:rPr>
        <w:t>办案经费</w:t>
      </w:r>
      <w:r>
        <w:rPr>
          <w:rFonts w:hint="eastAsia" w:ascii="FangSong_GB2312" w:hAnsi="SimSun"/>
        </w:rPr>
        <w:t>项目）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 w:eastAsia="FangSong_GB2312" w:cs="FangSong_GB2312"/>
          <w:sz w:val="32"/>
          <w:szCs w:val="32"/>
          <w:lang w:bidi="ar"/>
        </w:rPr>
        <w:t>我院严格按照预算要求管理和使用</w:t>
      </w:r>
      <w:r>
        <w:rPr>
          <w:rFonts w:hint="eastAsia" w:ascii="FangSong_GB2312" w:hAnsi="SimSun" w:cs="FangSong_GB2312"/>
          <w:sz w:val="32"/>
          <w:szCs w:val="32"/>
          <w:lang w:eastAsia="zh-CN" w:bidi="ar"/>
        </w:rPr>
        <w:t>办案经费</w:t>
      </w:r>
      <w:r>
        <w:rPr>
          <w:rFonts w:hint="eastAsia" w:ascii="FangSong_GB2312" w:hAnsi="SimSun" w:eastAsia="FangSong_GB2312" w:cs="FangSong_GB2312"/>
          <w:sz w:val="32"/>
          <w:szCs w:val="32"/>
          <w:lang w:bidi="ar"/>
        </w:rPr>
        <w:t>，确保了财政资金专款专用，提高资金使用效益。</w:t>
      </w:r>
      <w:r>
        <w:rPr>
          <w:rFonts w:hint="eastAsia" w:ascii="FangSong_GB2312" w:hAnsi="SimSun"/>
          <w:lang w:val="en-US" w:eastAsia="zh-CN"/>
        </w:rPr>
        <w:t>建立了《峨边彝族自治县人民检察院接待工作和经费管理制度》《峨边彝族自治县人民检察院财务管理办法》《峨边彝族自治县内控管理手册》等资金文件。办案经费项目主要用于办案过程中印刷费、邮电费、差旅费、公务用车运行维护费等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项目资金主要用于履行检察职能，落实为民举措，提高司法效能，加强自身建设，打造过硬队伍等，围绕四大检察更好地维护国家和社会公共利益。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FangSong_GB2312" w:hAnsi="SimSun" w:eastAsia="FangSong_GB2312"/>
          <w:lang w:val="en-US" w:eastAsia="zh-CN"/>
        </w:rPr>
      </w:pPr>
      <w:r>
        <w:rPr>
          <w:rFonts w:hint="eastAsia" w:ascii="FangSong_GB2312" w:hAnsi="SimSun"/>
          <w:lang w:val="en-US" w:eastAsia="zh-CN"/>
        </w:rPr>
        <w:t xml:space="preserve">    2022年度内完成公益诉讼案件30件立案，公益诉讼25件诉前检察建议，侦监、公诉办理案件70件，刑事检察工作案件办结率大于90%，民事检察工作案件办结率大于90%，公益诉讼检察工作案件办结率大于90%，行政检察工作案件办结率大于90%。项目实施期限2022年1月1日至2022年12月31日。</w:t>
      </w:r>
      <w:r>
        <w:rPr>
          <w:rFonts w:hint="eastAsia" w:ascii="FangSong_GB2312" w:hAnsi="SimSun"/>
          <w:lang w:val="zh-CN"/>
        </w:rPr>
        <w:t>申报内容是与实际相符，申报目标合理可行。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1.前期准备。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制定</w:t>
      </w:r>
      <w:r>
        <w:rPr>
          <w:rFonts w:hint="eastAsia" w:ascii="FangSong_GB2312" w:hAnsi="SimSun"/>
          <w:lang w:val="en-US" w:eastAsia="zh-CN"/>
        </w:rPr>
        <w:t>2022</w:t>
      </w:r>
      <w:r>
        <w:rPr>
          <w:rFonts w:hint="eastAsia" w:ascii="FangSong_GB2312" w:hAnsi="SimSun"/>
          <w:lang w:val="zh-CN"/>
        </w:rPr>
        <w:t>年财政支出绩效考核方案，设立绩效评价小组，从实际出发，进行项目开展的可行性分析，落实资金使用安排。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2.组织实施。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绩效评价实施步骤：1、了解业务工作完成情况。2、收集核查资料。收集该项目相关政策文件和项目单位相关制度等资料；核查相关制度是否完善，资金使用和费用报销是否合规、手续是否齐全、是否存在挤占、截留、挪用等情况。3、得出评价结论，形成绩效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SimHei" w:hAnsi="SimSun" w:eastAsia="SimHei"/>
          <w:highlight w:val="yellow"/>
          <w:lang w:eastAsia="zh-CN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u w:val="none"/>
          <w:lang w:val="en-US" w:eastAsia="zh-CN"/>
        </w:rPr>
      </w:pPr>
      <w:r>
        <w:rPr>
          <w:rFonts w:hint="eastAsia" w:ascii="FangSong_GB2312" w:hAnsi="SimSun"/>
          <w:u w:val="none"/>
          <w:lang w:val="en-US" w:eastAsia="zh-CN"/>
        </w:rPr>
        <w:t>办案经费项目，全年预算金额为21.98万元，其中县级财政资金21.98万元。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/>
          <w:u w:val="none"/>
          <w:lang w:val="en-US" w:eastAsia="zh-CN"/>
        </w:rPr>
        <w:t>办案经费项目在</w:t>
      </w:r>
      <w:r>
        <w:rPr>
          <w:rFonts w:hint="eastAsia" w:ascii="FangSong_GB2312" w:hAnsi="SimSun"/>
          <w:lang w:val="zh-CN"/>
        </w:rPr>
        <w:t>资金计划的基础上，财政安排</w:t>
      </w:r>
      <w:r>
        <w:rPr>
          <w:rFonts w:hint="eastAsia" w:ascii="FangSong_GB2312" w:hAnsi="SimSun"/>
          <w:lang w:val="en-US" w:eastAsia="zh-CN"/>
        </w:rPr>
        <w:t>21.98万元</w:t>
      </w:r>
      <w:r>
        <w:rPr>
          <w:rFonts w:hint="eastAsia" w:ascii="FangSong_GB2312" w:hAnsi="SimSun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2．资金到位。截至2022年</w:t>
      </w:r>
      <w:r>
        <w:rPr>
          <w:rFonts w:hint="eastAsia" w:ascii="FangSong_GB2312" w:hAnsi="SimSun"/>
          <w:u w:val="none"/>
          <w:lang w:val="en-US" w:eastAsia="zh-CN"/>
        </w:rPr>
        <w:t>12月31日，办案经费项目</w:t>
      </w:r>
      <w:r>
        <w:rPr>
          <w:rFonts w:hint="eastAsia" w:ascii="FangSong_GB2312" w:hAnsi="SimSun"/>
          <w:lang w:val="zh-CN"/>
        </w:rPr>
        <w:t>资金到位</w:t>
      </w:r>
      <w:r>
        <w:rPr>
          <w:rFonts w:hint="eastAsia" w:ascii="FangSong_GB2312" w:hAnsi="SimSun"/>
          <w:lang w:val="en-US" w:eastAsia="zh-CN"/>
        </w:rPr>
        <w:t xml:space="preserve"> 21.98万元</w:t>
      </w:r>
      <w:r>
        <w:rPr>
          <w:rFonts w:hint="eastAsia" w:ascii="FangSong_GB2312" w:hAnsi="SimSun"/>
          <w:lang w:val="zh-CN"/>
        </w:rPr>
        <w:t>。资金到位情况与资金计划进行比对，到位比例</w:t>
      </w:r>
      <w:r>
        <w:rPr>
          <w:rFonts w:hint="eastAsia" w:ascii="FangSong_GB2312" w:hAnsi="SimSun"/>
          <w:lang w:val="en-US" w:eastAsia="zh-CN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/>
          <w:lang w:val="en-US" w:eastAsia="zh-CN"/>
        </w:rPr>
      </w:pPr>
      <w:r>
        <w:rPr>
          <w:rFonts w:hint="eastAsia" w:ascii="KaiTi_GB2312" w:hAnsi="SimSun" w:eastAsia="KaiTi_GB2312"/>
          <w:lang w:val="zh-CN"/>
        </w:rPr>
        <w:t>3．资金使用。截至2022年</w:t>
      </w:r>
      <w:r>
        <w:rPr>
          <w:rFonts w:hint="eastAsia" w:ascii="FangSong_GB2312" w:hAnsi="SimSun"/>
          <w:u w:val="none"/>
          <w:lang w:val="en-US" w:eastAsia="zh-CN"/>
        </w:rPr>
        <w:t>12月31日，办案经费项目</w:t>
      </w:r>
      <w:r>
        <w:rPr>
          <w:rFonts w:hint="eastAsia" w:ascii="FangSong_GB2312" w:hAnsi="SimSun"/>
          <w:lang w:val="zh-CN"/>
        </w:rPr>
        <w:t>资金使用</w:t>
      </w:r>
      <w:r>
        <w:rPr>
          <w:rFonts w:hint="eastAsia" w:ascii="FangSong_GB2312" w:hAnsi="SimSun"/>
          <w:lang w:val="en-US" w:eastAsia="zh-CN"/>
        </w:rPr>
        <w:t>21.98万元，使用比例100%。用于我院办案工作，主要包括印刷费、办案设施邮电费、办案人员差旅费，以及按照有关规定办案工作其他支出。按规定履行报销手续，按进度完成支付，与预算目标一致。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项目实施由主要领导负总责，分管领导指导，对口业务科室具体负责，组织机构健全，分工明确。项目资金做到专款专用，严格把好事前（开支计划）、事中（跟踪问效）和事后（报销结算）的实施流程。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 w:eastAsia="zh-CN"/>
        </w:rPr>
        <w:t>项目资金使用严格</w:t>
      </w:r>
      <w:r>
        <w:rPr>
          <w:rFonts w:hint="eastAsia" w:ascii="FangSong_GB2312" w:hAnsi="SimSun"/>
          <w:lang w:val="zh-CN"/>
        </w:rPr>
        <w:t>按照《财政专项资金管理办法》和</w:t>
      </w:r>
      <w:r>
        <w:rPr>
          <w:rFonts w:hint="eastAsia" w:ascii="FangSong_GB2312" w:hAnsi="SimSun"/>
          <w:lang w:val="zh-CN" w:eastAsia="zh-CN"/>
        </w:rPr>
        <w:t>我院财务管理制度，按月向县财政局提交用款计划申请，对资金使用严格审批，经分管领导核算审核确认后方可支出，并按照</w:t>
      </w:r>
      <w:r>
        <w:rPr>
          <w:rFonts w:hint="eastAsia" w:ascii="FangSong_GB2312" w:hAnsi="SimSun"/>
          <w:lang w:val="zh-CN"/>
        </w:rPr>
        <w:t>相关政策规定进行账务处理，经费支出手续齐备，从申请－审核－批准的支付款项程序到位，落实专款专用原则。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textAlignment w:val="auto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FangSong" w:hAnsi="FangSong" w:eastAsia="FangSong" w:cs="FangSong"/>
          <w:i w:val="0"/>
          <w:caps w:val="0"/>
          <w:color w:val="010101"/>
          <w:spacing w:val="0"/>
          <w:sz w:val="32"/>
          <w:szCs w:val="32"/>
          <w:shd w:val="clear" w:fill="FFFFFF"/>
          <w:lang w:eastAsia="zh-CN"/>
        </w:rPr>
        <w:t>建立了《峨边彝族自治县人民检察院费用支出报销审批制度》，加强财务内部审核，严格财务报销程序、报销要件。报销凭证要求：开支事项必须真实合规，原始凭证必须内容完整，业务内容必须填写清楚，报销附件要齐全，涉及需要事先审批的，还须附审批单等。经办人员必须用签字笔、钢笔在报销凭证上签名，注明具体开支事项，杜绝无事由、不合理开支以及开支不说明具体事由、报销凭证不附具体清单等情况。</w:t>
      </w:r>
    </w:p>
    <w:p>
      <w:pPr>
        <w:ind w:firstLine="640" w:firstLineChars="200"/>
        <w:rPr>
          <w:rFonts w:hint="eastAsia" w:ascii="SimHei" w:hAnsi="SimHei" w:eastAsia="SimHei" w:cs="SimHei"/>
          <w:bCs/>
          <w:szCs w:val="32"/>
          <w:highlight w:val="yellow"/>
          <w:lang w:eastAsia="zh-CN"/>
        </w:rPr>
      </w:pPr>
      <w:r>
        <w:rPr>
          <w:rFonts w:hint="eastAsia" w:ascii="SimHei" w:hAnsi="SimSun" w:eastAsia="SimHei"/>
          <w:lang w:val="zh-CN"/>
        </w:rPr>
        <w:t>四、</w:t>
      </w:r>
      <w:r>
        <w:rPr>
          <w:rFonts w:hint="eastAsia" w:ascii="SimHei" w:hAnsi="SimSun" w:eastAsia="SimHei"/>
        </w:rPr>
        <w:t>绩效目</w:t>
      </w:r>
      <w:r>
        <w:rPr>
          <w:rFonts w:hint="eastAsia" w:ascii="SimHei" w:hAnsi="SimHei" w:eastAsia="SimHei" w:cs="SimHei"/>
          <w:bCs/>
          <w:szCs w:val="32"/>
        </w:rPr>
        <w:t>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具有必要性，可行性，合理性，明确性。项目符合县委县政府决策部署，符合当前经济社会发展需要，政策和实际需求的吻合程度高，可行性论证充分，规划、管理办法、指导意见等制度健全完善，预期提供的效益明确细化，绩效指标细化量化，绩效目标设定符合实际需求，合理可行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en-US" w:eastAsia="zh-CN"/>
        </w:rPr>
      </w:pPr>
      <w:r>
        <w:rPr>
          <w:rFonts w:hint="eastAsia" w:ascii="KaiTi_GB2312" w:hAnsi="SimSun" w:eastAsia="KaiTi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en-US" w:eastAsia="zh-CN"/>
        </w:rPr>
        <w:t xml:space="preserve">  资金管理方面资金分配管理科学合理、规范有序，体现突出重点或公平性，符合财政资金改革方向，资金使用规范；项目执行中管理制度健全，管理过程科学规范。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KaiTi_GB2312" w:hAnsi="SimSun" w:eastAsia="KaiTi_GB2312"/>
          <w:b/>
          <w:lang w:val="en-US" w:eastAsia="zh-CN"/>
        </w:rPr>
        <w:t>项目绩效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FangSong_GB2312" w:hAnsi="SimSun"/>
          <w:lang w:val="zh-CN"/>
        </w:rPr>
        <w:t>截至评价时点，任务量完成、质量标准、进度计划、成本控制目标的均高度实现。该项目的实施按时完成了任务量，完成质量符合行业标准，严格控制成本支出，打击了犯罪，维护社会稳定，提升了社会效益，提高了群众对检察工作的满意度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SimHei" w:hAnsi="SimSun" w:eastAsia="SimHei" w:cs="SimSun"/>
          <w:color w:val="000000"/>
          <w:kern w:val="0"/>
          <w:szCs w:val="32"/>
          <w:shd w:val="clear" w:color="auto" w:fill="FFFFFF"/>
        </w:rPr>
      </w:pPr>
      <w:r>
        <w:rPr>
          <w:rFonts w:hint="eastAsia" w:ascii="SimHei" w:hAnsi="SimSun" w:eastAsia="SimHei"/>
          <w:lang w:eastAsia="zh-CN"/>
        </w:rPr>
        <w:t>五、</w:t>
      </w:r>
      <w:r>
        <w:rPr>
          <w:rFonts w:hint="eastAsia" w:ascii="SimHei" w:hAnsi="SimSun" w:eastAsia="SimHei" w:cs="SimSun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/>
          <w:b/>
          <w:lang w:val="zh-CN" w:eastAsia="zh-CN"/>
        </w:rPr>
        <w:t>（一）评价结论。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得分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96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分。从自评情况来看，峨边彝族自治县人民检察院办案经费项目预算</w:t>
      </w:r>
      <w:bookmarkStart w:id="0" w:name="_GoBack"/>
      <w:bookmarkEnd w:id="0"/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、决算编制合理，支出高效规范，财政支出绩效良好。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/>
          <w:b/>
          <w:lang w:val="zh-CN" w:eastAsia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KaiTi_GB2312" w:hAnsi="SimSun" w:eastAsia="KaiTi_GB2312"/>
          <w:b/>
          <w:lang w:val="zh-CN" w:eastAsia="zh-CN"/>
        </w:rPr>
      </w:pPr>
      <w:r>
        <w:rPr>
          <w:rFonts w:hint="eastAsia" w:ascii="KaiTi_GB2312" w:hAnsi="SimSun" w:eastAsia="KaiTi_GB2312"/>
          <w:b/>
          <w:lang w:val="zh-CN" w:eastAsia="zh-CN"/>
        </w:rPr>
        <w:t>（三）改进建议。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</w:t>
      </w:r>
    </w:p>
    <w:p>
      <w:pPr>
        <w:spacing w:line="580" w:lineRule="exact"/>
        <w:ind w:firstLine="630"/>
        <w:rPr>
          <w:rFonts w:hint="eastAsia" w:ascii="FangSong" w:hAnsi="FangSong" w:eastAsia="FangSong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 w:ascii="FangSong" w:hAnsi="FangSong" w:eastAsia="FangSong"/>
          <w:sz w:val="32"/>
          <w:szCs w:val="32"/>
          <w:lang w:val="en-US" w:eastAsia="zh-CN"/>
        </w:rPr>
        <w:t xml:space="preserve">峨边彝族自治县人民检察院         </w:t>
      </w:r>
    </w:p>
    <w:p>
      <w:pPr>
        <w:spacing w:line="580" w:lineRule="exact"/>
        <w:ind w:firstLine="630"/>
        <w:rPr>
          <w:rFonts w:hint="default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" w:hAnsi="FangSong" w:eastAsia="FangSong"/>
          <w:sz w:val="32"/>
          <w:szCs w:val="32"/>
          <w:lang w:val="en-US" w:eastAsia="zh-CN"/>
        </w:rPr>
        <w:t xml:space="preserve">                              2021年6月28日  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 xml:space="preserve">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33978610-F57E-435B-8AAF-9F474D6C07F2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8FE7E68-88C0-4F60-8611-26C4CD98912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F8F7DD9-A832-4F9B-B50E-BB7BD6200830}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0B9FA215-97BB-4626-ADF6-BBB59F92C1BA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B771F83-8C82-42E6-AA81-62917615F6E7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3891D50B-BBE9-4513-A1DE-9732717439A9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FF5C7FF1-D674-4579-AF1A-E183C545CD71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D994C3"/>
    <w:multiLevelType w:val="singleLevel"/>
    <w:tmpl w:val="60D994C3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D997B4"/>
    <w:multiLevelType w:val="singleLevel"/>
    <w:tmpl w:val="60D997B4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49AC3760"/>
    <w:rsid w:val="0D892762"/>
    <w:rsid w:val="135F032F"/>
    <w:rsid w:val="183435D4"/>
    <w:rsid w:val="2657236D"/>
    <w:rsid w:val="290520F2"/>
    <w:rsid w:val="2C2B5F81"/>
    <w:rsid w:val="2FDE6090"/>
    <w:rsid w:val="3D24316C"/>
    <w:rsid w:val="437C3042"/>
    <w:rsid w:val="45F679C1"/>
    <w:rsid w:val="49AC3760"/>
    <w:rsid w:val="4C81558D"/>
    <w:rsid w:val="55435156"/>
    <w:rsid w:val="6A116E5A"/>
    <w:rsid w:val="73624D0D"/>
    <w:rsid w:val="75485B35"/>
    <w:rsid w:val="767B3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SimSun"/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SimSun"/>
      <w:sz w:val="18"/>
      <w:szCs w:val="18"/>
    </w:rPr>
  </w:style>
  <w:style w:type="paragraph" w:customStyle="1" w:styleId="6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2021-03-29T02:33:00Z</dcterms:created>
  <dc:creator>Administrator</dc:creator>
  <cp:lastModifiedBy>碧云天</cp:lastModifiedBy>
  <dcterms:modified xsi:type="dcterms:W3CDTF">2024-03-28T06:21:27Z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7B5F195B0B044069B5E7FA2AF7978BF1_12</vt:lpwstr>
  </property>
</Properties>
</file>