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D703">
      <w:pPr>
        <w:rPr>
          <w:rFonts w:ascii="Times New Roman" w:hAnsi="Times New Roman"/>
        </w:rPr>
      </w:pPr>
      <w:bookmarkStart w:id="0" w:name="_Toc15377193"/>
      <w:bookmarkStart w:id="1" w:name="_Toc15377425"/>
      <w:bookmarkStart w:id="2" w:name="_Toc15396597"/>
      <w:bookmarkStart w:id="3" w:name="_Toc15306267"/>
      <w:bookmarkStart w:id="4" w:name="_Toc15378441"/>
      <w:bookmarkStart w:id="5" w:name="_Toc15396475"/>
    </w:p>
    <w:bookmarkEnd w:id="0"/>
    <w:bookmarkEnd w:id="1"/>
    <w:bookmarkEnd w:id="2"/>
    <w:bookmarkEnd w:id="3"/>
    <w:bookmarkEnd w:id="4"/>
    <w:bookmarkEnd w:id="5"/>
    <w:p w14:paraId="06D73829">
      <w:pPr>
        <w:pStyle w:val="8"/>
        <w:jc w:val="both"/>
        <w:rPr>
          <w:rFonts w:hint="eastAsia" w:ascii="Times New Roman" w:hAnsi="Times New Roman" w:eastAsia="微软雅黑" w:cs="Times New Roman"/>
          <w:color w:val="auto"/>
          <w:kern w:val="2"/>
          <w:sz w:val="44"/>
          <w:szCs w:val="44"/>
          <w:highlight w:val="none"/>
          <w:lang w:val="en-US" w:eastAsia="zh-CN" w:bidi="ar-SA"/>
        </w:rPr>
      </w:pPr>
    </w:p>
    <w:p w14:paraId="02A543D5">
      <w:pPr>
        <w:rPr>
          <w:rFonts w:hint="eastAsia" w:ascii="Times New Roman" w:hAnsi="Times New Roman" w:eastAsia="微软雅黑" w:cs="Times New Roman"/>
          <w:color w:val="auto"/>
          <w:kern w:val="2"/>
          <w:sz w:val="44"/>
          <w:szCs w:val="44"/>
          <w:highlight w:val="none"/>
          <w:lang w:val="en-US" w:eastAsia="zh-CN" w:bidi="ar-SA"/>
        </w:rPr>
      </w:pPr>
    </w:p>
    <w:p w14:paraId="1E63C385">
      <w:pPr>
        <w:pStyle w:val="21"/>
        <w:rPr>
          <w:rFonts w:hint="eastAsia" w:ascii="Times New Roman" w:hAnsi="Times New Roman" w:eastAsia="微软雅黑" w:cs="Times New Roman"/>
          <w:color w:val="auto"/>
          <w:kern w:val="2"/>
          <w:sz w:val="44"/>
          <w:szCs w:val="44"/>
          <w:highlight w:val="none"/>
          <w:lang w:val="en-US" w:eastAsia="zh-CN" w:bidi="ar-SA"/>
        </w:rPr>
      </w:pPr>
    </w:p>
    <w:p w14:paraId="40A1FED2">
      <w:pPr>
        <w:rPr>
          <w:rFonts w:hint="eastAsia" w:ascii="Times New Roman" w:hAnsi="Times New Roman" w:eastAsia="微软雅黑" w:cs="Times New Roman"/>
          <w:color w:val="auto"/>
          <w:kern w:val="2"/>
          <w:sz w:val="44"/>
          <w:szCs w:val="44"/>
          <w:highlight w:val="none"/>
          <w:lang w:val="en-US" w:eastAsia="zh-CN" w:bidi="ar-SA"/>
        </w:rPr>
      </w:pPr>
    </w:p>
    <w:p w14:paraId="5F217C32">
      <w:pPr>
        <w:pStyle w:val="21"/>
        <w:ind w:left="0" w:leftChars="0" w:firstLine="0" w:firstLineChars="0"/>
        <w:rPr>
          <w:rFonts w:hint="eastAsia" w:ascii="Times New Roman" w:hAnsi="Times New Roman" w:eastAsia="微软雅黑" w:cs="Times New Roman"/>
          <w:color w:val="auto"/>
          <w:kern w:val="2"/>
          <w:sz w:val="44"/>
          <w:szCs w:val="44"/>
          <w:highlight w:val="none"/>
          <w:lang w:val="en-US" w:eastAsia="zh-CN" w:bidi="ar-SA"/>
        </w:rPr>
      </w:pPr>
    </w:p>
    <w:p w14:paraId="27FB67AC">
      <w:pPr>
        <w:rPr>
          <w:rFonts w:hint="eastAsia" w:ascii="Times New Roman" w:hAnsi="Times New Roman"/>
          <w:lang w:val="en-US" w:eastAsia="zh-CN"/>
        </w:rPr>
      </w:pPr>
    </w:p>
    <w:p w14:paraId="449C9E52">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06268"/>
      <w:bookmarkStart w:id="7" w:name="_Toc15396598"/>
      <w:bookmarkStart w:id="8" w:name="_Toc15377426"/>
      <w:bookmarkStart w:id="9" w:name="_Toc15377194"/>
      <w:bookmarkStart w:id="10" w:name="_Toc15396476"/>
      <w:bookmarkStart w:id="11" w:name="_Toc15378442"/>
    </w:p>
    <w:p w14:paraId="2D859CDA">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峨边彝族自治县人大常委会办公室</w:t>
      </w:r>
    </w:p>
    <w:p w14:paraId="48CAF641">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82EF45E">
      <w:pPr>
        <w:widowControl/>
        <w:jc w:val="center"/>
        <w:rPr>
          <w:rFonts w:ascii="Times New Roman" w:hAnsi="Times New Roman" w:eastAsia="黑体"/>
          <w:color w:val="auto"/>
          <w:sz w:val="48"/>
          <w:szCs w:val="48"/>
          <w:highlight w:val="none"/>
        </w:rPr>
      </w:pPr>
      <w:r>
        <w:rPr>
          <w:rFonts w:ascii="Times New Roman" w:hAnsi="Times New Roman" w:eastAsia="微软雅黑"/>
          <w:color w:val="auto"/>
          <w:sz w:val="36"/>
          <w:szCs w:val="36"/>
          <w:highlight w:val="none"/>
        </w:rPr>
        <w:br w:type="page"/>
      </w:r>
      <w:r>
        <w:rPr>
          <w:rFonts w:hint="eastAsia" w:ascii="Times New Roman" w:hAnsi="Times New Roman" w:eastAsia="黑体"/>
          <w:color w:val="auto"/>
          <w:sz w:val="48"/>
          <w:szCs w:val="48"/>
          <w:highlight w:val="none"/>
        </w:rPr>
        <w:t>目录</w:t>
      </w:r>
    </w:p>
    <w:p w14:paraId="1C45AB11">
      <w:pPr>
        <w:widowControl/>
        <w:jc w:val="center"/>
        <w:rPr>
          <w:rFonts w:ascii="Times New Roman" w:hAnsi="Times New Roman" w:eastAsia="黑体" w:cstheme="minorBidi"/>
          <w:color w:val="auto"/>
          <w:sz w:val="28"/>
          <w:szCs w:val="28"/>
          <w:highlight w:val="none"/>
        </w:rPr>
      </w:pPr>
    </w:p>
    <w:p w14:paraId="32D92C1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bookmarkStart w:id="12" w:name="_Toc15377196"/>
      <w:bookmarkStart w:id="13" w:name="_Toc15396599"/>
    </w:p>
    <w:sdt>
      <w:sdtPr>
        <w:rPr>
          <w:rFonts w:ascii="Times New Roman" w:hAnsi="Times New Roman" w:eastAsia="宋体" w:cs="Times New Roman"/>
          <w:kern w:val="2"/>
          <w:sz w:val="21"/>
          <w:szCs w:val="24"/>
          <w:lang w:val="en-US" w:eastAsia="zh-CN" w:bidi="ar-SA"/>
        </w:rPr>
        <w:id w:val="147481502"/>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26486EB3">
          <w:pPr>
            <w:spacing w:before="0" w:beforeLines="0" w:after="0" w:afterLines="0" w:line="240" w:lineRule="auto"/>
            <w:ind w:left="0" w:leftChars="0" w:right="0" w:rightChars="0" w:firstLine="0" w:firstLineChars="0"/>
            <w:jc w:val="center"/>
            <w:rPr>
              <w:rFonts w:ascii="Times New Roman" w:hAnsi="Times New Roman"/>
            </w:rPr>
          </w:pPr>
        </w:p>
        <w:p w14:paraId="6FD11E7A">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exact"/>
            <w:textAlignment w:val="auto"/>
            <w:rPr>
              <w:rFonts w:ascii="Times New Roman" w:hAnsi="Times New Roman"/>
            </w:rPr>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_Toc16622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highlight w:val="none"/>
            </w:rPr>
            <w:t>第一部分</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bCs w:val="0"/>
              <w:sz w:val="32"/>
              <w:szCs w:val="32"/>
              <w:highlight w:val="none"/>
            </w:rPr>
            <w:t>部门概况</w:t>
          </w:r>
          <w:r>
            <w:rPr>
              <w:rFonts w:hint="eastAsia"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_Toc16622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1</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黑体" w:cs="黑体"/>
              <w:sz w:val="32"/>
              <w:szCs w:val="32"/>
            </w:rPr>
            <w:fldChar w:fldCharType="end"/>
          </w:r>
        </w:p>
        <w:p w14:paraId="6CE8C451">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_Toc26543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部门职责</w:t>
          </w:r>
          <w:r>
            <w:rPr>
              <w:rFonts w:hint="eastAsia"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_Toc26543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1</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方正仿宋_GB2312" w:cs="方正仿宋_GB2312"/>
              <w:sz w:val="32"/>
              <w:szCs w:val="32"/>
            </w:rPr>
            <w:fldChar w:fldCharType="end"/>
          </w:r>
        </w:p>
        <w:p w14:paraId="3D886FA9">
          <w:pPr>
            <w:pStyle w:val="14"/>
            <w:tabs>
              <w:tab w:val="right" w:leader="dot" w:pos="8306"/>
              <w:tab w:val="clear" w:pos="8296"/>
            </w:tabs>
            <w:rPr>
              <w:rFonts w:ascii="Times New Roman" w:hAnsi="Times New Roman"/>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_Toc1132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二、机构设置</w:t>
          </w:r>
          <w:r>
            <w:rPr>
              <w:rFonts w:hint="eastAsia"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_Toc1132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1</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方正仿宋_GB2312" w:cs="方正仿宋_GB2312"/>
              <w:sz w:val="32"/>
              <w:szCs w:val="32"/>
            </w:rPr>
            <w:fldChar w:fldCharType="end"/>
          </w:r>
        </w:p>
        <w:p w14:paraId="32CFB9C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_Toc30183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第二部分</w:t>
          </w:r>
          <w:r>
            <w:rPr>
              <w:rFonts w:hint="eastAsia" w:ascii="Times New Roman" w:hAnsi="Times New Roman" w:eastAsia="黑体" w:cs="黑体"/>
              <w:sz w:val="32"/>
              <w:szCs w:val="32"/>
              <w:lang w:val="en-US" w:eastAsia="zh-CN"/>
            </w:rPr>
            <w:t xml:space="preserve"> 2024年度</w:t>
          </w:r>
          <w:r>
            <w:rPr>
              <w:rFonts w:hint="eastAsia" w:ascii="Times New Roman" w:hAnsi="Times New Roman" w:eastAsia="黑体" w:cs="黑体"/>
              <w:sz w:val="32"/>
              <w:szCs w:val="32"/>
            </w:rPr>
            <w:t>部门决算情况说明</w:t>
          </w:r>
          <w:r>
            <w:rPr>
              <w:rFonts w:hint="eastAsia" w:ascii="Times New Roman" w:hAnsi="Times New Roman" w:eastAsia="宋体" w:cs="Times New Roman"/>
              <w:kern w:val="2"/>
              <w:sz w:val="32"/>
              <w:szCs w:val="32"/>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_Toc30183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2</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黑体" w:cs="黑体"/>
              <w:sz w:val="32"/>
              <w:szCs w:val="32"/>
            </w:rPr>
            <w:fldChar w:fldCharType="end"/>
          </w:r>
        </w:p>
        <w:p w14:paraId="633AB697">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_Toc6733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收入支出决算总体情况说明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_Toc6733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2</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方正仿宋_GB2312" w:cs="方正仿宋_GB2312"/>
              <w:sz w:val="32"/>
              <w:szCs w:val="32"/>
            </w:rPr>
            <w:fldChar w:fldCharType="end"/>
          </w:r>
        </w:p>
        <w:p w14:paraId="4F54E32C">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_Toc4808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lang w:eastAsia="zh-CN"/>
            </w:rPr>
            <w:t>二、收入决算情况说明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_Toc4808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2</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方正仿宋_GB2312" w:cs="方正仿宋_GB2312"/>
              <w:sz w:val="32"/>
              <w:szCs w:val="32"/>
            </w:rPr>
            <w:fldChar w:fldCharType="end"/>
          </w:r>
        </w:p>
        <w:p w14:paraId="3AC39084">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_Toc18367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支出决算情况说明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宋体" w:cs="Times New Roman"/>
              <w:kern w:val="2"/>
              <w:sz w:val="32"/>
              <w:szCs w:val="32"/>
              <w:lang w:val="en-US" w:eastAsia="zh-CN" w:bidi="ar-SA"/>
            </w:rPr>
            <w:fldChar w:fldCharType="begin"/>
          </w:r>
          <w:r>
            <w:rPr>
              <w:rFonts w:hint="eastAsia" w:ascii="Times New Roman" w:hAnsi="Times New Roman" w:eastAsia="宋体" w:cs="Times New Roman"/>
              <w:kern w:val="2"/>
              <w:sz w:val="32"/>
              <w:szCs w:val="32"/>
              <w:lang w:val="en-US" w:eastAsia="zh-CN" w:bidi="ar-SA"/>
            </w:rPr>
            <w:instrText xml:space="preserve"> PAGEREF _Toc18367 \h </w:instrText>
          </w:r>
          <w:r>
            <w:rPr>
              <w:rFonts w:hint="eastAsia" w:ascii="Times New Roman" w:hAnsi="Times New Roman" w:eastAsia="宋体" w:cs="Times New Roman"/>
              <w:kern w:val="2"/>
              <w:sz w:val="32"/>
              <w:szCs w:val="32"/>
              <w:lang w:val="en-US" w:eastAsia="zh-CN" w:bidi="ar-SA"/>
            </w:rPr>
            <w:fldChar w:fldCharType="separate"/>
          </w:r>
          <w:r>
            <w:rPr>
              <w:rFonts w:hint="eastAsia" w:ascii="Times New Roman" w:hAnsi="Times New Roman" w:eastAsia="宋体" w:cs="Times New Roman"/>
              <w:kern w:val="2"/>
              <w:sz w:val="32"/>
              <w:szCs w:val="32"/>
              <w:lang w:val="en-US" w:eastAsia="zh-CN" w:bidi="ar-SA"/>
            </w:rPr>
            <w:t>3</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方正仿宋_GB2312" w:cs="方正仿宋_GB2312"/>
              <w:sz w:val="32"/>
              <w:szCs w:val="32"/>
            </w:rPr>
            <w:fldChar w:fldCharType="end"/>
          </w:r>
        </w:p>
        <w:p w14:paraId="63B3FCB1">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_Toc8017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四、财政拨款收入支出决算总体情况说明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_Toc8017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31106D4E">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_Toc42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五、一般公共预算财政拨款支出决算情况说明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_Toc42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0EB86D55">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_Toc1572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六、一般公共预算财政拨款基本支出决算情况说明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_Toc1572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8</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4442D851">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_Toc7445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七、财政拨款“三公”经费支出决算情况说明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_Toc7445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8</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37D1F0AA">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_Toc13911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八、政府性基金预算支出决算情况说明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_Toc13911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10</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117E9025">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_Toc1601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国有资本经营预算支出决算情况说明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_Toc1601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10</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1DFC4E84">
          <w:pPr>
            <w:pStyle w:val="14"/>
            <w:tabs>
              <w:tab w:val="right" w:leader="dot" w:pos="8306"/>
              <w:tab w:val="clear" w:pos="8296"/>
            </w:tabs>
            <w:rPr>
              <w:rFonts w:ascii="Times New Roman" w:hAnsi="Times New Roman"/>
              <w:sz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_Toc24991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其他重要事项的情况说明</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_Toc24991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10</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7280E8BC">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_Toc21412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部分</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名词解释</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_Toc21412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13</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65F9DC8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_Toc228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第四部分</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附件</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_Toc228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16</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1B25097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textAlignment w:val="auto"/>
            <w:rPr>
              <w:rFonts w:ascii="Times New Roman" w:hAnsi="Times New Roman"/>
              <w:sz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_Toc38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第五部分 附表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26</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0157D1D8">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_Toc31372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一、收入支出决算总表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_Toc31372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26</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2DC28D2E">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_Toc15177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二、收入决算表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_Toc15177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6176AA16">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_Toc24567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三、支出决算表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_Toc24567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0F582532">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_Toc6444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四、财政拨款收入支出决算总表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_Toc6444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50DEE8DB">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_Toc9219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五、财政拨款支出决算明细表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_Toc9219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264E60E5">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_Toc7046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六、一般公共预算财政拨款支出决算表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_Toc7046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19545C63">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_Toc31384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七、一般公共预算财政拨款支出决算明细表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_Toc31384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3E38C2E7">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_Toc9094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八、一般公共预算财政拨款基本支出决算表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_Toc9094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621C9951">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_Toc20860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九、一般公共预算财政拨款项目支出决算表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_Toc20860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0AAF1A27">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_Toc7111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十、政府性基金预算财政拨款收入支出决算表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_Toc7111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02EC9218">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_Toc5392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十一、国有资本经营预算</w:t>
          </w:r>
          <w:r>
            <w:rPr>
              <w:rFonts w:hint="eastAsia" w:ascii="仿宋_GB2312" w:hAnsi="仿宋_GB2312" w:eastAsia="仿宋_GB2312" w:cs="仿宋_GB2312"/>
              <w:sz w:val="32"/>
              <w:szCs w:val="32"/>
              <w:highlight w:val="none"/>
              <w:lang w:eastAsia="zh-CN"/>
            </w:rPr>
            <w:t>财政拨款收入</w:t>
          </w:r>
          <w:r>
            <w:rPr>
              <w:rFonts w:hint="eastAsia" w:ascii="仿宋_GB2312" w:hAnsi="仿宋_GB2312" w:eastAsia="仿宋_GB2312" w:cs="仿宋_GB2312"/>
              <w:sz w:val="32"/>
              <w:szCs w:val="32"/>
              <w:highlight w:val="none"/>
            </w:rPr>
            <w:t>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_Toc5392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70866E33">
          <w:pPr>
            <w:pStyle w:val="14"/>
            <w:tabs>
              <w:tab w:val="right" w:leader="dot" w:pos="8306"/>
              <w:tab w:val="clear" w:pos="8296"/>
            </w:tabs>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_Toc25260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十二、</w:t>
          </w:r>
          <w:r>
            <w:rPr>
              <w:rFonts w:hint="eastAsia" w:ascii="仿宋_GB2312" w:hAnsi="仿宋_GB2312" w:eastAsia="仿宋_GB2312" w:cs="仿宋_GB2312"/>
              <w:sz w:val="32"/>
              <w:szCs w:val="32"/>
              <w:highlight w:val="none"/>
              <w:lang w:eastAsia="zh-CN"/>
            </w:rPr>
            <w:t>国有资本经营预算财政拨款支出决算表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_Toc25260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2D5F5B00">
          <w:pPr>
            <w:pStyle w:val="14"/>
            <w:tabs>
              <w:tab w:val="right" w:leader="dot" w:pos="8306"/>
              <w:tab w:val="clear" w:pos="8296"/>
            </w:tabs>
            <w:rPr>
              <w:rFonts w:ascii="Times New Roman" w:hAnsi="Times New Roman"/>
            </w:rPr>
          </w:pP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HYPERLINK \l _Toc18333 </w:instrText>
          </w:r>
          <w:r>
            <w:rPr>
              <w:rFonts w:hint="eastAsia" w:ascii="Times New Roman" w:hAnsi="Times New Roman" w:eastAsia="方正仿宋_GB2312" w:cs="方正仿宋_GB2312"/>
              <w:sz w:val="32"/>
              <w:szCs w:val="32"/>
            </w:rPr>
            <w:fldChar w:fldCharType="separate"/>
          </w:r>
          <w:r>
            <w:rPr>
              <w:rFonts w:hint="eastAsia" w:ascii="仿宋_GB2312" w:hAnsi="仿宋_GB2312" w:eastAsia="仿宋_GB2312" w:cs="仿宋_GB2312"/>
              <w:sz w:val="32"/>
              <w:szCs w:val="32"/>
              <w:highlight w:val="none"/>
            </w:rPr>
            <w:t>十三、</w:t>
          </w:r>
          <w:r>
            <w:rPr>
              <w:rFonts w:hint="eastAsia" w:ascii="仿宋_GB2312" w:hAnsi="仿宋_GB2312" w:eastAsia="仿宋_GB2312" w:cs="仿宋_GB2312"/>
              <w:sz w:val="32"/>
              <w:szCs w:val="32"/>
              <w:highlight w:val="none"/>
              <w:lang w:eastAsia="zh-CN"/>
            </w:rPr>
            <w:t>财政拨款“三公”经费支出决算表</w:t>
          </w:r>
          <w:r>
            <w:rPr>
              <w:rFonts w:hint="eastAsia" w:ascii="Times New Roman" w:hAnsi="Times New Roman" w:eastAsia="宋体" w:cs="Times New Roman"/>
              <w:kern w:val="2"/>
              <w:sz w:val="32"/>
              <w:szCs w:val="24"/>
              <w:lang w:val="en-US" w:eastAsia="zh-CN" w:bidi="ar-SA"/>
            </w:rPr>
            <w:tab/>
          </w:r>
          <w:r>
            <w:rPr>
              <w:rFonts w:hint="eastAsia" w:ascii="Times New Roman" w:hAnsi="Times New Roman" w:eastAsia="方正仿宋_GB2312" w:cs="方正仿宋_GB2312"/>
              <w:sz w:val="32"/>
              <w:szCs w:val="32"/>
            </w:rPr>
            <w:fldChar w:fldCharType="begin"/>
          </w:r>
          <w:r>
            <w:rPr>
              <w:rFonts w:hint="eastAsia" w:ascii="Times New Roman" w:hAnsi="Times New Roman" w:eastAsia="方正仿宋_GB2312" w:cs="方正仿宋_GB2312"/>
              <w:sz w:val="32"/>
              <w:szCs w:val="32"/>
            </w:rPr>
            <w:instrText xml:space="preserve"> PAGEREF _Toc18333 \h </w:instrText>
          </w:r>
          <w:r>
            <w:rPr>
              <w:rFonts w:hint="eastAsia" w:ascii="Times New Roman" w:hAnsi="Times New Roman" w:eastAsia="方正仿宋_GB2312" w:cs="方正仿宋_GB2312"/>
              <w:sz w:val="32"/>
              <w:szCs w:val="32"/>
            </w:rPr>
            <w:fldChar w:fldCharType="separate"/>
          </w:r>
          <w:r>
            <w:rPr>
              <w:rFonts w:hint="eastAsia" w:ascii="Times New Roman" w:hAnsi="Times New Roman" w:eastAsia="方正仿宋_GB2312" w:cs="方正仿宋_GB2312"/>
              <w:sz w:val="32"/>
              <w:szCs w:val="32"/>
            </w:rPr>
            <w:t>34</w:t>
          </w:r>
          <w:r>
            <w:rPr>
              <w:rFonts w:hint="eastAsia" w:ascii="Times New Roman" w:hAnsi="Times New Roman" w:eastAsia="方正仿宋_GB2312" w:cs="方正仿宋_GB2312"/>
              <w:sz w:val="32"/>
              <w:szCs w:val="32"/>
            </w:rPr>
            <w:fldChar w:fldCharType="end"/>
          </w:r>
          <w:r>
            <w:rPr>
              <w:rFonts w:hint="eastAsia" w:ascii="Times New Roman" w:hAnsi="Times New Roman" w:eastAsia="方正仿宋_GB2312" w:cs="方正仿宋_GB2312"/>
              <w:sz w:val="32"/>
              <w:szCs w:val="32"/>
            </w:rPr>
            <w:fldChar w:fldCharType="end"/>
          </w:r>
        </w:p>
        <w:p w14:paraId="5B1FBC10">
          <w:pPr>
            <w:rPr>
              <w:rFonts w:ascii="Times New Roman" w:hAnsi="Times New Roman"/>
            </w:rPr>
          </w:pPr>
          <w:r>
            <w:rPr>
              <w:rFonts w:ascii="Times New Roman" w:hAnsi="Times New Roman"/>
            </w:rPr>
            <w:fldChar w:fldCharType="end"/>
          </w:r>
        </w:p>
      </w:sdtContent>
    </w:sdt>
    <w:p w14:paraId="64D7E9D8">
      <w:pPr>
        <w:rPr>
          <w:rFonts w:ascii="Times New Roman" w:hAnsi="Times New Roman"/>
        </w:rPr>
      </w:pPr>
    </w:p>
    <w:p w14:paraId="523FB948">
      <w:pPr>
        <w:pStyle w:val="5"/>
        <w:jc w:val="center"/>
        <w:rPr>
          <w:rFonts w:hint="eastAsia" w:ascii="Times New Roman" w:hAnsi="Times New Roman" w:eastAsia="微软雅黑" w:cs="微软雅黑"/>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4" w:name="_Toc27121"/>
    </w:p>
    <w:p w14:paraId="2798955C">
      <w:pPr>
        <w:pStyle w:val="5"/>
        <w:jc w:val="center"/>
        <w:rPr>
          <w:rStyle w:val="22"/>
          <w:rFonts w:hint="eastAsia" w:ascii="黑体" w:hAnsi="黑体" w:eastAsia="黑体" w:cs="黑体"/>
          <w:b/>
          <w:bCs w:val="0"/>
          <w:color w:val="auto"/>
          <w:highlight w:val="none"/>
        </w:rPr>
      </w:pPr>
      <w:bookmarkStart w:id="15" w:name="_Toc16622"/>
      <w:r>
        <w:rPr>
          <w:rFonts w:hint="eastAsia" w:ascii="黑体" w:hAnsi="黑体" w:eastAsia="黑体" w:cs="黑体"/>
          <w:b w:val="0"/>
          <w:color w:val="auto"/>
          <w:highlight w:val="none"/>
        </w:rPr>
        <w:t>第一部分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Style w:val="22"/>
          <w:rFonts w:hint="eastAsia" w:ascii="黑体" w:hAnsi="黑体" w:eastAsia="黑体" w:cs="黑体"/>
          <w:b w:val="0"/>
          <w:bCs w:val="0"/>
          <w:color w:val="auto"/>
          <w:highlight w:val="none"/>
        </w:rPr>
        <w:t>部门概况</w:t>
      </w:r>
      <w:bookmarkEnd w:id="12"/>
      <w:bookmarkEnd w:id="13"/>
      <w:bookmarkEnd w:id="14"/>
      <w:bookmarkEnd w:id="15"/>
    </w:p>
    <w:p w14:paraId="30A61D79">
      <w:pPr>
        <w:widowControl/>
        <w:jc w:val="left"/>
        <w:rPr>
          <w:rFonts w:ascii="Times New Roman" w:hAnsi="Times New Roman" w:eastAsia="黑体"/>
          <w:color w:val="auto"/>
          <w:sz w:val="32"/>
          <w:szCs w:val="32"/>
          <w:highlight w:val="none"/>
        </w:rPr>
      </w:pPr>
    </w:p>
    <w:p w14:paraId="16B6146E">
      <w:pPr>
        <w:pStyle w:val="6"/>
        <w:rPr>
          <w:rStyle w:val="33"/>
          <w:rFonts w:hint="eastAsia" w:ascii="Times New Roman" w:hAnsi="Times New Roman" w:eastAsia="黑体"/>
          <w:b w:val="0"/>
          <w:bCs w:val="0"/>
          <w:color w:val="auto"/>
          <w:highlight w:val="none"/>
          <w:lang w:eastAsia="zh-CN"/>
        </w:rPr>
      </w:pPr>
      <w:bookmarkStart w:id="16" w:name="_Toc15377197"/>
      <w:bookmarkStart w:id="17" w:name="_Toc15396600"/>
      <w:bookmarkStart w:id="18" w:name="_Toc22256"/>
      <w:bookmarkStart w:id="19" w:name="_Toc26543"/>
      <w:r>
        <w:rPr>
          <w:rFonts w:hint="eastAsia" w:ascii="Times New Roman" w:hAnsi="Times New Roman" w:eastAsia="黑体"/>
          <w:b w:val="0"/>
          <w:color w:val="auto"/>
          <w:highlight w:val="none"/>
        </w:rPr>
        <w:t>一、</w:t>
      </w:r>
      <w:bookmarkEnd w:id="16"/>
      <w:bookmarkEnd w:id="17"/>
      <w:r>
        <w:rPr>
          <w:rFonts w:hint="eastAsia" w:ascii="Times New Roman" w:hAnsi="Times New Roman" w:eastAsia="黑体"/>
          <w:b w:val="0"/>
          <w:color w:val="auto"/>
          <w:highlight w:val="none"/>
          <w:lang w:eastAsia="zh-CN"/>
        </w:rPr>
        <w:t>部门职责</w:t>
      </w:r>
      <w:bookmarkEnd w:id="18"/>
      <w:bookmarkEnd w:id="19"/>
    </w:p>
    <w:p w14:paraId="0EFB1140">
      <w:pPr>
        <w:ind w:firstLine="800" w:firstLineChars="250"/>
        <w:rPr>
          <w:rFonts w:hint="eastAsia" w:ascii="仿宋_GB2312" w:hAnsi="仿宋_GB2312" w:eastAsia="仿宋_GB2312" w:cs="仿宋_GB2312"/>
          <w:color w:val="auto"/>
          <w:sz w:val="32"/>
          <w:szCs w:val="32"/>
          <w:highlight w:val="none"/>
        </w:rPr>
      </w:pPr>
      <w:bookmarkStart w:id="20" w:name="_Toc15396601"/>
      <w:bookmarkStart w:id="21" w:name="_Toc15377200"/>
      <w:r>
        <w:rPr>
          <w:rFonts w:hint="eastAsia" w:ascii="Times New Roman" w:hAnsi="Times New Roman" w:eastAsia="仿宋_GB2312" w:cs="仿宋_GB2312"/>
          <w:color w:val="auto"/>
          <w:sz w:val="32"/>
          <w:szCs w:val="32"/>
          <w:highlight w:val="none"/>
        </w:rPr>
        <w:t>自治县人大常委会办公室为常委会依法行使民族立法权、重大事项决定权、监督权、人事任免权等做好服务工作；为代表视察、代表培训、代表议案、建议、批评和意见办理工作等做好服务</w:t>
      </w:r>
      <w:r>
        <w:rPr>
          <w:rFonts w:hint="eastAsia" w:ascii="仿宋_GB2312" w:hAnsi="仿宋_GB2312" w:eastAsia="仿宋_GB2312" w:cs="仿宋_GB2312"/>
          <w:color w:val="auto"/>
          <w:sz w:val="32"/>
          <w:szCs w:val="32"/>
          <w:highlight w:val="none"/>
        </w:rPr>
        <w:t>。</w:t>
      </w:r>
    </w:p>
    <w:p w14:paraId="20DAE5BB">
      <w:pPr>
        <w:pStyle w:val="6"/>
        <w:rPr>
          <w:rStyle w:val="33"/>
          <w:rFonts w:ascii="Times New Roman" w:hAnsi="Times New Roman"/>
          <w:b w:val="0"/>
          <w:bCs w:val="0"/>
          <w:color w:val="auto"/>
          <w:highlight w:val="none"/>
        </w:rPr>
      </w:pPr>
      <w:bookmarkStart w:id="22" w:name="_Toc1132"/>
      <w:bookmarkStart w:id="23" w:name="_Toc24846"/>
      <w:r>
        <w:rPr>
          <w:rFonts w:hint="eastAsia" w:ascii="Times New Roman" w:hAnsi="Times New Roman" w:eastAsia="黑体"/>
          <w:b w:val="0"/>
          <w:color w:val="auto"/>
          <w:highlight w:val="none"/>
        </w:rPr>
        <w:t>二、机</w:t>
      </w:r>
      <w:r>
        <w:rPr>
          <w:rStyle w:val="33"/>
          <w:rFonts w:hint="eastAsia" w:ascii="Times New Roman" w:hAnsi="Times New Roman" w:eastAsia="黑体"/>
          <w:b w:val="0"/>
          <w:bCs w:val="0"/>
          <w:color w:val="auto"/>
          <w:highlight w:val="none"/>
        </w:rPr>
        <w:t>构设置</w:t>
      </w:r>
      <w:bookmarkEnd w:id="20"/>
      <w:bookmarkEnd w:id="21"/>
      <w:bookmarkEnd w:id="22"/>
      <w:bookmarkEnd w:id="23"/>
    </w:p>
    <w:p w14:paraId="084147AF">
      <w:pPr>
        <w:ind w:firstLine="800" w:firstLineChars="25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lang w:eastAsia="zh-CN"/>
        </w:rPr>
        <w:t>峨边彝族自治县人大常委会办公室</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rPr>
        <w:t>。</w:t>
      </w:r>
      <w:r>
        <w:rPr>
          <w:rFonts w:ascii="Times New Roman" w:hAnsi="Times New Roman" w:eastAsia="仿宋"/>
          <w:color w:val="auto"/>
          <w:sz w:val="32"/>
          <w:szCs w:val="32"/>
          <w:highlight w:val="none"/>
        </w:rPr>
        <w:br w:type="page"/>
      </w:r>
    </w:p>
    <w:p w14:paraId="28AA4760">
      <w:pPr>
        <w:pStyle w:val="5"/>
        <w:jc w:val="center"/>
        <w:rPr>
          <w:rFonts w:hint="eastAsia" w:ascii="黑体" w:hAnsi="黑体" w:eastAsia="黑体" w:cs="黑体"/>
          <w:b w:val="0"/>
          <w:color w:val="auto"/>
          <w:highlight w:val="none"/>
        </w:rPr>
      </w:pPr>
      <w:bookmarkStart w:id="24" w:name="_Toc15377204"/>
      <w:bookmarkStart w:id="25" w:name="_Toc30183"/>
      <w:bookmarkStart w:id="26" w:name="_Toc15396602"/>
      <w:bookmarkStart w:id="27" w:name="_Toc9493"/>
      <w:r>
        <w:rPr>
          <w:rFonts w:hint="eastAsia" w:ascii="黑体" w:hAnsi="黑体" w:eastAsia="黑体" w:cs="黑体"/>
          <w:b w:val="0"/>
          <w:color w:val="auto"/>
          <w:highlight w:val="none"/>
        </w:rPr>
        <w:t>第二部分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rPr>
        <w:t>部门决算情况说明</w:t>
      </w:r>
      <w:bookmarkEnd w:id="24"/>
      <w:bookmarkEnd w:id="25"/>
      <w:bookmarkEnd w:id="26"/>
      <w:bookmarkEnd w:id="27"/>
    </w:p>
    <w:p w14:paraId="084E6823">
      <w:pPr>
        <w:rPr>
          <w:rFonts w:ascii="Times New Roman" w:hAnsi="Times New Roman"/>
          <w:color w:val="auto"/>
          <w:highlight w:val="none"/>
        </w:rPr>
      </w:pPr>
    </w:p>
    <w:p w14:paraId="4CE3883C">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28" w:name="_Toc15396603"/>
      <w:bookmarkStart w:id="29" w:name="_Toc6733"/>
      <w:bookmarkStart w:id="30" w:name="_Toc15377205"/>
      <w:bookmarkStart w:id="31" w:name="_Toc2887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28"/>
      <w:bookmarkEnd w:id="29"/>
      <w:bookmarkEnd w:id="30"/>
      <w:bookmarkEnd w:id="31"/>
    </w:p>
    <w:p w14:paraId="0FD16A23">
      <w:pPr>
        <w:ind w:firstLine="800" w:firstLineChars="250"/>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2024年度收、支总计均为1023.02万元。与2023年度相比，收、支总计各减少49.29万元，减少4.6%。主要变动原因是2024年没有安排政府性基金预算</w:t>
      </w:r>
      <w:r>
        <w:rPr>
          <w:rFonts w:hint="eastAsia" w:ascii="Times New Roman" w:hAnsi="Times New Roman" w:eastAsia="仿宋_GB2312" w:cs="仿宋_GB2312"/>
          <w:color w:val="auto"/>
          <w:sz w:val="32"/>
          <w:szCs w:val="32"/>
          <w:highlight w:val="none"/>
          <w:lang w:eastAsia="zh-CN"/>
        </w:rPr>
        <w:t>。</w:t>
      </w:r>
    </w:p>
    <w:p w14:paraId="742FEC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
          <w:color w:val="auto"/>
          <w:sz w:val="32"/>
          <w:szCs w:val="32"/>
          <w:highlight w:val="none"/>
          <w:lang w:eastAsia="zh-CN"/>
        </w:rPr>
      </w:pPr>
      <w:r>
        <w:drawing>
          <wp:inline distT="0" distB="0" distL="114300" distR="114300">
            <wp:extent cx="5269230" cy="3369310"/>
            <wp:effectExtent l="38735" t="18415" r="45085" b="60325"/>
            <wp:docPr id="1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7676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12B175B">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2" w:name="_Toc15396604"/>
      <w:bookmarkStart w:id="33" w:name="_Toc18823"/>
      <w:bookmarkStart w:id="34" w:name="_Toc4808"/>
      <w:bookmarkStart w:id="35" w:name="_Toc15377206"/>
      <w:r>
        <w:rPr>
          <w:rFonts w:hint="eastAsia" w:ascii="Times New Roman" w:hAnsi="Times New Roman" w:eastAsia="黑体"/>
          <w:color w:val="auto"/>
          <w:sz w:val="32"/>
          <w:szCs w:val="32"/>
          <w:highlight w:val="none"/>
          <w:lang w:eastAsia="zh-CN"/>
        </w:rPr>
        <w:t>二、收入决算情况说明</w:t>
      </w:r>
      <w:bookmarkEnd w:id="32"/>
      <w:bookmarkEnd w:id="33"/>
      <w:bookmarkEnd w:id="34"/>
      <w:bookmarkEnd w:id="35"/>
    </w:p>
    <w:p w14:paraId="3B3E1A1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2024年度本年收入合计1023.02万元，其中：一般公共预算财政拨款收入1023.02万元，占100%</w:t>
      </w:r>
      <w:r>
        <w:rPr>
          <w:rFonts w:hint="eastAsia" w:ascii="Times New Roman" w:hAnsi="Times New Roman" w:eastAsia="仿宋_GB2312" w:cs="仿宋_GB2312"/>
          <w:color w:val="auto"/>
          <w:sz w:val="32"/>
          <w:szCs w:val="32"/>
          <w:highlight w:val="none"/>
          <w:lang w:eastAsia="zh-CN"/>
        </w:rPr>
        <w:t>。</w:t>
      </w:r>
    </w:p>
    <w:p w14:paraId="57835CD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269865" cy="3623310"/>
            <wp:effectExtent l="38735" t="18415" r="44450" b="7302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BBFD88">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3C088A9">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36" w:name="_Toc16939"/>
      <w:bookmarkStart w:id="37" w:name="_Toc15377207"/>
      <w:bookmarkStart w:id="38" w:name="_Toc15396605"/>
      <w:bookmarkStart w:id="39" w:name="_Toc1836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36"/>
      <w:bookmarkEnd w:id="37"/>
      <w:bookmarkEnd w:id="38"/>
      <w:bookmarkEnd w:id="39"/>
    </w:p>
    <w:p w14:paraId="6E8E2E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2024年度本年支出合计1023.02万元，其中：基本支出813.97万元，占79.57%；项目支出209.05万元，占20.43%。</w:t>
      </w:r>
    </w:p>
    <w:p w14:paraId="627D454C">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5272405" cy="3344545"/>
            <wp:effectExtent l="38735" t="18415" r="41910" b="66040"/>
            <wp:docPr id="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9D8CD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85881CA">
      <w:pPr>
        <w:spacing w:line="600" w:lineRule="exact"/>
        <w:ind w:firstLine="640" w:firstLineChars="200"/>
        <w:outlineLvl w:val="1"/>
        <w:rPr>
          <w:rStyle w:val="33"/>
          <w:rFonts w:ascii="Times New Roman" w:hAnsi="Times New Roman" w:eastAsia="黑体"/>
          <w:b w:val="0"/>
          <w:color w:val="auto"/>
          <w:highlight w:val="none"/>
        </w:rPr>
      </w:pPr>
      <w:bookmarkStart w:id="40" w:name="_Toc15377208"/>
      <w:bookmarkStart w:id="41" w:name="_Toc27729"/>
      <w:bookmarkStart w:id="42" w:name="_Toc8017"/>
      <w:bookmarkStart w:id="43" w:name="_Toc15396606"/>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40"/>
      <w:bookmarkEnd w:id="41"/>
      <w:bookmarkEnd w:id="42"/>
      <w:bookmarkEnd w:id="43"/>
    </w:p>
    <w:p w14:paraId="6490B787">
      <w:pPr>
        <w:ind w:firstLine="800" w:firstLineChars="25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rPr>
        <w:t>2024年度财政拨款收、支总计均为1023.02万元。与2023年度相比，财政拨款收、支总计各减少49.29万元，减少4.6%。主要变动原因是2024年没有安排政府性基金预算</w:t>
      </w:r>
      <w:r>
        <w:rPr>
          <w:rFonts w:hint="eastAsia" w:ascii="Times New Roman" w:hAnsi="Times New Roman" w:eastAsia="仿宋_GB2312" w:cs="仿宋_GB2312"/>
          <w:color w:val="auto"/>
          <w:sz w:val="32"/>
          <w:szCs w:val="32"/>
          <w:highlight w:val="none"/>
          <w:lang w:eastAsia="zh-CN"/>
        </w:rPr>
        <w:t>。</w:t>
      </w:r>
    </w:p>
    <w:p w14:paraId="654EA80B">
      <w:pPr>
        <w:bidi w:val="0"/>
        <w:rPr>
          <w:rFonts w:hint="eastAsia" w:ascii="Times New Roman" w:hAnsi="Times New Roman"/>
          <w:lang w:val="en-US" w:eastAsia="zh-CN"/>
        </w:rPr>
      </w:pPr>
      <w:r>
        <w:drawing>
          <wp:inline distT="0" distB="0" distL="114300" distR="114300">
            <wp:extent cx="5270500" cy="3061970"/>
            <wp:effectExtent l="38735" t="18415" r="43815" b="62865"/>
            <wp:docPr id="2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A8191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EAA943C">
      <w:pPr>
        <w:spacing w:line="600" w:lineRule="exact"/>
        <w:ind w:firstLine="640" w:firstLineChars="200"/>
        <w:outlineLvl w:val="1"/>
        <w:rPr>
          <w:rStyle w:val="33"/>
          <w:rFonts w:ascii="Times New Roman" w:hAnsi="Times New Roman" w:eastAsia="黑体"/>
          <w:b w:val="0"/>
          <w:color w:val="auto"/>
          <w:highlight w:val="none"/>
        </w:rPr>
      </w:pPr>
      <w:bookmarkStart w:id="44" w:name="_Toc15396607"/>
      <w:bookmarkStart w:id="45" w:name="_Toc7067"/>
      <w:bookmarkStart w:id="46" w:name="_Toc15377209"/>
      <w:bookmarkStart w:id="47" w:name="_Toc4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44"/>
      <w:bookmarkEnd w:id="45"/>
      <w:bookmarkEnd w:id="46"/>
      <w:bookmarkEnd w:id="47"/>
    </w:p>
    <w:p w14:paraId="1BA633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8"/>
    </w:p>
    <w:p w14:paraId="284DCCD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2024年度一般公共预算财政拨款支出1023.02万元，占本年支出合计的100%。与2023年度相比，一般公共预算财政拨款支出减少49.29万元，减少4.6%。主要变动原因是2024年没有安排政府性基金预算</w:t>
      </w:r>
      <w:r>
        <w:rPr>
          <w:rFonts w:hint="eastAsia" w:ascii="Times New Roman" w:hAnsi="Times New Roman" w:eastAsia="仿宋_GB2312" w:cs="仿宋_GB2312"/>
          <w:color w:val="auto"/>
          <w:sz w:val="32"/>
          <w:szCs w:val="32"/>
          <w:highlight w:val="none"/>
          <w:lang w:eastAsia="zh-CN"/>
        </w:rPr>
        <w:t>。</w:t>
      </w:r>
    </w:p>
    <w:p w14:paraId="46FD97E9">
      <w:pPr>
        <w:pStyle w:val="2"/>
        <w:rPr>
          <w:rFonts w:hint="eastAsia" w:ascii="Times New Roman" w:hAnsi="Times New Roman"/>
          <w:lang w:val="en-US" w:eastAsia="zh-CN"/>
        </w:rPr>
      </w:pPr>
    </w:p>
    <w:p w14:paraId="10CA771E">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270500" cy="3080385"/>
            <wp:effectExtent l="38735" t="18415" r="43815" b="63500"/>
            <wp:docPr id="2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3972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FC7AE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9"/>
    </w:p>
    <w:p w14:paraId="1314B2C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2024年度一般公共预算财政拨款支出</w:t>
      </w:r>
      <w:r>
        <w:rPr>
          <w:rFonts w:hint="eastAsia" w:ascii="Times New Roman" w:hAnsi="Times New Roman" w:eastAsia="仿宋_GB2312" w:cs="仿宋_GB2312"/>
          <w:color w:val="auto"/>
          <w:sz w:val="32"/>
          <w:szCs w:val="32"/>
          <w:highlight w:val="none"/>
          <w:lang w:val="en-US" w:eastAsia="zh-CN"/>
        </w:rPr>
        <w:t>1023.02</w:t>
      </w:r>
      <w:r>
        <w:rPr>
          <w:rFonts w:hint="eastAsia" w:ascii="Times New Roman" w:hAnsi="Times New Roman" w:eastAsia="仿宋_GB2312" w:cs="仿宋_GB2312"/>
          <w:color w:val="auto"/>
          <w:sz w:val="32"/>
          <w:szCs w:val="32"/>
          <w:highlight w:val="none"/>
          <w:lang w:eastAsia="zh-CN"/>
        </w:rPr>
        <w:t>万元，主要用于以下方面</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一般公共服务支出</w:t>
      </w:r>
      <w:r>
        <w:rPr>
          <w:rFonts w:hint="eastAsia" w:ascii="Times New Roman" w:hAnsi="Times New Roman" w:eastAsia="仿宋_GB2312" w:cs="仿宋_GB2312"/>
          <w:color w:val="auto"/>
          <w:sz w:val="32"/>
          <w:szCs w:val="32"/>
          <w:highlight w:val="none"/>
          <w:lang w:val="en-US" w:eastAsia="zh-CN"/>
        </w:rPr>
        <w:t>764.78</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74.76</w:t>
      </w:r>
      <w:r>
        <w:rPr>
          <w:rFonts w:hint="eastAsia" w:ascii="Times New Roman" w:hAnsi="Times New Roman" w:eastAsia="仿宋_GB2312" w:cs="仿宋_GB2312"/>
          <w:color w:val="auto"/>
          <w:sz w:val="32"/>
          <w:szCs w:val="32"/>
          <w:highlight w:val="none"/>
          <w:lang w:eastAsia="zh-CN"/>
        </w:rPr>
        <w:t>%；社会保障和就业支出</w:t>
      </w:r>
      <w:r>
        <w:rPr>
          <w:rFonts w:hint="eastAsia" w:ascii="Times New Roman" w:hAnsi="Times New Roman" w:eastAsia="仿宋_GB2312" w:cs="仿宋_GB2312"/>
          <w:color w:val="auto"/>
          <w:sz w:val="32"/>
          <w:szCs w:val="32"/>
          <w:highlight w:val="none"/>
          <w:lang w:val="en-US" w:eastAsia="zh-CN"/>
        </w:rPr>
        <w:t>93.16</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9.11</w:t>
      </w:r>
      <w:r>
        <w:rPr>
          <w:rFonts w:hint="eastAsia" w:ascii="Times New Roman" w:hAnsi="Times New Roman" w:eastAsia="仿宋_GB2312" w:cs="仿宋_GB2312"/>
          <w:color w:val="auto"/>
          <w:sz w:val="32"/>
          <w:szCs w:val="32"/>
          <w:highlight w:val="none"/>
          <w:lang w:eastAsia="zh-CN"/>
        </w:rPr>
        <w:t>%；卫生健康支出</w:t>
      </w:r>
      <w:r>
        <w:rPr>
          <w:rFonts w:hint="eastAsia" w:ascii="Times New Roman" w:hAnsi="Times New Roman" w:eastAsia="仿宋_GB2312" w:cs="仿宋_GB2312"/>
          <w:color w:val="auto"/>
          <w:sz w:val="32"/>
          <w:szCs w:val="32"/>
          <w:highlight w:val="none"/>
          <w:lang w:val="en-US" w:eastAsia="zh-CN"/>
        </w:rPr>
        <w:t>14.33</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lang w:eastAsia="zh-CN"/>
        </w:rPr>
        <w:t>%；农林水支出</w:t>
      </w:r>
      <w:r>
        <w:rPr>
          <w:rFonts w:hint="eastAsia" w:ascii="Times New Roman" w:hAnsi="Times New Roman" w:eastAsia="仿宋_GB2312" w:cs="仿宋_GB2312"/>
          <w:color w:val="auto"/>
          <w:sz w:val="32"/>
          <w:szCs w:val="32"/>
          <w:highlight w:val="none"/>
          <w:lang w:val="en-US" w:eastAsia="zh-CN"/>
        </w:rPr>
        <w:t>106.94万元，</w:t>
      </w:r>
      <w:r>
        <w:rPr>
          <w:rFonts w:hint="eastAsia" w:ascii="Times New Roman" w:hAnsi="Times New Roman" w:eastAsia="仿宋_GB2312" w:cs="仿宋_GB2312"/>
          <w:color w:val="auto"/>
          <w:sz w:val="32"/>
          <w:szCs w:val="32"/>
          <w:highlight w:val="none"/>
          <w:lang w:eastAsia="zh-CN"/>
        </w:rPr>
        <w:t>占</w:t>
      </w:r>
      <w:r>
        <w:rPr>
          <w:rFonts w:hint="eastAsia" w:ascii="Times New Roman" w:hAnsi="Times New Roman" w:eastAsia="仿宋_GB2312" w:cs="仿宋_GB2312"/>
          <w:color w:val="auto"/>
          <w:sz w:val="32"/>
          <w:szCs w:val="32"/>
          <w:highlight w:val="none"/>
          <w:lang w:val="en-US" w:eastAsia="zh-CN"/>
        </w:rPr>
        <w:t>10.45</w:t>
      </w:r>
      <w:r>
        <w:rPr>
          <w:rFonts w:hint="eastAsia" w:ascii="Times New Roman" w:hAnsi="Times New Roman" w:eastAsia="仿宋_GB2312" w:cs="仿宋_GB2312"/>
          <w:color w:val="auto"/>
          <w:sz w:val="32"/>
          <w:szCs w:val="32"/>
          <w:highlight w:val="none"/>
          <w:lang w:eastAsia="zh-CN"/>
        </w:rPr>
        <w:t>%，住房保障支出</w:t>
      </w:r>
      <w:r>
        <w:rPr>
          <w:rFonts w:hint="eastAsia" w:ascii="Times New Roman" w:hAnsi="Times New Roman" w:eastAsia="仿宋_GB2312" w:cs="仿宋_GB2312"/>
          <w:color w:val="auto"/>
          <w:sz w:val="32"/>
          <w:szCs w:val="32"/>
          <w:highlight w:val="none"/>
          <w:lang w:val="en-US" w:eastAsia="zh-CN"/>
        </w:rPr>
        <w:t>43.81</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4.28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w:t>
      </w:r>
    </w:p>
    <w:p w14:paraId="1D16F99E">
      <w:pPr>
        <w:bidi w:val="0"/>
        <w:rPr>
          <w:rFonts w:hint="eastAsia" w:ascii="Times New Roman" w:hAnsi="Times New Roman"/>
          <w:lang w:val="en-US" w:eastAsia="zh-CN"/>
        </w:rPr>
      </w:pPr>
      <w:r>
        <w:drawing>
          <wp:inline distT="0" distB="0" distL="114300" distR="114300">
            <wp:extent cx="5274310" cy="3515995"/>
            <wp:effectExtent l="38735" t="18415" r="40005" b="66040"/>
            <wp:docPr id="2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D760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BA8B2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0"/>
    </w:p>
    <w:p w14:paraId="048D51F0">
      <w:pPr>
        <w:spacing w:line="600" w:lineRule="exact"/>
        <w:ind w:firstLine="640" w:firstLineChars="200"/>
        <w:outlineLvl w:val="9"/>
        <w:rPr>
          <w:rFonts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lang w:eastAsia="zh-CN"/>
        </w:rPr>
        <w:t>2024年度一</w:t>
      </w:r>
      <w:r>
        <w:rPr>
          <w:rFonts w:hint="eastAsia" w:ascii="Times New Roman" w:hAnsi="Times New Roman" w:eastAsia="仿宋_GB2312" w:cs="仿宋_GB2312"/>
          <w:b w:val="0"/>
          <w:bCs/>
          <w:color w:val="auto"/>
          <w:sz w:val="32"/>
          <w:szCs w:val="32"/>
          <w:highlight w:val="none"/>
        </w:rPr>
        <w:t>般公共预算支出决算数为</w:t>
      </w:r>
      <w:r>
        <w:rPr>
          <w:rFonts w:hint="eastAsia" w:ascii="Times New Roman" w:hAnsi="Times New Roman" w:eastAsia="仿宋_GB2312" w:cs="仿宋_GB2312"/>
          <w:b w:val="0"/>
          <w:bCs/>
          <w:sz w:val="32"/>
          <w:szCs w:val="32"/>
          <w:lang w:val="en-US" w:eastAsia="zh-CN"/>
        </w:rPr>
        <w:t>1023.02</w:t>
      </w:r>
      <w:r>
        <w:rPr>
          <w:rFonts w:hint="eastAsia" w:ascii="Times New Roman" w:hAnsi="Times New Roman" w:eastAsia="仿宋_GB2312" w:cs="仿宋_GB2312"/>
          <w:b w:val="0"/>
          <w:bCs/>
          <w:color w:val="auto"/>
          <w:sz w:val="32"/>
          <w:szCs w:val="32"/>
          <w:highlight w:val="none"/>
          <w:lang w:val="en-US" w:eastAsia="zh-CN"/>
        </w:rPr>
        <w:t>万元</w:t>
      </w:r>
      <w:r>
        <w:rPr>
          <w:rFonts w:hint="eastAsia" w:ascii="Times New Roman" w:hAnsi="Times New Roman" w:eastAsia="仿宋_GB2312" w:cs="仿宋_GB2312"/>
          <w:b w:val="0"/>
          <w:bCs/>
          <w:color w:val="auto"/>
          <w:sz w:val="32"/>
          <w:szCs w:val="32"/>
          <w:highlight w:val="none"/>
        </w:rPr>
        <w:t>，</w:t>
      </w:r>
      <w:r>
        <w:rPr>
          <w:rStyle w:val="19"/>
          <w:rFonts w:hint="eastAsia" w:ascii="Times New Roman" w:hAnsi="Times New Roman" w:eastAsia="仿宋_GB2312" w:cs="仿宋_GB2312"/>
          <w:b w:val="0"/>
          <w:bCs/>
          <w:color w:val="auto"/>
          <w:sz w:val="32"/>
          <w:szCs w:val="32"/>
          <w:highlight w:val="none"/>
        </w:rPr>
        <w:t>完成预算</w:t>
      </w:r>
      <w:r>
        <w:rPr>
          <w:rStyle w:val="19"/>
          <w:rFonts w:hint="eastAsia" w:ascii="Times New Roman" w:hAnsi="Times New Roman" w:eastAsia="仿宋_GB2312" w:cs="仿宋_GB2312"/>
          <w:b w:val="0"/>
          <w:bCs/>
          <w:color w:val="auto"/>
          <w:sz w:val="32"/>
          <w:szCs w:val="32"/>
          <w:highlight w:val="none"/>
          <w:lang w:val="en-US" w:eastAsia="zh-CN"/>
        </w:rPr>
        <w:t>100</w:t>
      </w:r>
      <w:r>
        <w:rPr>
          <w:rStyle w:val="19"/>
          <w:rFonts w:ascii="Times New Roman" w:hAnsi="Times New Roman" w:eastAsia="仿宋_GB2312" w:cs="仿宋_GB2312"/>
          <w:b w:val="0"/>
          <w:bCs/>
          <w:color w:val="auto"/>
          <w:sz w:val="32"/>
          <w:szCs w:val="32"/>
          <w:highlight w:val="none"/>
        </w:rPr>
        <w:t>%</w:t>
      </w:r>
      <w:r>
        <w:rPr>
          <w:rStyle w:val="19"/>
          <w:rFonts w:hint="eastAsia" w:ascii="Times New Roman" w:hAnsi="Times New Roman" w:eastAsia="仿宋_GB2312" w:cs="仿宋_GB2312"/>
          <w:b w:val="0"/>
          <w:bCs/>
          <w:color w:val="auto"/>
          <w:sz w:val="32"/>
          <w:szCs w:val="32"/>
          <w:highlight w:val="none"/>
        </w:rPr>
        <w:t>。其中：</w:t>
      </w:r>
    </w:p>
    <w:p w14:paraId="1CBB74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1.一般公共服务（类）人大事务（款）行政运行（项）：支出决算为501.25万元，完成预算100%，决算数等于预算数。</w:t>
      </w:r>
    </w:p>
    <w:p w14:paraId="38881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2.一般公共服务（类）人大事务（款）一般行政管理事务（项）：支出决算为2.64万元，完成预算100%，决算数等于预算数。</w:t>
      </w:r>
    </w:p>
    <w:p w14:paraId="1A4EA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3.一般公共服务（类）人大事务（款）事业运行（项）：支出决算为134.48万元，完成预算100%，决算数等于预算数。</w:t>
      </w:r>
    </w:p>
    <w:p w14:paraId="73746C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4.一般公共服务（类）人大事务（款）其他人大事务支出（项）：支出决算为126.41万元，完成预算100%，决算数等于预算数。</w:t>
      </w:r>
    </w:p>
    <w:p w14:paraId="693FE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5.社会保障和就业支出（类）行政事业单位养老支出（款）机关事业单位基本养老保险缴费支出（项）</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支出决算为50.73万元，完成预算100%，决算数等于预算数。</w:t>
      </w:r>
    </w:p>
    <w:p w14:paraId="015DC9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6.社会保障和就业支出（类）行政事业单位养老支出（款）机关事业单位职业年金缴费支出（项）</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支出决算为32.95万元，完成预算100%，决算数等于预算数。</w:t>
      </w:r>
    </w:p>
    <w:p w14:paraId="1EB8D1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7.社会保障和就业支出（类）其他社会保障和就业支出（款）其他社会保障和就业支出（项）</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支出决算为9.49万元，完成预算100%，决算数等于预算数。</w:t>
      </w:r>
    </w:p>
    <w:p w14:paraId="5761BC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8.卫生健康（类）行政事业单位医疗（款）行政单位医疗（项）</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支出决算为14.33万元，完成预算100%，决算数等于预算数。</w:t>
      </w:r>
    </w:p>
    <w:p w14:paraId="47E043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9.农林水支出（类）巩固脱贫攻坚成果衔接乡村振兴（款）其他巩固脱贫攻坚成果衔接乡村振兴支出（项）：支出决算为106.94万元，完成预算100%，决算数等于预算数。</w:t>
      </w:r>
    </w:p>
    <w:p w14:paraId="48DFA6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10.住房保障支出</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类）住房改革支出（款）住房公积金（项）</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支出决算为43.81万元，完成预算100%，决算数等于预算数。</w:t>
      </w:r>
    </w:p>
    <w:p w14:paraId="45E169B7">
      <w:pPr>
        <w:tabs>
          <w:tab w:val="right" w:pos="8306"/>
        </w:tabs>
        <w:spacing w:line="600" w:lineRule="exact"/>
        <w:ind w:firstLine="640"/>
        <w:outlineLvl w:val="1"/>
        <w:rPr>
          <w:rStyle w:val="33"/>
          <w:rFonts w:ascii="Times New Roman" w:hAnsi="Times New Roman"/>
          <w:color w:val="auto"/>
          <w:highlight w:val="none"/>
        </w:rPr>
      </w:pPr>
      <w:bookmarkStart w:id="51" w:name="_Toc15377214"/>
      <w:bookmarkStart w:id="52" w:name="_Toc15396608"/>
      <w:bookmarkStart w:id="53" w:name="_Toc1725"/>
      <w:bookmarkStart w:id="54" w:name="_Toc157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51"/>
      <w:bookmarkEnd w:id="52"/>
      <w:bookmarkEnd w:id="53"/>
      <w:bookmarkEnd w:id="54"/>
      <w:r>
        <w:rPr>
          <w:rStyle w:val="33"/>
          <w:rFonts w:ascii="Times New Roman" w:hAnsi="Times New Roman" w:eastAsia="黑体"/>
          <w:b w:val="0"/>
          <w:color w:val="auto"/>
          <w:highlight w:val="none"/>
        </w:rPr>
        <w:tab/>
      </w:r>
    </w:p>
    <w:p w14:paraId="1E462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2024年度一般公共预算财政拨款基本支出813.97万元，其中：</w:t>
      </w:r>
    </w:p>
    <w:p w14:paraId="263806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人员经费653.14万元，主要包括：基本工资、津贴补贴、奖金、伙食补助费、绩效工资、机关事业单位基本养老保险缴费、职业年金缴费、职工基本医疗保险缴费、其他社会保障缴费、住房公积金、其他工资福利支出、生活补助、其他对个人和家庭的补助支出等。</w:t>
      </w:r>
    </w:p>
    <w:p w14:paraId="4983B2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rPr>
        <w:t>公用经费160.83万元，主要包括：办公费、印刷费、水费、电费、邮电费、差旅费、公务接待费、工会经费、福利费、其他交通费、其他商品和服务支出等。</w:t>
      </w:r>
    </w:p>
    <w:p w14:paraId="147AEA0D">
      <w:pPr>
        <w:spacing w:line="600" w:lineRule="exact"/>
        <w:ind w:firstLine="640"/>
        <w:outlineLvl w:val="1"/>
        <w:rPr>
          <w:rStyle w:val="33"/>
          <w:rFonts w:ascii="Times New Roman" w:hAnsi="Times New Roman" w:eastAsia="黑体"/>
          <w:b w:val="0"/>
          <w:color w:val="auto"/>
          <w:highlight w:val="none"/>
        </w:rPr>
      </w:pPr>
      <w:bookmarkStart w:id="55" w:name="_Toc5062"/>
      <w:bookmarkStart w:id="56" w:name="_Toc15396609"/>
      <w:bookmarkStart w:id="57" w:name="_Toc7445"/>
      <w:bookmarkStart w:id="58" w:name="_Toc15377215"/>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55"/>
      <w:bookmarkEnd w:id="56"/>
      <w:bookmarkEnd w:id="57"/>
      <w:bookmarkEnd w:id="58"/>
    </w:p>
    <w:p w14:paraId="0F00DD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9"/>
    </w:p>
    <w:p w14:paraId="7225155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2024年度“三公”经费财政拨款支出决算为</w:t>
      </w:r>
      <w:r>
        <w:rPr>
          <w:rFonts w:hint="eastAsia" w:ascii="Times New Roman" w:hAnsi="Times New Roman"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lang w:eastAsia="zh-CN"/>
        </w:rPr>
        <w:t>万元，完成预算</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%，较上年度</w:t>
      </w:r>
      <w:r>
        <w:rPr>
          <w:rFonts w:hint="eastAsia" w:ascii="Times New Roman" w:hAnsi="Times New Roman" w:eastAsia="仿宋_GB2312" w:cs="仿宋_GB2312"/>
          <w:color w:val="auto"/>
          <w:sz w:val="32"/>
          <w:szCs w:val="32"/>
          <w:highlight w:val="none"/>
          <w:lang w:val="en-US" w:eastAsia="zh-CN"/>
        </w:rPr>
        <w:t>减少0.42万元，减少19%。减少</w:t>
      </w:r>
      <w:r>
        <w:rPr>
          <w:rFonts w:hint="default" w:ascii="Times New Roman" w:hAnsi="Times New Roman" w:eastAsia="仿宋_GB2312" w:cs="仿宋_GB2312"/>
          <w:color w:val="auto"/>
          <w:sz w:val="32"/>
          <w:szCs w:val="32"/>
          <w:highlight w:val="none"/>
          <w:lang w:val="en-US" w:eastAsia="zh-CN"/>
        </w:rPr>
        <w:t>原因</w:t>
      </w:r>
      <w:r>
        <w:rPr>
          <w:rFonts w:hint="eastAsia" w:ascii="Times New Roman" w:hAnsi="Times New Roman" w:eastAsia="仿宋_GB2312" w:cs="仿宋_GB2312"/>
          <w:color w:val="auto"/>
          <w:sz w:val="32"/>
          <w:szCs w:val="32"/>
          <w:highlight w:val="none"/>
          <w:lang w:val="en-US" w:eastAsia="zh-CN"/>
        </w:rPr>
        <w:t>为压缩公用经费支出</w:t>
      </w:r>
      <w:r>
        <w:rPr>
          <w:rFonts w:hint="eastAsia" w:ascii="Times New Roman" w:hAnsi="Times New Roman" w:eastAsia="仿宋_GB2312" w:cs="仿宋_GB2312"/>
          <w:snapToGrid/>
          <w:kern w:val="0"/>
          <w:sz w:val="32"/>
          <w:szCs w:val="32"/>
          <w:lang w:val="en-US" w:eastAsia="zh-CN" w:bidi="ar"/>
        </w:rPr>
        <w:t>。</w:t>
      </w:r>
    </w:p>
    <w:p w14:paraId="1F5B03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0"/>
    </w:p>
    <w:p w14:paraId="4F1605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2024年度“三公”经费财政拨款支出决算中，因公出国（境）费支出决算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%；公务用车购置及运行维护费支出决算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%；公务接待费支出决算</w:t>
      </w:r>
      <w:r>
        <w:rPr>
          <w:rFonts w:hint="eastAsia" w:ascii="Times New Roman" w:hAnsi="Times New Roman"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%。具体情况如下</w:t>
      </w:r>
      <w:r>
        <w:rPr>
          <w:rFonts w:hint="eastAsia" w:ascii="Times New Roman" w:hAnsi="Times New Roman" w:eastAsia="仿宋_GB2312" w:cs="仿宋_GB2312"/>
          <w:color w:val="auto"/>
          <w:kern w:val="2"/>
          <w:sz w:val="32"/>
          <w:szCs w:val="32"/>
          <w:highlight w:val="none"/>
          <w:lang w:val="en-US" w:eastAsia="zh-CN" w:bidi="ar-SA"/>
        </w:rPr>
        <w:t>：</w:t>
      </w:r>
    </w:p>
    <w:p w14:paraId="0A4A499C">
      <w:pPr>
        <w:bidi w:val="0"/>
        <w:rPr>
          <w:rFonts w:hint="eastAsia" w:ascii="Times New Roman" w:hAnsi="Times New Roman"/>
          <w:lang w:val="en-US" w:eastAsia="zh-CN"/>
        </w:rPr>
      </w:pPr>
      <w:r>
        <w:drawing>
          <wp:inline distT="0" distB="0" distL="114300" distR="114300">
            <wp:extent cx="5269230" cy="3036570"/>
            <wp:effectExtent l="38735" t="18415" r="45085" b="69215"/>
            <wp:docPr id="2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0D2F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20A04C5E">
      <w:pPr>
        <w:suppressAutoHyphens/>
        <w:bidi w:val="0"/>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b/>
          <w:color w:val="auto"/>
          <w:sz w:val="32"/>
          <w:szCs w:val="32"/>
          <w:highlight w:val="none"/>
        </w:rPr>
        <w:t>1.</w:t>
      </w:r>
      <w:r>
        <w:rPr>
          <w:rFonts w:hint="eastAsia" w:ascii="Times New Roman" w:hAnsi="Times New Roman" w:eastAsia="仿宋_GB2312" w:cs="仿宋_GB2312"/>
          <w:b/>
          <w:color w:val="auto"/>
          <w:sz w:val="32"/>
          <w:szCs w:val="32"/>
          <w:highlight w:val="none"/>
        </w:rPr>
        <w:t>因公出国（境）经费支出</w:t>
      </w:r>
      <w:r>
        <w:rPr>
          <w:rFonts w:hint="eastAsia" w:ascii="Times New Roman" w:hAnsi="Times New Roman" w:eastAsia="仿宋_GB2312" w:cs="仿宋_GB2312"/>
          <w:b/>
          <w:bCs/>
          <w:color w:val="auto"/>
          <w:sz w:val="32"/>
          <w:szCs w:val="32"/>
          <w:highlight w:val="none"/>
          <w:lang w:val="en-US" w:eastAsia="zh-CN"/>
        </w:rPr>
        <w:t>0</w:t>
      </w:r>
      <w:r>
        <w:rPr>
          <w:rFonts w:hint="eastAsia" w:ascii="Times New Roman" w:hAnsi="Times New Roman" w:eastAsia="仿宋_GB2312" w:cs="仿宋_GB2312"/>
          <w:b/>
          <w:bCs/>
          <w:color w:val="auto"/>
          <w:sz w:val="32"/>
          <w:szCs w:val="32"/>
          <w:highlight w:val="none"/>
        </w:rPr>
        <w:t>万元，完成预算</w:t>
      </w:r>
      <w:r>
        <w:rPr>
          <w:rFonts w:hint="eastAsia" w:ascii="Times New Roman" w:hAnsi="Times New Roman" w:eastAsia="仿宋_GB2312" w:cs="仿宋_GB2312"/>
          <w:b/>
          <w:bCs/>
          <w:color w:val="auto"/>
          <w:sz w:val="32"/>
          <w:szCs w:val="32"/>
          <w:highlight w:val="none"/>
          <w:lang w:val="en-US" w:eastAsia="zh-CN"/>
        </w:rPr>
        <w:t>0</w:t>
      </w:r>
      <w:r>
        <w:rPr>
          <w:rFonts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全年安排因公出国（境）团组0次，出国（境）0人。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因公出国（境）支出决算比2023年增加0万元，增长0%</w:t>
      </w:r>
    </w:p>
    <w:p w14:paraId="5327884F">
      <w:pPr>
        <w:suppressAutoHyphens/>
        <w:bidi w:val="0"/>
        <w:spacing w:line="600" w:lineRule="exact"/>
        <w:ind w:firstLine="640"/>
        <w:rPr>
          <w:rFonts w:hint="default" w:ascii="Times New Roman" w:hAnsi="Times New Roman" w:eastAsia="仿宋_GB2312" w:cs="仿宋_GB2312"/>
          <w:b/>
          <w:color w:val="auto"/>
          <w:sz w:val="32"/>
          <w:szCs w:val="32"/>
          <w:highlight w:val="none"/>
          <w:lang w:val="en-US"/>
        </w:rPr>
      </w:pPr>
      <w:bookmarkStart w:id="61" w:name="_Toc15377218"/>
      <w:bookmarkStart w:id="62" w:name="_Toc15396610"/>
      <w:r>
        <w:rPr>
          <w:rFonts w:ascii="Times New Roman" w:hAnsi="Times New Roman" w:eastAsia="仿宋_GB2312" w:cs="仿宋_GB2312"/>
          <w:b/>
          <w:color w:val="auto"/>
          <w:sz w:val="32"/>
          <w:szCs w:val="32"/>
          <w:highlight w:val="none"/>
        </w:rPr>
        <w:t>2.</w:t>
      </w:r>
      <w:r>
        <w:rPr>
          <w:rFonts w:hint="eastAsia" w:ascii="Times New Roman" w:hAnsi="Times New Roman" w:eastAsia="仿宋_GB2312" w:cs="仿宋_GB2312"/>
          <w:b/>
          <w:color w:val="auto"/>
          <w:sz w:val="32"/>
          <w:szCs w:val="32"/>
          <w:highlight w:val="none"/>
        </w:rPr>
        <w:t>公务用车购置及运行维护费支出</w:t>
      </w:r>
      <w:r>
        <w:rPr>
          <w:rFonts w:hint="eastAsia" w:ascii="Times New Roman" w:hAnsi="Times New Roman" w:eastAsia="仿宋_GB2312" w:cs="仿宋_GB2312"/>
          <w:b/>
          <w:bCs/>
          <w:color w:val="auto"/>
          <w:sz w:val="32"/>
          <w:szCs w:val="32"/>
          <w:highlight w:val="none"/>
          <w:lang w:val="en-US" w:eastAsia="zh-CN"/>
        </w:rPr>
        <w:t>0</w:t>
      </w:r>
      <w:r>
        <w:rPr>
          <w:rFonts w:hint="eastAsia" w:ascii="Times New Roman" w:hAnsi="Times New Roman" w:eastAsia="仿宋_GB2312" w:cs="仿宋_GB2312"/>
          <w:b/>
          <w:bCs/>
          <w:color w:val="auto"/>
          <w:sz w:val="32"/>
          <w:szCs w:val="32"/>
          <w:highlight w:val="none"/>
        </w:rPr>
        <w:t>万元</w:t>
      </w:r>
      <w:r>
        <w:rPr>
          <w:rFonts w:hint="eastAsia"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完成预算</w:t>
      </w:r>
      <w:r>
        <w:rPr>
          <w:rFonts w:hint="eastAsia" w:ascii="Times New Roman" w:hAnsi="Times New Roman" w:eastAsia="仿宋_GB2312" w:cs="仿宋_GB2312"/>
          <w:b/>
          <w:bCs/>
          <w:color w:val="auto"/>
          <w:sz w:val="32"/>
          <w:szCs w:val="32"/>
          <w:highlight w:val="none"/>
          <w:lang w:val="en-US" w:eastAsia="zh-CN"/>
        </w:rPr>
        <w:t>0</w:t>
      </w:r>
      <w:r>
        <w:rPr>
          <w:rFonts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公务用车购置及运行维护费支出决算比2023年度增加0万元，增长0%。</w:t>
      </w:r>
    </w:p>
    <w:p w14:paraId="25B65830">
      <w:pPr>
        <w:suppressAutoHyphens/>
        <w:bidi w:val="0"/>
        <w:spacing w:line="600" w:lineRule="exact"/>
        <w:ind w:firstLine="640" w:firstLineChars="200"/>
        <w:rPr>
          <w:rFonts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其中：</w:t>
      </w:r>
      <w:r>
        <w:rPr>
          <w:rFonts w:hint="eastAsia" w:ascii="Times New Roman" w:hAnsi="Times New Roman" w:eastAsia="仿宋_GB2312" w:cs="仿宋_GB2312"/>
          <w:b w:val="0"/>
          <w:bCs/>
          <w:color w:val="auto"/>
          <w:sz w:val="32"/>
          <w:szCs w:val="32"/>
          <w:highlight w:val="none"/>
        </w:rPr>
        <w:t>公务用车购置支出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万元。全年按规定更新购置公务用车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辆，其中：轿车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万元，越野车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万元，载客汽车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万元。截至</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年</w:t>
      </w:r>
      <w:r>
        <w:rPr>
          <w:rFonts w:ascii="Times New Roman" w:hAnsi="Times New Roman" w:eastAsia="仿宋_GB2312" w:cs="仿宋_GB2312"/>
          <w:color w:val="auto"/>
          <w:sz w:val="32"/>
          <w:szCs w:val="32"/>
          <w:highlight w:val="none"/>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31日</w:t>
      </w:r>
      <w:r>
        <w:rPr>
          <w:rFonts w:hint="eastAsia" w:ascii="Times New Roman" w:hAnsi="Times New Roman" w:eastAsia="仿宋_GB2312" w:cs="仿宋_GB2312"/>
          <w:color w:val="auto"/>
          <w:sz w:val="32"/>
          <w:szCs w:val="32"/>
          <w:highlight w:val="none"/>
        </w:rPr>
        <w:t>，单位共有公务用车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辆，其中：轿车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辆、越野车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辆、载客汽车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w:t>
      </w:r>
    </w:p>
    <w:p w14:paraId="3D887F81">
      <w:pPr>
        <w:suppressAutoHyphens/>
        <w:bidi w:val="0"/>
        <w:spacing w:line="600" w:lineRule="exact"/>
        <w:ind w:firstLine="64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b w:val="0"/>
          <w:bCs/>
          <w:color w:val="auto"/>
          <w:sz w:val="32"/>
          <w:szCs w:val="32"/>
          <w:highlight w:val="none"/>
        </w:rPr>
        <w:t>公务用车运行维护费支出</w:t>
      </w:r>
      <w:r>
        <w:rPr>
          <w:rFonts w:hint="eastAsia" w:ascii="Times New Roman" w:hAnsi="Times New Roman" w:eastAsia="仿宋_GB2312" w:cs="仿宋_GB2312"/>
          <w:b w:val="0"/>
          <w:bCs/>
          <w:color w:val="auto"/>
          <w:sz w:val="32"/>
          <w:szCs w:val="32"/>
          <w:highlight w:val="none"/>
          <w:lang w:val="en-US" w:eastAsia="zh-CN"/>
        </w:rPr>
        <w:t>0</w:t>
      </w:r>
      <w:r>
        <w:rPr>
          <w:rFonts w:hint="eastAsia" w:ascii="Times New Roman" w:hAnsi="Times New Roman" w:eastAsia="仿宋_GB2312" w:cs="仿宋_GB2312"/>
          <w:b w:val="0"/>
          <w:bCs/>
          <w:color w:val="auto"/>
          <w:sz w:val="32"/>
          <w:szCs w:val="32"/>
          <w:highlight w:val="none"/>
        </w:rPr>
        <w:t>万</w:t>
      </w:r>
      <w:r>
        <w:rPr>
          <w:rFonts w:hint="eastAsia" w:ascii="Times New Roman" w:hAnsi="Times New Roman" w:eastAsia="仿宋_GB2312" w:cs="仿宋_GB2312"/>
          <w:color w:val="auto"/>
          <w:sz w:val="32"/>
          <w:szCs w:val="32"/>
          <w:highlight w:val="none"/>
        </w:rPr>
        <w:t>元。主要用于所需的公务用车燃料费、维修费、过路过桥费、保险费等支出。</w:t>
      </w:r>
    </w:p>
    <w:p w14:paraId="23C26E2F">
      <w:pPr>
        <w:suppressAutoHyphens/>
        <w:bidi w:val="0"/>
        <w:spacing w:line="600" w:lineRule="exact"/>
        <w:ind w:firstLine="640"/>
        <w:rPr>
          <w:rFonts w:ascii="Times New Roman" w:hAnsi="Times New Roman" w:eastAsia="仿宋_GB2312" w:cs="仿宋_GB2312"/>
          <w:color w:val="auto"/>
          <w:sz w:val="32"/>
          <w:szCs w:val="32"/>
          <w:highlight w:val="none"/>
        </w:rPr>
      </w:pPr>
      <w:r>
        <w:rPr>
          <w:rFonts w:ascii="Times New Roman" w:hAnsi="Times New Roman" w:eastAsia="仿宋_GB2312" w:cs="仿宋_GB2312"/>
          <w:b/>
          <w:color w:val="auto"/>
          <w:sz w:val="32"/>
          <w:szCs w:val="32"/>
          <w:highlight w:val="none"/>
        </w:rPr>
        <w:t>3.</w:t>
      </w:r>
      <w:r>
        <w:rPr>
          <w:rFonts w:hint="eastAsia" w:ascii="Times New Roman" w:hAnsi="Times New Roman" w:eastAsia="仿宋_GB2312" w:cs="仿宋_GB2312"/>
          <w:b/>
          <w:color w:val="auto"/>
          <w:sz w:val="32"/>
          <w:szCs w:val="32"/>
          <w:highlight w:val="none"/>
        </w:rPr>
        <w:t>公务接待费支出</w:t>
      </w:r>
      <w:r>
        <w:rPr>
          <w:rFonts w:hint="eastAsia" w:ascii="Times New Roman" w:hAnsi="Times New Roman"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b w:val="0"/>
          <w:bCs/>
          <w:color w:val="auto"/>
          <w:sz w:val="32"/>
          <w:szCs w:val="32"/>
          <w:highlight w:val="none"/>
        </w:rPr>
        <w:t>完成预算</w:t>
      </w:r>
      <w:r>
        <w:rPr>
          <w:rFonts w:hint="eastAsia" w:ascii="Times New Roman" w:hAnsi="Times New Roman" w:eastAsia="仿宋_GB2312" w:cs="仿宋_GB2312"/>
          <w:b w:val="0"/>
          <w:bCs/>
          <w:color w:val="auto"/>
          <w:sz w:val="32"/>
          <w:szCs w:val="32"/>
          <w:highlight w:val="none"/>
          <w:lang w:val="en-US" w:eastAsia="zh-CN"/>
        </w:rPr>
        <w:t>100</w:t>
      </w:r>
      <w:r>
        <w:rPr>
          <w:rFonts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color w:val="auto"/>
          <w:sz w:val="32"/>
          <w:szCs w:val="32"/>
          <w:highlight w:val="none"/>
        </w:rPr>
        <w:t>公务接待费支出决算比</w:t>
      </w:r>
      <w:r>
        <w:rPr>
          <w:rFonts w:hint="eastAsia" w:ascii="Times New Roman" w:hAnsi="Times New Roman" w:eastAsia="仿宋_GB2312" w:cs="仿宋_GB2312"/>
          <w:color w:val="auto"/>
          <w:sz w:val="32"/>
          <w:szCs w:val="32"/>
          <w:highlight w:val="none"/>
          <w:lang w:eastAsia="zh-CN"/>
        </w:rPr>
        <w:t>2023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lang w:val="en-US" w:eastAsia="zh-CN"/>
        </w:rPr>
        <w:t>减少0.42</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val="en-US" w:eastAsia="zh-CN"/>
        </w:rPr>
        <w:t>减少19</w:t>
      </w:r>
      <w:r>
        <w:rPr>
          <w:rFonts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主要原因为2024年以来，按照厉行节约的工作要求，严控公务接待范畴和相关经费开支，同时加强部门间沟通协作，进一步履行部门职能，规范公务接待工作。</w:t>
      </w:r>
      <w:r>
        <w:rPr>
          <w:rFonts w:hint="eastAsia" w:ascii="Times New Roman" w:hAnsi="Times New Roman" w:eastAsia="仿宋_GB2312" w:cs="仿宋_GB2312"/>
          <w:color w:val="auto"/>
          <w:sz w:val="32"/>
          <w:szCs w:val="32"/>
          <w:highlight w:val="none"/>
        </w:rPr>
        <w:t>其中：</w:t>
      </w:r>
    </w:p>
    <w:p w14:paraId="4B524776">
      <w:pPr>
        <w:pStyle w:val="21"/>
        <w:rPr>
          <w:rFonts w:ascii="Times New Roman" w:hAnsi="Times New Roman" w:eastAsia="仿宋_GB2312" w:cs="仿宋_GB2312"/>
          <w:sz w:val="32"/>
          <w:szCs w:val="32"/>
        </w:rPr>
      </w:pPr>
      <w:r>
        <w:rPr>
          <w:rFonts w:hint="eastAsia" w:ascii="Times New Roman" w:hAnsi="Times New Roman" w:eastAsia="仿宋_GB2312" w:cs="仿宋_GB2312"/>
          <w:b/>
          <w:color w:val="auto"/>
          <w:kern w:val="2"/>
          <w:sz w:val="32"/>
          <w:szCs w:val="32"/>
          <w:highlight w:val="none"/>
          <w:lang w:val="en-US" w:eastAsia="zh-CN" w:bidi="ar-SA"/>
        </w:rPr>
        <w:t>国内公务接待支出1.79万元</w:t>
      </w:r>
      <w:r>
        <w:rPr>
          <w:rFonts w:hint="eastAsia" w:ascii="Times New Roman" w:hAnsi="Times New Roman" w:eastAsia="仿宋_GB2312" w:cs="仿宋_GB2312"/>
          <w:color w:val="auto"/>
          <w:sz w:val="32"/>
          <w:szCs w:val="32"/>
          <w:highlight w:val="none"/>
          <w:lang w:val="en-US" w:eastAsia="zh-CN"/>
        </w:rPr>
        <w:t>。国内公务接待</w:t>
      </w:r>
      <w:r>
        <w:rPr>
          <w:rFonts w:hint="eastAsia" w:ascii="Times New Roman" w:hAnsi="Times New Roman" w:eastAsia="仿宋_GB2312" w:cs="仿宋_GB2312"/>
          <w:sz w:val="32"/>
          <w:szCs w:val="32"/>
        </w:rPr>
        <w:t>38</w:t>
      </w:r>
      <w:r>
        <w:rPr>
          <w:rFonts w:hint="eastAsia" w:ascii="Times New Roman" w:hAnsi="Times New Roman" w:eastAsia="仿宋_GB2312" w:cs="仿宋_GB2312"/>
          <w:color w:val="auto"/>
          <w:sz w:val="32"/>
          <w:szCs w:val="32"/>
          <w:highlight w:val="none"/>
          <w:lang w:val="en-US" w:eastAsia="zh-CN"/>
        </w:rPr>
        <w:t>批次，</w:t>
      </w:r>
      <w:r>
        <w:rPr>
          <w:rFonts w:hint="eastAsia" w:ascii="Times New Roman" w:hAnsi="Times New Roman" w:eastAsia="仿宋_GB2312" w:cs="仿宋_GB2312"/>
          <w:sz w:val="32"/>
          <w:szCs w:val="32"/>
        </w:rPr>
        <w:t>360</w:t>
      </w:r>
      <w:r>
        <w:rPr>
          <w:rFonts w:hint="eastAsia" w:ascii="Times New Roman" w:hAnsi="Times New Roman" w:eastAsia="仿宋_GB2312" w:cs="仿宋_GB2312"/>
          <w:color w:val="auto"/>
          <w:sz w:val="32"/>
          <w:szCs w:val="32"/>
          <w:highlight w:val="none"/>
          <w:lang w:val="en-US" w:eastAsia="zh-CN"/>
        </w:rPr>
        <w:t>人次，共计支出1.79万元。</w:t>
      </w:r>
    </w:p>
    <w:p w14:paraId="184DA3FF">
      <w:pPr>
        <w:suppressAutoHyphens/>
        <w:bidi w:val="0"/>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color w:val="auto"/>
          <w:sz w:val="32"/>
          <w:szCs w:val="32"/>
          <w:highlight w:val="none"/>
        </w:rPr>
        <w:t>外事接待支出</w:t>
      </w:r>
      <w:r>
        <w:rPr>
          <w:rFonts w:hint="eastAsia" w:ascii="Times New Roman" w:hAnsi="Times New Roman" w:eastAsia="仿宋_GB2312" w:cs="仿宋_GB2312"/>
          <w:b/>
          <w:color w:val="auto"/>
          <w:sz w:val="32"/>
          <w:szCs w:val="32"/>
          <w:highlight w:val="none"/>
          <w:lang w:val="en-US" w:eastAsia="zh-CN"/>
        </w:rPr>
        <w:t>0</w:t>
      </w:r>
      <w:r>
        <w:rPr>
          <w:rFonts w:hint="eastAsia" w:ascii="Times New Roman" w:hAnsi="Times New Roman" w:eastAsia="仿宋_GB2312" w:cs="仿宋_GB2312"/>
          <w:b/>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外事接待</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批次，</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人</w:t>
      </w:r>
      <w:r>
        <w:rPr>
          <w:rFonts w:hint="eastAsia" w:ascii="Times New Roman" w:hAnsi="Times New Roman" w:eastAsia="仿宋_GB2312" w:cs="仿宋_GB2312"/>
          <w:color w:val="auto"/>
          <w:sz w:val="32"/>
          <w:szCs w:val="32"/>
          <w:highlight w:val="none"/>
          <w:lang w:eastAsia="zh-CN"/>
        </w:rPr>
        <w:t>次（不包括陪同人员）</w:t>
      </w:r>
      <w:r>
        <w:rPr>
          <w:rFonts w:hint="eastAsia" w:ascii="Times New Roman" w:hAnsi="Times New Roman" w:eastAsia="仿宋_GB2312" w:cs="仿宋_GB2312"/>
          <w:color w:val="auto"/>
          <w:sz w:val="32"/>
          <w:szCs w:val="32"/>
          <w:highlight w:val="none"/>
        </w:rPr>
        <w:t>，共计支出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w:t>
      </w:r>
    </w:p>
    <w:p w14:paraId="1E6893EE">
      <w:pPr>
        <w:spacing w:line="600" w:lineRule="exact"/>
        <w:ind w:firstLine="640"/>
        <w:outlineLvl w:val="1"/>
        <w:rPr>
          <w:rStyle w:val="33"/>
          <w:rFonts w:ascii="Times New Roman" w:hAnsi="Times New Roman" w:eastAsia="黑体"/>
          <w:color w:val="auto"/>
          <w:highlight w:val="none"/>
        </w:rPr>
      </w:pPr>
      <w:bookmarkStart w:id="63" w:name="_Toc5384"/>
      <w:bookmarkStart w:id="64" w:name="_Toc13911"/>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61"/>
      <w:bookmarkEnd w:id="62"/>
      <w:bookmarkEnd w:id="63"/>
      <w:bookmarkEnd w:id="64"/>
    </w:p>
    <w:p w14:paraId="51BCDB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2024年度政府性基金预算财政拨款支出0万元，占本年支出合计的0%。与2023年度相比，政府性基金预算财政拨款支出减少139.93万元，减少100%，主要变动原因是2024年没有安排政府性基金预算。</w:t>
      </w:r>
    </w:p>
    <w:p w14:paraId="4E19326D">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65" w:name="_Toc15377219"/>
      <w:bookmarkStart w:id="66" w:name="_Toc15396611"/>
      <w:bookmarkStart w:id="67" w:name="_Toc7455"/>
      <w:bookmarkStart w:id="68" w:name="_Toc1601"/>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65"/>
      <w:bookmarkEnd w:id="66"/>
      <w:bookmarkEnd w:id="67"/>
      <w:bookmarkEnd w:id="68"/>
    </w:p>
    <w:p w14:paraId="4424C7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2024年度国有资本经营预算财政拨款支出0万元，占本年支出合计的0%。与2023年度相比，国有资本经营预算财政拨款支出增加0万元，增长0%。</w:t>
      </w:r>
    </w:p>
    <w:p w14:paraId="01C1C65E">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69" w:name="_Toc4730"/>
      <w:bookmarkStart w:id="70" w:name="_Toc15377221"/>
      <w:bookmarkStart w:id="71" w:name="_Toc24991"/>
      <w:bookmarkStart w:id="72" w:name="_Toc15396612"/>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69"/>
      <w:bookmarkEnd w:id="70"/>
      <w:bookmarkEnd w:id="71"/>
      <w:bookmarkEnd w:id="72"/>
    </w:p>
    <w:p w14:paraId="2E9529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3" w:name="_Toc15377222"/>
      <w:r>
        <w:rPr>
          <w:rFonts w:hint="eastAsia" w:ascii="Times New Roman" w:hAnsi="Times New Roman" w:eastAsia="楷体_GB2312" w:cs="楷体_GB2312"/>
          <w:b/>
          <w:color w:val="auto"/>
          <w:sz w:val="32"/>
          <w:szCs w:val="32"/>
          <w:highlight w:val="none"/>
        </w:rPr>
        <w:t>（一）机关运行经费支出情况</w:t>
      </w:r>
      <w:bookmarkEnd w:id="73"/>
    </w:p>
    <w:p w14:paraId="7CAD4C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2024年度，峨边彝族自治县人大常委会办公室机关运行经费支出160.83万元，比2023年度减少10.42万元，减少6.08%。主要原因是</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4年度人员变动所致。</w:t>
      </w:r>
    </w:p>
    <w:p w14:paraId="500D3C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4" w:name="_Toc15377223"/>
      <w:r>
        <w:rPr>
          <w:rFonts w:hint="eastAsia" w:ascii="Times New Roman" w:hAnsi="Times New Roman" w:eastAsia="楷体_GB2312" w:cs="楷体_GB2312"/>
          <w:b/>
          <w:color w:val="auto"/>
          <w:sz w:val="32"/>
          <w:szCs w:val="32"/>
          <w:highlight w:val="none"/>
        </w:rPr>
        <w:t>（二）政府采购支出情况</w:t>
      </w:r>
      <w:bookmarkEnd w:id="74"/>
    </w:p>
    <w:p w14:paraId="0B6FEE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峨边彝族自治县人大常委会办公室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47904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5" w:name="_Toc15377224"/>
      <w:r>
        <w:rPr>
          <w:rFonts w:hint="eastAsia" w:ascii="Times New Roman" w:hAnsi="Times New Roman" w:eastAsia="楷体_GB2312" w:cs="楷体_GB2312"/>
          <w:b/>
          <w:color w:val="auto"/>
          <w:sz w:val="32"/>
          <w:szCs w:val="32"/>
          <w:highlight w:val="none"/>
        </w:rPr>
        <w:t>（三）国有资产占有使用情况</w:t>
      </w:r>
      <w:bookmarkEnd w:id="75"/>
    </w:p>
    <w:p w14:paraId="7341AE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截至2024年12月31日，峨边彝族自治县人大常委会办公室共有车辆0辆，其中：主要负责人用车0辆、机要通信用车0辆、应急保障用车0辆、其他用车0辆。单价100万元（含）以上设备（不含车辆）0台（套）。</w:t>
      </w:r>
    </w:p>
    <w:p w14:paraId="36B5B4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F2C3E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峨边彝族自治县人大常委会办公室在2024年度预算编制阶段，组织对峨边彝族自治县人大常委会办公室2024年县级衔接资金“两不愁三保障”及乡村建设治理补短项目、人大工作专项经费、市人大代表经费、代表之家改造提升经费、人大网站及微信公众号运行维护费、非涉密视频会议及预算联网监督系统项目经费6个项目开展了预算事前绩效评估，对6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41BD7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峨边彝族自治县人大常委会办公室峨边彝族自治县人大常委会办公室2024年县级衔接资金“两不愁三保障”及乡村建设治理补短项目、人大工作专项经费、市人大代表经费、代表之家改造提升经费、人大网站及微信公众号运行维护费、非涉密视频会议及预算联网监督系统项目经费专项预算项目绩效自评报告，其中，部门整体（含部门预算项目）绩效自评得分为97分，绩效自评综述2024年本单位的部门预算编制规范、准确，各项经费足额纳入预算安排，确保部门正常运转和专项工作的顺利开展；峨边彝族自治县人大常委会办公室人大工作专项经费绩效自评得分为100分，绩效自评综述：项目全年预算数</w:t>
      </w:r>
      <w:r>
        <w:rPr>
          <w:rFonts w:hint="eastAsia" w:eastAsia="仿宋_GB2312" w:cs="仿宋_GB2312"/>
          <w:color w:val="auto"/>
          <w:kern w:val="2"/>
          <w:sz w:val="32"/>
          <w:szCs w:val="32"/>
          <w:highlight w:val="none"/>
          <w:lang w:val="en-US" w:eastAsia="zh-CN" w:bidi="ar-SA"/>
        </w:rPr>
        <w:t>108.41</w:t>
      </w:r>
      <w:r>
        <w:rPr>
          <w:rFonts w:hint="eastAsia" w:ascii="Times New Roman" w:hAnsi="Times New Roman" w:eastAsia="仿宋_GB2312" w:cs="仿宋_GB2312"/>
          <w:color w:val="auto"/>
          <w:kern w:val="2"/>
          <w:sz w:val="32"/>
          <w:szCs w:val="32"/>
          <w:highlight w:val="none"/>
          <w:lang w:val="en-US" w:eastAsia="zh-CN" w:bidi="ar-SA"/>
        </w:rPr>
        <w:t>万元，执行数为</w:t>
      </w:r>
      <w:r>
        <w:rPr>
          <w:rFonts w:hint="eastAsia" w:eastAsia="仿宋_GB2312" w:cs="仿宋_GB2312"/>
          <w:color w:val="auto"/>
          <w:kern w:val="2"/>
          <w:sz w:val="32"/>
          <w:szCs w:val="32"/>
          <w:highlight w:val="none"/>
          <w:lang w:val="en-US" w:eastAsia="zh-CN" w:bidi="ar-SA"/>
        </w:rPr>
        <w:t>108.41</w:t>
      </w:r>
      <w:r>
        <w:rPr>
          <w:rFonts w:hint="eastAsia" w:ascii="Times New Roman" w:hAnsi="Times New Roman" w:eastAsia="仿宋_GB2312" w:cs="仿宋_GB2312"/>
          <w:color w:val="auto"/>
          <w:kern w:val="2"/>
          <w:sz w:val="32"/>
          <w:szCs w:val="32"/>
          <w:highlight w:val="none"/>
          <w:lang w:val="en-US" w:eastAsia="zh-CN" w:bidi="ar-SA"/>
        </w:rPr>
        <w:t>万元，完成预算的100%。绩效自评报告详见附件。</w:t>
      </w:r>
    </w:p>
    <w:p w14:paraId="528E11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2F2F6B">
      <w:pPr>
        <w:pStyle w:val="21"/>
        <w:rPr>
          <w:rFonts w:hint="eastAsia" w:ascii="Times New Roman" w:hAnsi="Times New Roman" w:eastAsia="仿宋_GB2312" w:cs="仿宋_GB2312"/>
          <w:color w:val="auto"/>
          <w:kern w:val="2"/>
          <w:sz w:val="32"/>
          <w:szCs w:val="32"/>
          <w:highlight w:val="none"/>
          <w:lang w:val="en-US" w:eastAsia="zh-CN" w:bidi="ar-SA"/>
        </w:rPr>
      </w:pPr>
    </w:p>
    <w:p w14:paraId="327EA5EA">
      <w:pPr>
        <w:rPr>
          <w:rFonts w:hint="eastAsia" w:ascii="Times New Roman" w:hAnsi="Times New Roman" w:eastAsia="仿宋_GB2312" w:cs="仿宋_GB2312"/>
          <w:color w:val="auto"/>
          <w:kern w:val="2"/>
          <w:sz w:val="32"/>
          <w:szCs w:val="32"/>
          <w:highlight w:val="none"/>
          <w:lang w:val="en-US" w:eastAsia="zh-CN" w:bidi="ar-SA"/>
        </w:rPr>
      </w:pPr>
    </w:p>
    <w:p w14:paraId="7F102DD3">
      <w:pPr>
        <w:pStyle w:val="21"/>
        <w:rPr>
          <w:rFonts w:hint="eastAsia" w:ascii="Times New Roman" w:hAnsi="Times New Roman" w:eastAsia="仿宋_GB2312" w:cs="仿宋_GB2312"/>
          <w:color w:val="auto"/>
          <w:kern w:val="2"/>
          <w:sz w:val="32"/>
          <w:szCs w:val="32"/>
          <w:highlight w:val="none"/>
          <w:lang w:val="en-US" w:eastAsia="zh-CN" w:bidi="ar-SA"/>
        </w:rPr>
      </w:pPr>
    </w:p>
    <w:p w14:paraId="6A836C53">
      <w:pPr>
        <w:rPr>
          <w:rFonts w:hint="eastAsia" w:ascii="Times New Roman" w:hAnsi="Times New Roman" w:eastAsia="仿宋_GB2312" w:cs="仿宋_GB2312"/>
          <w:color w:val="auto"/>
          <w:kern w:val="2"/>
          <w:sz w:val="32"/>
          <w:szCs w:val="32"/>
          <w:highlight w:val="none"/>
          <w:lang w:val="en-US" w:eastAsia="zh-CN" w:bidi="ar-SA"/>
        </w:rPr>
      </w:pPr>
    </w:p>
    <w:p w14:paraId="4B999E6F">
      <w:pPr>
        <w:pStyle w:val="21"/>
        <w:rPr>
          <w:rFonts w:hint="eastAsia" w:ascii="Times New Roman" w:hAnsi="Times New Roman" w:eastAsia="仿宋_GB2312" w:cs="仿宋_GB2312"/>
          <w:color w:val="auto"/>
          <w:kern w:val="2"/>
          <w:sz w:val="32"/>
          <w:szCs w:val="32"/>
          <w:highlight w:val="none"/>
          <w:lang w:val="en-US" w:eastAsia="zh-CN" w:bidi="ar-SA"/>
        </w:rPr>
      </w:pPr>
    </w:p>
    <w:p w14:paraId="0B5B3A18">
      <w:pPr>
        <w:rPr>
          <w:rFonts w:hint="eastAsia"/>
          <w:lang w:val="en-US" w:eastAsia="zh-CN"/>
        </w:rPr>
      </w:pPr>
    </w:p>
    <w:p w14:paraId="0A9FA98B">
      <w:pPr>
        <w:pStyle w:val="2"/>
        <w:rPr>
          <w:rFonts w:hint="eastAsia" w:ascii="Times New Roman" w:hAnsi="Times New Roman"/>
          <w:lang w:val="en-US" w:eastAsia="zh-CN"/>
        </w:rPr>
      </w:pPr>
    </w:p>
    <w:p w14:paraId="24758B26">
      <w:pPr>
        <w:pStyle w:val="3"/>
        <w:rPr>
          <w:rFonts w:hint="eastAsia" w:ascii="Times New Roman" w:hAnsi="Times New Roman"/>
          <w:lang w:val="en-US" w:eastAsia="zh-CN"/>
        </w:rPr>
      </w:pPr>
    </w:p>
    <w:p w14:paraId="5CE7474E">
      <w:pPr>
        <w:rPr>
          <w:rFonts w:hint="eastAsia" w:ascii="Times New Roman" w:hAnsi="Times New Roman"/>
          <w:lang w:val="en-US" w:eastAsia="zh-CN"/>
        </w:rPr>
      </w:pPr>
    </w:p>
    <w:p w14:paraId="56757AB3">
      <w:pPr>
        <w:pStyle w:val="21"/>
        <w:rPr>
          <w:rFonts w:hint="eastAsia" w:ascii="Times New Roman" w:hAnsi="Times New Roman"/>
          <w:lang w:val="en-US" w:eastAsia="zh-CN"/>
        </w:rPr>
      </w:pPr>
    </w:p>
    <w:p w14:paraId="5C80B868">
      <w:pPr>
        <w:rPr>
          <w:rFonts w:hint="eastAsia" w:ascii="Times New Roman" w:hAnsi="Times New Roman"/>
          <w:lang w:val="en-US" w:eastAsia="zh-CN"/>
        </w:rPr>
      </w:pPr>
    </w:p>
    <w:p w14:paraId="297C77DA">
      <w:pPr>
        <w:pStyle w:val="21"/>
        <w:rPr>
          <w:rFonts w:hint="eastAsia" w:ascii="Times New Roman" w:hAnsi="Times New Roman"/>
          <w:lang w:val="en-US" w:eastAsia="zh-CN"/>
        </w:rPr>
      </w:pPr>
    </w:p>
    <w:p w14:paraId="7289185B">
      <w:pPr>
        <w:rPr>
          <w:rFonts w:hint="eastAsia" w:ascii="Times New Roman" w:hAnsi="Times New Roman"/>
          <w:lang w:val="en-US" w:eastAsia="zh-CN"/>
        </w:rPr>
      </w:pPr>
    </w:p>
    <w:p w14:paraId="55F99EA1">
      <w:pPr>
        <w:pStyle w:val="2"/>
        <w:rPr>
          <w:rFonts w:hint="eastAsia"/>
          <w:lang w:val="en-US" w:eastAsia="zh-CN"/>
        </w:rPr>
      </w:pPr>
    </w:p>
    <w:p w14:paraId="3E7228C4">
      <w:pPr>
        <w:rPr>
          <w:rFonts w:hint="eastAsia" w:ascii="Times New Roman" w:hAnsi="Times New Roman"/>
          <w:lang w:val="en-US" w:eastAsia="zh-CN"/>
        </w:rPr>
      </w:pPr>
    </w:p>
    <w:p w14:paraId="5057C00A">
      <w:pPr>
        <w:rPr>
          <w:rFonts w:hint="eastAsia" w:ascii="Times New Roman" w:hAnsi="Times New Roman"/>
          <w:lang w:val="en-US" w:eastAsia="zh-CN"/>
        </w:rPr>
      </w:pPr>
    </w:p>
    <w:p w14:paraId="632549F4">
      <w:pPr>
        <w:numPr>
          <w:ilvl w:val="0"/>
          <w:numId w:val="0"/>
        </w:numPr>
        <w:spacing w:line="600" w:lineRule="exact"/>
        <w:jc w:val="center"/>
        <w:outlineLvl w:val="0"/>
        <w:rPr>
          <w:rFonts w:hint="eastAsia" w:ascii="黑体" w:hAnsi="黑体" w:eastAsia="黑体" w:cs="黑体"/>
          <w:color w:val="auto"/>
          <w:sz w:val="44"/>
          <w:szCs w:val="44"/>
          <w:highlight w:val="none"/>
        </w:rPr>
      </w:pPr>
      <w:bookmarkStart w:id="76" w:name="_Toc13814"/>
      <w:bookmarkStart w:id="77" w:name="_Toc21412"/>
      <w:bookmarkStart w:id="78" w:name="_Toc15396613"/>
      <w:bookmarkStart w:id="79" w:name="_Toc15377225"/>
      <w:r>
        <w:rPr>
          <w:rFonts w:hint="eastAsia" w:ascii="黑体" w:hAnsi="黑体" w:eastAsia="黑体" w:cs="黑体"/>
          <w:color w:val="auto"/>
          <w:sz w:val="44"/>
          <w:szCs w:val="44"/>
          <w:highlight w:val="none"/>
        </w:rPr>
        <w:t>第</w:t>
      </w:r>
      <w:r>
        <w:rPr>
          <w:rFonts w:hint="eastAsia" w:ascii="黑体" w:hAnsi="黑体" w:eastAsia="黑体" w:cs="黑体"/>
          <w:color w:val="auto"/>
          <w:sz w:val="44"/>
          <w:szCs w:val="44"/>
          <w:highlight w:val="none"/>
          <w:lang w:eastAsia="zh-CN"/>
        </w:rPr>
        <w:t>三</w:t>
      </w:r>
      <w:r>
        <w:rPr>
          <w:rFonts w:hint="eastAsia" w:ascii="黑体" w:hAnsi="黑体" w:eastAsia="黑体" w:cs="黑体"/>
          <w:color w:val="auto"/>
          <w:sz w:val="44"/>
          <w:szCs w:val="44"/>
          <w:highlight w:val="none"/>
        </w:rPr>
        <w:t>部分</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rPr>
        <w:t>名词解释</w:t>
      </w:r>
      <w:bookmarkEnd w:id="76"/>
      <w:bookmarkEnd w:id="77"/>
      <w:bookmarkEnd w:id="78"/>
      <w:bookmarkEnd w:id="79"/>
    </w:p>
    <w:p w14:paraId="3B07F8D5">
      <w:pPr>
        <w:spacing w:line="600" w:lineRule="exact"/>
        <w:jc w:val="left"/>
        <w:rPr>
          <w:rFonts w:ascii="Times New Roman" w:hAnsi="Times New Roman"/>
          <w:b/>
          <w:color w:val="auto"/>
          <w:sz w:val="44"/>
          <w:szCs w:val="44"/>
          <w:highlight w:val="none"/>
        </w:rPr>
      </w:pPr>
    </w:p>
    <w:p w14:paraId="51471D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0B93C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.一般公共服务（类）政府办公厅（室）人大事务（款）行政运行（项）：指反映行政单位</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包括实行公务员管理的事业单位</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的基本支出。</w:t>
      </w:r>
    </w:p>
    <w:p w14:paraId="150AD2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.一般公共服务（类）政府办公厅（室）人大事务（款）一般行政管理事务（项）：指反映行政单位</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包括实行公务员管理的事业单位</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未单独 设置项级科目的其他项目支出。</w:t>
      </w:r>
    </w:p>
    <w:p w14:paraId="367BD1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.一般公共服务（类）政府办公厅（室）人大事务（款）事业运行（项）：指反映事业单位的基本支出，不包括行政单位</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包括实行公务员管理的事业单位</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后勤服务中心、医务室等附属事业单位。</w:t>
      </w:r>
    </w:p>
    <w:p w14:paraId="41C5F6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.一般公共服务（类）政府办公厅（室）人大事务（款）其他人大事务支出（项）：指反映除上述项目以外的其他人大事务支出。</w:t>
      </w:r>
    </w:p>
    <w:p w14:paraId="6D448E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.社会保障和就业（类）行政事业单位养老支出（款）机关事业单位基本养老保险缴费支出（项）：指机关事业单位实施养老保险制度由单位缴纳的基本养老保险费支出。</w:t>
      </w:r>
    </w:p>
    <w:p w14:paraId="69B1CB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.社会保障和就业（类）行政事业单位养老支出（款）机关事业单位职业年金缴费支出（项）：指机关事业单位实施养老保险制度由单位缴纳的职业年金支出。</w:t>
      </w:r>
    </w:p>
    <w:p w14:paraId="1741F1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.社会保障和就业（类）其他社会保障和就业支出（款）其他社会保障和就业支出（项）：指反映除上述项目以外其他用于社会保障和就业方面的支出。</w:t>
      </w:r>
    </w:p>
    <w:p w14:paraId="7E729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1FF17D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.农林水支出（类）巩固脱贫攻坚成果衔接乡村振兴（款）其他巩固脱贫攻坚成果衔接乡村振兴支出（项）：指其他用于巩固拓展脱贫攻坚成果同乡村振兴有效衔接方面的支出。</w:t>
      </w:r>
    </w:p>
    <w:p w14:paraId="360E02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.住房保障（类）住房改革支出（款）住房公积金（项）：指行政事业单位按人力资源和社会保障部、财政部规定的基本工资和津贴补贴以及规定比例为职工缴纳的住房公积金。 </w:t>
      </w:r>
    </w:p>
    <w:p w14:paraId="164544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70512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.项目支出：指在基本支出之外为完成特定行政任务和事业发展目标所发生的支出。</w:t>
      </w:r>
    </w:p>
    <w:p w14:paraId="2E5787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BE90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FC5E51">
      <w:pPr>
        <w:pStyle w:val="5"/>
        <w:bidi w:val="0"/>
        <w:jc w:val="center"/>
        <w:rPr>
          <w:rFonts w:hint="default" w:ascii="Times New Roman" w:hAnsi="Times New Roman" w:eastAsia="微软雅黑" w:cs="Times New Roman"/>
          <w:b w:val="0"/>
          <w:bCs/>
          <w:sz w:val="44"/>
          <w:szCs w:val="44"/>
          <w:highlight w:val="none"/>
          <w:shd w:val="clear" w:color="auto" w:fill="FFFFFF"/>
        </w:rPr>
      </w:pPr>
      <w:bookmarkStart w:id="80" w:name="_Toc15377226"/>
      <w:r>
        <w:rPr>
          <w:rFonts w:hint="eastAsia" w:ascii="Times New Roman" w:hAnsi="Times New Roman" w:eastAsia="仿宋_GB2312" w:cs="仿宋_GB2312"/>
          <w:color w:val="auto"/>
          <w:kern w:val="2"/>
          <w:szCs w:val="32"/>
          <w:highlight w:val="none"/>
          <w:lang w:val="en-US" w:eastAsia="zh-CN" w:bidi="ar-SA"/>
        </w:rPr>
        <w:br w:type="page"/>
      </w:r>
      <w:bookmarkStart w:id="81" w:name="_Toc15396614"/>
      <w:bookmarkStart w:id="82" w:name="_Toc228"/>
      <w:r>
        <w:rPr>
          <w:rFonts w:hint="eastAsia" w:ascii="黑体" w:hAnsi="黑体" w:eastAsia="黑体" w:cs="黑体"/>
          <w:b w:val="0"/>
          <w:bCs w:val="0"/>
        </w:rPr>
        <w:t>第四部分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 附件</w:t>
      </w:r>
      <w:bookmarkEnd w:id="81"/>
      <w:bookmarkEnd w:id="82"/>
    </w:p>
    <w:p w14:paraId="2B15673D">
      <w:pPr>
        <w:keepNext w:val="0"/>
        <w:keepLines w:val="0"/>
        <w:pageBreakBefore w:val="0"/>
        <w:kinsoku/>
        <w:wordWrap/>
        <w:overflowPunct/>
        <w:topLinePunct w:val="0"/>
        <w:autoSpaceDE/>
        <w:autoSpaceDN/>
        <w:bidi w:val="0"/>
        <w:spacing w:line="572" w:lineRule="exact"/>
        <w:jc w:val="left"/>
        <w:textAlignment w:val="auto"/>
        <w:outlineLvl w:val="9"/>
        <w:rPr>
          <w:rFonts w:hint="eastAsia" w:ascii="方正小标宋简体" w:hAnsi="方正小标宋简体" w:eastAsia="方正小标宋简体" w:cs="方正小标宋简体"/>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55A4D1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hAnsi="方正小标宋简体" w:eastAsia="方正小标宋简体" w:cs="方正小标宋简体"/>
          <w:b w:val="0"/>
          <w:bCs/>
          <w:sz w:val="44"/>
          <w:szCs w:val="44"/>
          <w:highlight w:val="none"/>
          <w:shd w:val="clear" w:color="auto" w:fill="FFFFFF"/>
        </w:rPr>
      </w:pPr>
      <w:r>
        <w:rPr>
          <w:rFonts w:hint="eastAsia" w:ascii="方正小标宋简体" w:hAnsi="方正小标宋简体" w:eastAsia="方正小标宋简体" w:cs="方正小标宋简体"/>
          <w:b w:val="0"/>
          <w:bCs/>
          <w:sz w:val="44"/>
          <w:szCs w:val="44"/>
          <w:highlight w:val="none"/>
          <w:shd w:val="clear" w:color="auto" w:fill="FFFFFF"/>
        </w:rPr>
        <w:t>部门</w:t>
      </w:r>
      <w:r>
        <w:rPr>
          <w:rFonts w:hint="eastAsia" w:ascii="方正小标宋简体" w:hAnsi="方正小标宋简体" w:eastAsia="方正小标宋简体" w:cs="方正小标宋简体"/>
          <w:b w:val="0"/>
          <w:bCs/>
          <w:sz w:val="44"/>
          <w:szCs w:val="44"/>
          <w:highlight w:val="none"/>
          <w:shd w:val="clear" w:color="auto" w:fill="FFFFFF"/>
          <w:lang w:eastAsia="zh-CN"/>
        </w:rPr>
        <w:t>预算</w:t>
      </w:r>
      <w:r>
        <w:rPr>
          <w:rFonts w:hint="eastAsia" w:ascii="方正小标宋简体" w:hAnsi="方正小标宋简体" w:eastAsia="方正小标宋简体" w:cs="方正小标宋简体"/>
          <w:b w:val="0"/>
          <w:bCs/>
          <w:sz w:val="44"/>
          <w:szCs w:val="44"/>
          <w:highlight w:val="none"/>
          <w:shd w:val="clear" w:color="auto" w:fill="FFFFFF"/>
        </w:rPr>
        <w:t>绩效</w:t>
      </w:r>
      <w:r>
        <w:rPr>
          <w:rFonts w:hint="eastAsia" w:ascii="方正小标宋简体" w:hAnsi="方正小标宋简体" w:eastAsia="方正小标宋简体" w:cs="方正小标宋简体"/>
          <w:b w:val="0"/>
          <w:bCs/>
          <w:sz w:val="44"/>
          <w:szCs w:val="44"/>
          <w:highlight w:val="none"/>
          <w:shd w:val="clear" w:color="auto" w:fill="FFFFFF"/>
          <w:lang w:eastAsia="zh-CN"/>
        </w:rPr>
        <w:t>评价</w:t>
      </w:r>
      <w:r>
        <w:rPr>
          <w:rFonts w:hint="eastAsia" w:ascii="方正小标宋简体" w:hAnsi="方正小标宋简体" w:eastAsia="方正小标宋简体" w:cs="方正小标宋简体"/>
          <w:b w:val="0"/>
          <w:bCs/>
          <w:sz w:val="44"/>
          <w:szCs w:val="44"/>
          <w:highlight w:val="none"/>
          <w:shd w:val="clear" w:color="auto" w:fill="FFFFFF"/>
        </w:rPr>
        <w:t>报告</w:t>
      </w:r>
    </w:p>
    <w:p w14:paraId="1CE444CC">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FBA7C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AC56B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B3F64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自治县人大办预算单位1个，其中：行政单位1个，事业单位0个</w:t>
      </w:r>
      <w:r>
        <w:rPr>
          <w:rFonts w:hint="default" w:ascii="Times New Roman" w:hAnsi="Times New Roman" w:eastAsia="仿宋_GB2312" w:cs="仿宋_GB2312"/>
          <w:color w:val="auto"/>
          <w:kern w:val="2"/>
          <w:sz w:val="32"/>
          <w:szCs w:val="32"/>
          <w:highlight w:val="none"/>
          <w:lang w:val="en-US" w:eastAsia="zh-CN" w:bidi="ar-SA"/>
        </w:rPr>
        <w:t>。</w:t>
      </w:r>
    </w:p>
    <w:p w14:paraId="5BF87F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6BCCEDF4">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自治县人大办依法行使民族立法权、重大事项决定权、监督权、人事任免权等做好服务工作；为代表视察、代表培训、代表议案、建议、批评和意见办理工作等做好服务。</w:t>
      </w:r>
    </w:p>
    <w:p w14:paraId="42D0D2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52A52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自治县人大办总编制25名，其中：行政编制10名，工勤编制4名，事业编制11名。在职人员总数33名，其中：行政23名，工勤1名，事业9名。离休0名</w:t>
      </w:r>
      <w:r>
        <w:rPr>
          <w:rFonts w:hint="eastAsia" w:ascii="Times New Roman" w:hAnsi="Times New Roman" w:eastAsia="仿宋_GB2312" w:cs="仿宋_GB2312"/>
          <w:color w:val="auto"/>
          <w:kern w:val="2"/>
          <w:sz w:val="32"/>
          <w:szCs w:val="32"/>
          <w:highlight w:val="none"/>
          <w:lang w:val="en-US" w:eastAsia="zh-CN" w:bidi="ar-SA"/>
        </w:rPr>
        <w:t>。</w:t>
      </w:r>
    </w:p>
    <w:p w14:paraId="4D1DD6B4">
      <w:pPr>
        <w:pStyle w:val="1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四</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）年度主要工作任务。</w:t>
      </w:r>
    </w:p>
    <w:p w14:paraId="50298C62">
      <w:pPr>
        <w:pStyle w:val="1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b w:val="0"/>
          <w:bCs w:val="0"/>
          <w:color w:val="auto"/>
          <w:kern w:val="2"/>
          <w:sz w:val="32"/>
          <w:szCs w:val="32"/>
          <w:lang w:val="en-US" w:eastAsia="zh-CN" w:bidi="ar-SA"/>
        </w:rPr>
        <w:t>2024年是中华人民共和国成立75周年，是人民代表大会制度建立70周年，也是实施“十四五”规划的关键之年。自治县人大常委会工作的总体要求是：坚定以习近平新时代中国特色社会主义思想为指导，全面贯彻党的二十大精神，深入贯彻习近平总书记对四川工作系列重要指示精神，完整、准确、全面贯彻新发展理念，积极融入和服务构建新发展格局，紧扣县委“党建引领、三区联动、城乡融合、全面振兴”发展思路，</w:t>
      </w:r>
      <w:r>
        <w:rPr>
          <w:rFonts w:hint="eastAsia" w:ascii="Times New Roman" w:hAnsi="Times New Roman" w:eastAsia="仿宋_GB2312" w:cs="仿宋_GB2312"/>
          <w:b w:val="0"/>
          <w:bCs w:val="0"/>
          <w:color w:val="auto"/>
          <w:w w:val="90"/>
          <w:kern w:val="2"/>
          <w:sz w:val="32"/>
          <w:szCs w:val="32"/>
          <w:lang w:val="en-US" w:eastAsia="zh-CN" w:bidi="ar-SA"/>
        </w:rPr>
        <w:t>围绕“35789”</w:t>
      </w:r>
      <w:r>
        <w:rPr>
          <w:rFonts w:hint="eastAsia" w:ascii="Times New Roman" w:hAnsi="Times New Roman" w:eastAsia="仿宋_GB2312" w:cs="仿宋_GB2312"/>
          <w:b w:val="0"/>
          <w:bCs w:val="0"/>
          <w:color w:val="auto"/>
          <w:w w:val="90"/>
          <w:sz w:val="32"/>
          <w:szCs w:val="32"/>
          <w:vertAlign w:val="superscript"/>
          <w:lang w:val="en-US" w:eastAsia="zh-CN"/>
        </w:rPr>
        <w:t>（5）</w:t>
      </w:r>
      <w:r>
        <w:rPr>
          <w:rFonts w:hint="eastAsia" w:ascii="Times New Roman" w:hAnsi="Times New Roman" w:eastAsia="仿宋_GB2312" w:cs="仿宋_GB2312"/>
          <w:b w:val="0"/>
          <w:bCs w:val="0"/>
          <w:color w:val="auto"/>
          <w:kern w:val="2"/>
          <w:sz w:val="32"/>
          <w:szCs w:val="32"/>
          <w:lang w:val="en-US" w:eastAsia="zh-CN" w:bidi="ar-SA"/>
        </w:rPr>
        <w:t>城乡融合发展路径，聚焦县委重点推进的大事要事、人民关切的热点难点，依法履职行权、创新担当作为，为整体建设全省民族地区共同富裕先行区、奋力建设民族地区中国式现代化先行区作出人大新的贡献！</w:t>
      </w:r>
    </w:p>
    <w:p w14:paraId="401FBFF3">
      <w:pPr>
        <w:widowControl/>
        <w:adjustRightInd w:val="0"/>
        <w:snapToGrid w:val="0"/>
        <w:spacing w:line="580" w:lineRule="exact"/>
        <w:ind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五</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）部门整体支出绩效目标。</w:t>
      </w:r>
    </w:p>
    <w:p w14:paraId="706B0EE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t>保障机关基本运行、保障十届三次人大会议的顺利召开，通过六个工作报告，批准国民经济和社会发展计划、2023年财政预算执行情况的报告和2024年县级财政预算以及各预算单位的部门预算，顺利完成人民政府报送的重大事项决定、人事任免、完成法律条例的制定等工作。</w:t>
      </w:r>
    </w:p>
    <w:p w14:paraId="08EE0A6E">
      <w:pPr>
        <w:pStyle w:val="2"/>
        <w:rPr>
          <w:rFonts w:hint="default"/>
        </w:rPr>
      </w:pPr>
    </w:p>
    <w:p w14:paraId="4EEB74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3803C46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9297E6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b/>
          <w:bCs/>
          <w:color w:val="000000"/>
          <w:kern w:val="0"/>
          <w:szCs w:val="32"/>
          <w:highlight w:val="none"/>
          <w:shd w:val="clear" w:color="auto" w:fill="FFFFFF"/>
          <w:lang w:val="en-US"/>
        </w:rPr>
      </w:pPr>
      <w:r>
        <w:rPr>
          <w:rFonts w:hint="eastAsia" w:ascii="Times New Roman" w:hAnsi="Times New Roman" w:eastAsia="仿宋_GB2312" w:cs="仿宋_GB2312"/>
          <w:color w:val="000000"/>
          <w:kern w:val="0"/>
          <w:sz w:val="32"/>
          <w:szCs w:val="32"/>
          <w:shd w:val="clear" w:color="auto" w:fill="FFFFFF"/>
          <w:lang w:val="en-US" w:eastAsia="zh-CN"/>
        </w:rPr>
        <w:t>自治县人大办2024年财政拨款预算收入1024.16万元，其中上级资金0万元，县级资金1024.16万元。</w:t>
      </w:r>
    </w:p>
    <w:p w14:paraId="1D6CFDD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1D2AE6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000000"/>
          <w:kern w:val="0"/>
          <w:sz w:val="32"/>
          <w:szCs w:val="32"/>
          <w:shd w:val="clear" w:color="auto" w:fill="FFFFFF"/>
          <w:lang w:val="zh-CN" w:eastAsia="zh-CN"/>
        </w:rPr>
      </w:pPr>
      <w:r>
        <w:rPr>
          <w:rFonts w:hint="eastAsia" w:ascii="Times New Roman" w:hAnsi="Times New Roman" w:eastAsia="仿宋_GB2312" w:cs="仿宋_GB2312"/>
          <w:color w:val="000000"/>
          <w:kern w:val="0"/>
          <w:sz w:val="32"/>
          <w:szCs w:val="32"/>
          <w:shd w:val="clear" w:color="auto" w:fill="FFFFFF"/>
          <w:lang w:val="en-US" w:eastAsia="zh-CN"/>
        </w:rPr>
        <w:t>基本支出813.98万元，项目支出210.19万元，具体支出为：人大工作专项经费120.00万元，人大网站及微信公众号运行维护费8.00万元，2024年县级衔接资金“两不愁三保障”及乡村建设治理临时补短项目80.00万元，具体支出为：代表之家改造提升经费10万元；市人大代表经费2.64万元。</w:t>
      </w:r>
    </w:p>
    <w:p w14:paraId="1417FD0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CAEBCB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color w:val="000000"/>
          <w:kern w:val="0"/>
          <w:sz w:val="32"/>
          <w:szCs w:val="32"/>
          <w:shd w:val="clear" w:color="auto" w:fill="FFFFFF"/>
          <w:lang w:val="zh-CN" w:eastAsia="zh-CN"/>
        </w:rPr>
      </w:pPr>
      <w:r>
        <w:rPr>
          <w:rFonts w:hint="default" w:ascii="Times New Roman" w:hAnsi="Times New Roman" w:eastAsia="仿宋_GB2312" w:cs="仿宋_GB2312"/>
          <w:color w:val="000000"/>
          <w:kern w:val="0"/>
          <w:sz w:val="32"/>
          <w:szCs w:val="32"/>
          <w:shd w:val="clear" w:color="auto" w:fill="FFFFFF"/>
          <w:lang w:val="en-US" w:eastAsia="zh-CN"/>
        </w:rPr>
        <w:t>部门财政资金结转结余情况1.14万元。</w:t>
      </w:r>
    </w:p>
    <w:p w14:paraId="4502E1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02A03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757D625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000000"/>
          <w:kern w:val="0"/>
          <w:sz w:val="32"/>
          <w:szCs w:val="32"/>
          <w:shd w:val="clear" w:color="auto" w:fill="FFFFFF"/>
          <w:lang w:val="zh-CN" w:eastAsia="zh-CN"/>
        </w:rPr>
      </w:pPr>
      <w:r>
        <w:rPr>
          <w:rFonts w:hint="default" w:ascii="Times New Roman" w:hAnsi="Times New Roman" w:eastAsia="仿宋_GB2312" w:cs="仿宋_GB2312"/>
          <w:color w:val="000000"/>
          <w:kern w:val="0"/>
          <w:sz w:val="32"/>
          <w:szCs w:val="32"/>
          <w:shd w:val="clear" w:color="auto" w:fill="FFFFFF"/>
          <w:lang w:val="zh-CN" w:eastAsia="zh-CN"/>
        </w:rPr>
        <w:t>2024年本部门的绩效目标制定、目标完成、预决算编制等均按照县财政局下达的相关文件指标进行了编制，均按相关要求严格执行预算范围内开支，并完成所有预定目标，全年无违规记录</w:t>
      </w:r>
      <w:r>
        <w:rPr>
          <w:rFonts w:hint="eastAsia" w:ascii="Times New Roman" w:hAnsi="Times New Roman" w:eastAsia="仿宋_GB2312" w:cs="仿宋_GB2312"/>
          <w:color w:val="000000"/>
          <w:kern w:val="0"/>
          <w:sz w:val="32"/>
          <w:szCs w:val="32"/>
          <w:shd w:val="clear" w:color="auto" w:fill="FFFFFF"/>
          <w:lang w:val="zh-CN" w:eastAsia="zh-CN"/>
        </w:rPr>
        <w:t>。</w:t>
      </w:r>
    </w:p>
    <w:p w14:paraId="754E5635">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80F050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000000"/>
          <w:kern w:val="0"/>
          <w:sz w:val="32"/>
          <w:szCs w:val="32"/>
          <w:shd w:val="clear" w:color="auto" w:fill="FFFFFF"/>
          <w:lang w:val="zh-CN" w:eastAsia="zh-CN"/>
        </w:rPr>
      </w:pPr>
      <w:r>
        <w:rPr>
          <w:rFonts w:hint="eastAsia" w:ascii="Times New Roman" w:hAnsi="Times New Roman" w:eastAsia="仿宋_GB2312" w:cs="仿宋_GB2312"/>
          <w:color w:val="000000"/>
          <w:kern w:val="0"/>
          <w:sz w:val="32"/>
          <w:szCs w:val="32"/>
          <w:shd w:val="clear" w:color="auto" w:fill="FFFFFF"/>
          <w:lang w:val="zh-CN" w:eastAsia="zh-CN"/>
        </w:rPr>
        <w:t>1.整体情况：县人大2024年度全面完成</w:t>
      </w:r>
      <w:r>
        <w:rPr>
          <w:rFonts w:hint="eastAsia" w:eastAsia="仿宋_GB2312" w:cs="仿宋_GB2312"/>
          <w:color w:val="000000"/>
          <w:kern w:val="0"/>
          <w:sz w:val="32"/>
          <w:szCs w:val="32"/>
          <w:shd w:val="clear" w:color="auto" w:fill="FFFFFF"/>
          <w:lang w:val="zh-CN" w:eastAsia="zh-CN"/>
        </w:rPr>
        <w:t>县委、县政府</w:t>
      </w:r>
      <w:r>
        <w:rPr>
          <w:rFonts w:hint="eastAsia" w:ascii="Times New Roman" w:hAnsi="Times New Roman" w:eastAsia="仿宋_GB2312" w:cs="仿宋_GB2312"/>
          <w:color w:val="000000"/>
          <w:kern w:val="0"/>
          <w:sz w:val="32"/>
          <w:szCs w:val="32"/>
          <w:shd w:val="clear" w:color="auto" w:fill="FFFFFF"/>
          <w:lang w:val="zh-CN" w:eastAsia="zh-CN"/>
        </w:rPr>
        <w:t>规定的和市下达的各项工作任务，年初资金预算精细、明晰，资金使用、量入为出，资金用途与支出要求相匹配，有效提高资金的使用率、合理化。资金支出无违规、预警记录现象。严格执行《四川省省级财政专项资金绩效分配管理暂行办法》，按照省级的专项资金管理办法，实施专款专用原则根据各项目进展、完成情况，合理规划、科学分配专项资金，分别用于人代会会议、调研考察、常委会会议、预决算审查监督等项目上。完成专项预算绩效目标，无违规记录。本单位按照财政局下达的预算指标，严格执行预算内开支，保障了单位正常运转。本部门的预决算编制均按照县财政局下达的相关文件指标进行了编制，按时完成编制工作，决算报表和说明均在县政府门户网站公开。绩效目标也按照有关文件如实进行了填报。专项预算也提前进行了规划和筹划。</w:t>
      </w:r>
    </w:p>
    <w:p w14:paraId="5485E55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000000"/>
          <w:kern w:val="0"/>
          <w:sz w:val="32"/>
          <w:szCs w:val="32"/>
          <w:shd w:val="clear" w:color="auto" w:fill="FFFFFF"/>
          <w:lang w:val="en-US" w:eastAsia="zh-CN"/>
        </w:rPr>
      </w:pPr>
      <w:r>
        <w:rPr>
          <w:rFonts w:hint="eastAsia" w:ascii="Times New Roman" w:hAnsi="Times New Roman" w:eastAsia="仿宋_GB2312" w:cs="仿宋_GB2312"/>
          <w:color w:val="000000"/>
          <w:kern w:val="0"/>
          <w:sz w:val="32"/>
          <w:szCs w:val="32"/>
          <w:shd w:val="clear" w:color="auto" w:fill="FFFFFF"/>
          <w:lang w:val="zh-CN" w:eastAsia="zh-CN"/>
        </w:rPr>
        <w:t>2.100</w:t>
      </w:r>
      <w:r>
        <w:rPr>
          <w:rFonts w:hint="eastAsia" w:eastAsia="仿宋_GB2312" w:cs="仿宋_GB2312"/>
          <w:color w:val="000000"/>
          <w:kern w:val="0"/>
          <w:sz w:val="32"/>
          <w:szCs w:val="32"/>
          <w:shd w:val="clear" w:color="auto" w:fill="FFFFFF"/>
          <w:lang w:val="zh-CN" w:eastAsia="zh-CN"/>
        </w:rPr>
        <w:t>万元</w:t>
      </w:r>
      <w:r>
        <w:rPr>
          <w:rFonts w:hint="eastAsia" w:ascii="Times New Roman" w:hAnsi="Times New Roman" w:eastAsia="仿宋_GB2312" w:cs="仿宋_GB2312"/>
          <w:color w:val="000000"/>
          <w:kern w:val="0"/>
          <w:sz w:val="32"/>
          <w:szCs w:val="32"/>
          <w:shd w:val="clear" w:color="auto" w:fill="FFFFFF"/>
          <w:lang w:val="zh-CN" w:eastAsia="zh-CN"/>
        </w:rPr>
        <w:t>以上项目：人大工作专项经费。该项目主要是保障人大会议、</w:t>
      </w:r>
      <w:r>
        <w:rPr>
          <w:rFonts w:hint="eastAsia" w:eastAsia="仿宋_GB2312" w:cs="仿宋_GB2312"/>
          <w:color w:val="000000"/>
          <w:kern w:val="0"/>
          <w:sz w:val="32"/>
          <w:szCs w:val="32"/>
          <w:shd w:val="clear" w:color="auto" w:fill="FFFFFF"/>
          <w:lang w:val="zh-CN" w:eastAsia="zh-CN"/>
        </w:rPr>
        <w:t>常委会会议</w:t>
      </w:r>
      <w:r>
        <w:rPr>
          <w:rFonts w:hint="eastAsia" w:ascii="Times New Roman" w:hAnsi="Times New Roman" w:eastAsia="仿宋_GB2312" w:cs="仿宋_GB2312"/>
          <w:color w:val="000000"/>
          <w:kern w:val="0"/>
          <w:sz w:val="32"/>
          <w:szCs w:val="32"/>
          <w:shd w:val="clear" w:color="auto" w:fill="FFFFFF"/>
          <w:lang w:val="zh-CN" w:eastAsia="zh-CN"/>
        </w:rPr>
        <w:t>，人大立法、调研考察、在线监督、支持各工委及人大代表依法履职活动的顺利开展</w:t>
      </w:r>
      <w:r>
        <w:rPr>
          <w:rFonts w:hint="default" w:ascii="Times New Roman" w:hAnsi="Times New Roman" w:eastAsia="仿宋_GB2312" w:cs="仿宋_GB2312"/>
          <w:color w:val="000000"/>
          <w:kern w:val="0"/>
          <w:sz w:val="32"/>
          <w:szCs w:val="32"/>
          <w:shd w:val="clear" w:color="auto" w:fill="FFFFFF"/>
          <w:lang w:val="en-US" w:eastAsia="zh-CN"/>
        </w:rPr>
        <w:t>。</w:t>
      </w:r>
    </w:p>
    <w:p w14:paraId="1355B136">
      <w:pPr>
        <w:pStyle w:val="21"/>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F84366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000000"/>
          <w:kern w:val="0"/>
          <w:sz w:val="32"/>
          <w:szCs w:val="32"/>
          <w:shd w:val="clear" w:color="auto" w:fill="FFFFFF"/>
          <w:lang w:val="en-US" w:eastAsia="zh-CN"/>
        </w:rPr>
      </w:pPr>
      <w:r>
        <w:rPr>
          <w:rFonts w:hint="eastAsia" w:eastAsia="仿宋_GB2312" w:cs="仿宋_GB2312"/>
          <w:color w:val="000000"/>
          <w:kern w:val="0"/>
          <w:sz w:val="32"/>
          <w:szCs w:val="32"/>
          <w:shd w:val="clear" w:color="auto" w:fill="FFFFFF"/>
          <w:lang w:val="en-US" w:eastAsia="zh-CN"/>
        </w:rPr>
        <w:t>（1）</w:t>
      </w:r>
      <w:r>
        <w:rPr>
          <w:rFonts w:hint="eastAsia" w:ascii="Times New Roman" w:hAnsi="Times New Roman" w:eastAsia="仿宋_GB2312" w:cs="仿宋_GB2312"/>
          <w:color w:val="000000"/>
          <w:kern w:val="0"/>
          <w:sz w:val="32"/>
          <w:szCs w:val="32"/>
          <w:shd w:val="clear" w:color="auto" w:fill="FFFFFF"/>
          <w:lang w:val="en-US" w:eastAsia="zh-CN"/>
        </w:rPr>
        <w:t>信息公开：本单位按照有关规定，在规定的时限内对预算进行了公开。</w:t>
      </w:r>
    </w:p>
    <w:p w14:paraId="0E6CBB5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000000"/>
          <w:kern w:val="0"/>
          <w:sz w:val="32"/>
          <w:szCs w:val="32"/>
          <w:shd w:val="clear" w:color="auto" w:fill="FFFFFF"/>
          <w:lang w:val="en-US" w:eastAsia="zh-CN"/>
        </w:rPr>
      </w:pPr>
      <w:r>
        <w:rPr>
          <w:rFonts w:hint="eastAsia" w:eastAsia="仿宋_GB2312" w:cs="仿宋_GB2312"/>
          <w:color w:val="000000"/>
          <w:kern w:val="0"/>
          <w:sz w:val="32"/>
          <w:szCs w:val="32"/>
          <w:shd w:val="clear" w:color="auto" w:fill="FFFFFF"/>
          <w:lang w:val="en-US" w:eastAsia="zh-CN"/>
        </w:rPr>
        <w:t>（2）</w:t>
      </w:r>
      <w:r>
        <w:rPr>
          <w:rFonts w:hint="eastAsia" w:ascii="Times New Roman" w:hAnsi="Times New Roman" w:eastAsia="仿宋_GB2312" w:cs="仿宋_GB2312"/>
          <w:color w:val="000000"/>
          <w:kern w:val="0"/>
          <w:sz w:val="32"/>
          <w:szCs w:val="32"/>
          <w:shd w:val="clear" w:color="auto" w:fill="FFFFFF"/>
          <w:lang w:val="en-US" w:eastAsia="zh-CN"/>
        </w:rPr>
        <w:t>自评质量：2024年本单位的部门预算编制规范、准确，各项经费足额纳入预算安排，确保了部门正常运转和专项工作的顺利开展，较好</w:t>
      </w:r>
      <w:r>
        <w:rPr>
          <w:rFonts w:hint="eastAsia" w:eastAsia="仿宋_GB2312" w:cs="仿宋_GB2312"/>
          <w:color w:val="000000"/>
          <w:kern w:val="0"/>
          <w:sz w:val="32"/>
          <w:szCs w:val="32"/>
          <w:shd w:val="clear" w:color="auto" w:fill="FFFFFF"/>
          <w:lang w:val="en-US" w:eastAsia="zh-CN"/>
        </w:rPr>
        <w:t>地</w:t>
      </w:r>
      <w:r>
        <w:rPr>
          <w:rFonts w:hint="eastAsia" w:ascii="Times New Roman" w:hAnsi="Times New Roman" w:eastAsia="仿宋_GB2312" w:cs="仿宋_GB2312"/>
          <w:color w:val="000000"/>
          <w:kern w:val="0"/>
          <w:sz w:val="32"/>
          <w:szCs w:val="32"/>
          <w:shd w:val="clear" w:color="auto" w:fill="FFFFFF"/>
          <w:lang w:val="en-US" w:eastAsia="zh-CN"/>
        </w:rPr>
        <w:t>完成了年初目标任务。</w:t>
      </w:r>
    </w:p>
    <w:p w14:paraId="6D7D846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000000"/>
          <w:kern w:val="0"/>
          <w:sz w:val="32"/>
          <w:szCs w:val="32"/>
          <w:shd w:val="clear" w:color="auto" w:fill="FFFFFF"/>
          <w:lang w:val="zh-CN" w:eastAsia="zh-CN"/>
        </w:rPr>
      </w:pPr>
      <w:r>
        <w:rPr>
          <w:rFonts w:hint="eastAsia" w:eastAsia="仿宋_GB2312" w:cs="仿宋_GB2312"/>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lang w:val="en-US" w:eastAsia="zh-CN"/>
        </w:rPr>
        <w:t>应用结果：为加强我单位预决算绩效管理</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不断提高财政资金配置和使用效益</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成立了预决算绩效管理领导小组，由分管财务的领导为组长，办公室主任任副组长</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财务室等相关科室人员为成员</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专门负责本次绩效自评工作</w:t>
      </w:r>
      <w:r>
        <w:rPr>
          <w:rFonts w:hint="eastAsia" w:eastAsia="仿宋_GB2312" w:cs="仿宋_GB2312"/>
          <w:color w:val="000000"/>
          <w:kern w:val="0"/>
          <w:sz w:val="32"/>
          <w:szCs w:val="32"/>
          <w:shd w:val="clear" w:color="auto" w:fill="FFFFFF"/>
          <w:lang w:val="en-US" w:eastAsia="zh-CN"/>
        </w:rPr>
        <w:t>，在</w:t>
      </w:r>
      <w:r>
        <w:rPr>
          <w:rFonts w:hint="eastAsia" w:ascii="Times New Roman" w:hAnsi="Times New Roman" w:eastAsia="仿宋_GB2312" w:cs="仿宋_GB2312"/>
          <w:color w:val="000000"/>
          <w:kern w:val="0"/>
          <w:sz w:val="32"/>
          <w:szCs w:val="32"/>
          <w:shd w:val="clear" w:color="auto" w:fill="FFFFFF"/>
          <w:lang w:val="en-US" w:eastAsia="zh-CN"/>
        </w:rPr>
        <w:t>自查工作中坚持以绩效考核的各项文件精神为指导</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以整</w:t>
      </w:r>
      <w:bookmarkStart w:id="111" w:name="_GoBack"/>
      <w:bookmarkEnd w:id="111"/>
      <w:r>
        <w:rPr>
          <w:rFonts w:hint="eastAsia" w:ascii="Times New Roman" w:hAnsi="Times New Roman" w:eastAsia="仿宋_GB2312" w:cs="仿宋_GB2312"/>
          <w:color w:val="000000"/>
          <w:kern w:val="0"/>
          <w:sz w:val="32"/>
          <w:szCs w:val="32"/>
          <w:shd w:val="clear" w:color="auto" w:fill="FFFFFF"/>
          <w:lang w:val="en-US" w:eastAsia="zh-CN"/>
        </w:rPr>
        <w:t>体绩效支出为内容</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对各项支出的质量指标</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数量指标</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对指标内容进行</w:t>
      </w:r>
      <w:r>
        <w:rPr>
          <w:rFonts w:hint="eastAsia" w:eastAsia="仿宋_GB2312" w:cs="仿宋_GB2312"/>
          <w:color w:val="000000"/>
          <w:kern w:val="0"/>
          <w:sz w:val="32"/>
          <w:szCs w:val="32"/>
          <w:shd w:val="clear" w:color="auto" w:fill="FFFFFF"/>
          <w:lang w:val="en-US" w:eastAsia="zh-CN"/>
        </w:rPr>
        <w:t>统</w:t>
      </w:r>
      <w:r>
        <w:rPr>
          <w:rFonts w:hint="eastAsia" w:ascii="Times New Roman" w:hAnsi="Times New Roman" w:eastAsia="仿宋_GB2312" w:cs="仿宋_GB2312"/>
          <w:color w:val="000000"/>
          <w:kern w:val="0"/>
          <w:sz w:val="32"/>
          <w:szCs w:val="32"/>
          <w:shd w:val="clear" w:color="auto" w:fill="FFFFFF"/>
          <w:lang w:val="en-US" w:eastAsia="zh-CN"/>
        </w:rPr>
        <w:t>一的评价考核打分</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从考核结果来看</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通过全体干部职工的共同努力</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取得了较好的经济、社会、环境效益</w:t>
      </w:r>
      <w:r>
        <w:rPr>
          <w:rFonts w:hint="eastAsia" w:ascii="Times New Roman" w:hAnsi="Times New Roman" w:eastAsia="仿宋_GB2312" w:cs="仿宋_GB2312"/>
          <w:color w:val="000000"/>
          <w:kern w:val="0"/>
          <w:sz w:val="32"/>
          <w:szCs w:val="32"/>
          <w:shd w:val="clear" w:color="auto" w:fill="FFFFFF"/>
          <w:lang w:val="zh-CN" w:eastAsia="zh-CN"/>
        </w:rPr>
        <w:t>。</w:t>
      </w:r>
    </w:p>
    <w:p w14:paraId="54135F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A5E9D2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6C60E80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000000"/>
          <w:kern w:val="0"/>
          <w:sz w:val="32"/>
          <w:szCs w:val="32"/>
          <w:shd w:val="clear" w:color="auto" w:fill="FFFFFF"/>
          <w:lang w:val="en-US" w:eastAsia="zh-CN"/>
        </w:rPr>
      </w:pPr>
      <w:r>
        <w:rPr>
          <w:rFonts w:hint="eastAsia" w:ascii="Times New Roman" w:hAnsi="Times New Roman" w:eastAsia="仿宋_GB2312" w:cs="仿宋_GB2312"/>
          <w:color w:val="000000"/>
          <w:kern w:val="0"/>
          <w:sz w:val="32"/>
          <w:szCs w:val="32"/>
          <w:shd w:val="clear" w:color="auto" w:fill="FFFFFF"/>
          <w:lang w:val="en-US" w:eastAsia="zh-CN"/>
        </w:rPr>
        <w:t>根据《峨边彝族自治县财政局关于开展2024年部门整体、项目和政策支出绩效评价工作的通知》文件精神，自治县人大办认真组织开展了部门整体支出绩效评价工作，绩效评价得分</w:t>
      </w:r>
      <w:r>
        <w:rPr>
          <w:rFonts w:hint="eastAsia"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en-US" w:eastAsia="zh-CN"/>
        </w:rPr>
        <w:t>97分。</w:t>
      </w:r>
    </w:p>
    <w:p w14:paraId="7E7D5AC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F94162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000000"/>
          <w:kern w:val="0"/>
          <w:sz w:val="32"/>
          <w:szCs w:val="32"/>
          <w:shd w:val="clear" w:color="auto" w:fill="FFFFFF"/>
          <w:lang w:val="en-US" w:eastAsia="zh-CN"/>
        </w:rPr>
      </w:pPr>
      <w:r>
        <w:rPr>
          <w:rFonts w:hint="eastAsia" w:ascii="Times New Roman" w:hAnsi="Times New Roman" w:eastAsia="仿宋_GB2312" w:cs="仿宋_GB2312"/>
          <w:color w:val="000000"/>
          <w:kern w:val="0"/>
          <w:sz w:val="32"/>
          <w:szCs w:val="32"/>
          <w:shd w:val="clear" w:color="auto" w:fill="FFFFFF"/>
          <w:lang w:val="en-US" w:eastAsia="zh-CN"/>
        </w:rPr>
        <w:t>一是部分人员对财政支出绩效评价工作重要性认识不足；二是项目经办人员业务水平不高。</w:t>
      </w:r>
    </w:p>
    <w:p w14:paraId="1ADD4B0E">
      <w:pPr>
        <w:pStyle w:val="8"/>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83" w:name="_Hlk110546638"/>
    </w:p>
    <w:p w14:paraId="6963112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000000"/>
          <w:kern w:val="0"/>
          <w:sz w:val="32"/>
          <w:szCs w:val="32"/>
          <w:shd w:val="clear" w:color="auto" w:fill="FFFFFF"/>
          <w:lang w:val="zh-CN" w:eastAsia="zh-CN"/>
        </w:rPr>
      </w:pPr>
      <w:r>
        <w:rPr>
          <w:rFonts w:hint="default" w:ascii="Times New Roman" w:hAnsi="Times New Roman" w:eastAsia="仿宋_GB2312" w:cs="仿宋_GB2312"/>
          <w:color w:val="000000"/>
          <w:kern w:val="0"/>
          <w:sz w:val="32"/>
          <w:szCs w:val="32"/>
          <w:shd w:val="clear" w:color="auto" w:fill="FFFFFF"/>
          <w:lang w:val="zh-CN" w:eastAsia="zh-CN"/>
        </w:rPr>
        <w:t>针对上述存在问题，将在今后的工作中认真改正和弥补。一是加大党和国家有关强化财经管理的方针政策宣传学习力度，特别是要求单位负责人强化对党和国家有关财经管理方面知识的学习，进一步提高单位负责人财经管理的理论水平；二是强化对财政支出绩效评价工作重要性的认识，按照“花钱必问效”的原则，切实做好“预算支出绩效评价”工作；三是加强对部门经办人员的培训，进一步提升做好财务基础工作的能力，提升严格执行财务制度，强化财务监管，重视财务工作的能力和水平。</w:t>
      </w:r>
    </w:p>
    <w:bookmarkEnd w:id="83"/>
    <w:p w14:paraId="300A8C3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FBD355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BC3B405">
      <w:pPr>
        <w:bidi w:val="0"/>
        <w:rPr>
          <w:rFonts w:hint="eastAsia"/>
          <w:lang w:val="en-US" w:eastAsia="zh-CN"/>
        </w:rPr>
      </w:pPr>
      <w:r>
        <w:drawing>
          <wp:inline distT="0" distB="0" distL="114300" distR="114300">
            <wp:extent cx="5266690" cy="7814945"/>
            <wp:effectExtent l="0" t="0" r="10160" b="1460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15"/>
                    <a:stretch>
                      <a:fillRect/>
                    </a:stretch>
                  </pic:blipFill>
                  <pic:spPr>
                    <a:xfrm>
                      <a:off x="0" y="0"/>
                      <a:ext cx="5266690" cy="7814945"/>
                    </a:xfrm>
                    <a:prstGeom prst="rect">
                      <a:avLst/>
                    </a:prstGeom>
                    <a:noFill/>
                    <a:ln>
                      <a:noFill/>
                    </a:ln>
                  </pic:spPr>
                </pic:pic>
              </a:graphicData>
            </a:graphic>
          </wp:inline>
        </w:drawing>
      </w:r>
      <w:r>
        <w:drawing>
          <wp:inline distT="0" distB="0" distL="114300" distR="114300">
            <wp:extent cx="5388610" cy="8071485"/>
            <wp:effectExtent l="0" t="0" r="2540" b="571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6"/>
                    <a:stretch>
                      <a:fillRect/>
                    </a:stretch>
                  </pic:blipFill>
                  <pic:spPr>
                    <a:xfrm>
                      <a:off x="0" y="0"/>
                      <a:ext cx="5388610" cy="8071485"/>
                    </a:xfrm>
                    <a:prstGeom prst="rect">
                      <a:avLst/>
                    </a:prstGeom>
                    <a:noFill/>
                    <a:ln>
                      <a:noFill/>
                    </a:ln>
                  </pic:spPr>
                </pic:pic>
              </a:graphicData>
            </a:graphic>
          </wp:inline>
        </w:drawing>
      </w:r>
      <w:r>
        <w:drawing>
          <wp:inline distT="0" distB="0" distL="114300" distR="114300">
            <wp:extent cx="5266690" cy="8175625"/>
            <wp:effectExtent l="0" t="0" r="10160" b="15875"/>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7"/>
                    <a:stretch>
                      <a:fillRect/>
                    </a:stretch>
                  </pic:blipFill>
                  <pic:spPr>
                    <a:xfrm>
                      <a:off x="0" y="0"/>
                      <a:ext cx="5266690" cy="8175625"/>
                    </a:xfrm>
                    <a:prstGeom prst="rect">
                      <a:avLst/>
                    </a:prstGeom>
                    <a:noFill/>
                    <a:ln>
                      <a:noFill/>
                    </a:ln>
                  </pic:spPr>
                </pic:pic>
              </a:graphicData>
            </a:graphic>
          </wp:inline>
        </w:drawing>
      </w:r>
      <w:r>
        <w:drawing>
          <wp:inline distT="0" distB="0" distL="114300" distR="114300">
            <wp:extent cx="5272405" cy="7934325"/>
            <wp:effectExtent l="0" t="0" r="4445" b="9525"/>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18"/>
                    <a:stretch>
                      <a:fillRect/>
                    </a:stretch>
                  </pic:blipFill>
                  <pic:spPr>
                    <a:xfrm>
                      <a:off x="0" y="0"/>
                      <a:ext cx="5272405" cy="7934325"/>
                    </a:xfrm>
                    <a:prstGeom prst="rect">
                      <a:avLst/>
                    </a:prstGeom>
                    <a:noFill/>
                    <a:ln>
                      <a:noFill/>
                    </a:ln>
                  </pic:spPr>
                </pic:pic>
              </a:graphicData>
            </a:graphic>
          </wp:inline>
        </w:drawing>
      </w:r>
      <w:r>
        <w:drawing>
          <wp:inline distT="0" distB="0" distL="114300" distR="114300">
            <wp:extent cx="5272405" cy="8592185"/>
            <wp:effectExtent l="0" t="0" r="4445" b="18415"/>
            <wp:docPr id="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pic:cNvPicPr>
                      <a:picLocks noChangeAspect="1"/>
                    </pic:cNvPicPr>
                  </pic:nvPicPr>
                  <pic:blipFill>
                    <a:blip r:embed="rId19"/>
                    <a:stretch>
                      <a:fillRect/>
                    </a:stretch>
                  </pic:blipFill>
                  <pic:spPr>
                    <a:xfrm>
                      <a:off x="0" y="0"/>
                      <a:ext cx="5272405" cy="8592185"/>
                    </a:xfrm>
                    <a:prstGeom prst="rect">
                      <a:avLst/>
                    </a:prstGeom>
                    <a:noFill/>
                    <a:ln>
                      <a:noFill/>
                    </a:ln>
                  </pic:spPr>
                </pic:pic>
              </a:graphicData>
            </a:graphic>
          </wp:inline>
        </w:drawing>
      </w:r>
      <w:bookmarkEnd w:id="80"/>
      <w:bookmarkStart w:id="84" w:name="_Toc15396619"/>
    </w:p>
    <w:p w14:paraId="73D175F1">
      <w:pPr>
        <w:widowControl w:val="0"/>
        <w:spacing w:beforeLines="30"/>
        <w:jc w:val="both"/>
        <w:rPr>
          <w:rFonts w:hint="eastAsia" w:ascii="Times New Roman" w:hAnsi="Times New Roman" w:eastAsia="黑体" w:cs="黑体"/>
          <w:color w:val="auto"/>
          <w:kern w:val="0"/>
          <w:sz w:val="32"/>
          <w:szCs w:val="32"/>
          <w:highlight w:val="none"/>
          <w:lang w:val="en-US" w:eastAsia="zh-CN" w:bidi="ar-SA"/>
        </w:rPr>
      </w:pPr>
      <w:bookmarkStart w:id="85" w:name="_Toc38"/>
      <w:bookmarkStart w:id="86" w:name="_Toc31372"/>
      <w:r>
        <w:rPr>
          <w:rFonts w:hint="eastAsia" w:ascii="Times New Roman" w:hAnsi="Times New Roman" w:eastAsia="黑体" w:cs="黑体"/>
          <w:color w:val="auto"/>
          <w:kern w:val="0"/>
          <w:sz w:val="32"/>
          <w:szCs w:val="32"/>
          <w:highlight w:val="none"/>
          <w:shd w:val="clear" w:color="auto" w:fill="FFFFFF"/>
          <w:lang w:val="zh-CN" w:eastAsia="zh-CN" w:bidi="ar-SA"/>
        </w:rPr>
        <w:t>附件</w:t>
      </w:r>
      <w:r>
        <w:rPr>
          <w:rFonts w:hint="eastAsia" w:ascii="Times New Roman" w:hAnsi="Times New Roman" w:eastAsia="黑体" w:cs="黑体"/>
          <w:color w:val="auto"/>
          <w:kern w:val="0"/>
          <w:sz w:val="32"/>
          <w:szCs w:val="32"/>
          <w:highlight w:val="none"/>
          <w:shd w:val="clear" w:color="auto" w:fill="FFFFFF"/>
          <w:lang w:val="en-US" w:eastAsia="zh-CN" w:bidi="ar-SA"/>
        </w:rPr>
        <w:t>2</w:t>
      </w:r>
    </w:p>
    <w:p w14:paraId="452047B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bidi="ar-SA"/>
        </w:rPr>
      </w:pPr>
    </w:p>
    <w:p w14:paraId="17ACBD8B">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bidi="ar-SA"/>
        </w:rPr>
      </w:pPr>
      <w:r>
        <w:rPr>
          <w:rFonts w:hint="eastAsia" w:ascii="Times New Roman" w:hAnsi="Times New Roman" w:eastAsia="方正小标宋简体" w:cs="方正小标宋简体"/>
          <w:color w:val="auto"/>
          <w:kern w:val="2"/>
          <w:sz w:val="44"/>
          <w:szCs w:val="44"/>
          <w:highlight w:val="none"/>
          <w:lang w:val="en-US" w:eastAsia="zh-CN" w:bidi="ar-SA"/>
        </w:rPr>
        <w:t>专项预算项目绩效评价报告</w:t>
      </w:r>
    </w:p>
    <w:p w14:paraId="176D2490">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 w:hAnsi="仿宋" w:eastAsia="仿宋" w:cs="仿宋"/>
          <w:color w:val="auto"/>
          <w:kern w:val="2"/>
          <w:sz w:val="32"/>
          <w:szCs w:val="32"/>
          <w:highlight w:val="none"/>
          <w:shd w:val="clear" w:color="auto" w:fill="auto"/>
          <w:lang w:val="en-US" w:eastAsia="zh-CN" w:bidi="ar-SA"/>
        </w:rPr>
      </w:pPr>
      <w:r>
        <w:rPr>
          <w:rFonts w:hint="eastAsia" w:ascii="仿宋" w:hAnsi="仿宋" w:eastAsia="仿宋" w:cs="仿宋"/>
          <w:color w:val="auto"/>
          <w:kern w:val="2"/>
          <w:sz w:val="32"/>
          <w:szCs w:val="32"/>
          <w:highlight w:val="none"/>
          <w:shd w:val="clear" w:color="auto" w:fill="auto"/>
          <w:lang w:val="en-US" w:eastAsia="zh-CN" w:bidi="ar-SA"/>
        </w:rPr>
        <w:t>（人大工作经费）</w:t>
      </w:r>
    </w:p>
    <w:p w14:paraId="6B0BC09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cs="Times New Roman"/>
          <w:sz w:val="32"/>
          <w:szCs w:val="32"/>
          <w:highlight w:val="none"/>
          <w:lang w:val="zh-CN"/>
        </w:rPr>
      </w:pPr>
      <w:r>
        <w:rPr>
          <w:rFonts w:hint="eastAsia" w:ascii="Times New Roman" w:hAnsi="Times New Roman" w:eastAsia="黑体" w:cs="Times New Roman"/>
          <w:sz w:val="32"/>
          <w:szCs w:val="32"/>
          <w:highlight w:val="none"/>
        </w:rPr>
        <w:t>一、</w:t>
      </w:r>
      <w:r>
        <w:rPr>
          <w:rFonts w:hint="eastAsia" w:ascii="Times New Roman" w:hAnsi="Times New Roman" w:eastAsia="黑体" w:cs="Times New Roman"/>
          <w:sz w:val="32"/>
          <w:szCs w:val="32"/>
          <w:highlight w:val="none"/>
          <w:lang w:val="zh-CN"/>
        </w:rPr>
        <w:t>项目概况</w:t>
      </w:r>
    </w:p>
    <w:p w14:paraId="5D6F2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1" w:after="0" w:afterAutospacing="0" w:line="240" w:lineRule="auto"/>
        <w:ind w:left="0" w:right="0" w:firstLine="643"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楷体_GB2312" w:cs="Times New Roman"/>
          <w:b/>
          <w:color w:val="auto"/>
          <w:kern w:val="0"/>
          <w:sz w:val="32"/>
          <w:szCs w:val="32"/>
          <w:highlight w:val="none"/>
          <w:u w:val="none"/>
          <w:lang w:val="zh-CN" w:eastAsia="zh-CN" w:bidi="ar-SA"/>
        </w:rPr>
        <w:t>（一）设立背景及基本情况。</w:t>
      </w:r>
      <w:r>
        <w:rPr>
          <w:rFonts w:hint="eastAsia" w:ascii="Times New Roman" w:hAnsi="Times New Roman" w:eastAsia="仿宋_GB2312" w:cs="Times New Roman"/>
          <w:kern w:val="2"/>
          <w:sz w:val="32"/>
          <w:szCs w:val="32"/>
          <w:lang w:val="zh-CN" w:eastAsia="zh-CN" w:bidi="ar-SA"/>
        </w:rPr>
        <w:t>此项</w:t>
      </w:r>
      <w:r>
        <w:rPr>
          <w:rFonts w:hint="default" w:ascii="Times New Roman" w:hAnsi="Times New Roman" w:eastAsia="仿宋_GB2312" w:cs="Times New Roman"/>
          <w:kern w:val="2"/>
          <w:sz w:val="32"/>
          <w:szCs w:val="32"/>
          <w:lang w:val="zh-CN" w:eastAsia="zh-CN" w:bidi="ar-SA"/>
        </w:rPr>
        <w:t>经费为人大</w:t>
      </w:r>
      <w:r>
        <w:rPr>
          <w:rFonts w:hint="eastAsia" w:ascii="Times New Roman" w:hAnsi="Times New Roman" w:eastAsia="仿宋_GB2312" w:cs="Times New Roman"/>
          <w:kern w:val="2"/>
          <w:sz w:val="32"/>
          <w:szCs w:val="32"/>
          <w:lang w:val="zh-CN" w:eastAsia="zh-CN" w:bidi="ar-SA"/>
        </w:rPr>
        <w:t>常委会</w:t>
      </w:r>
      <w:r>
        <w:rPr>
          <w:rFonts w:hint="eastAsia" w:ascii="Times New Roman" w:hAnsi="Times New Roman" w:eastAsia="仿宋_GB2312" w:cs="Times New Roman"/>
          <w:kern w:val="2"/>
          <w:sz w:val="32"/>
          <w:szCs w:val="32"/>
          <w:lang w:val="en-US" w:eastAsia="zh-CN" w:bidi="ar-SA"/>
        </w:rPr>
        <w:t>调研考察会议等的</w:t>
      </w:r>
      <w:r>
        <w:rPr>
          <w:rFonts w:hint="default" w:ascii="Times New Roman" w:hAnsi="Times New Roman" w:eastAsia="仿宋_GB2312" w:cs="Times New Roman"/>
          <w:kern w:val="2"/>
          <w:sz w:val="32"/>
          <w:szCs w:val="32"/>
          <w:lang w:val="zh-CN" w:eastAsia="zh-CN" w:bidi="ar-SA"/>
        </w:rPr>
        <w:t>正常开</w:t>
      </w:r>
      <w:r>
        <w:rPr>
          <w:rFonts w:hint="eastAsia" w:ascii="Times New Roman" w:hAnsi="Times New Roman" w:eastAsia="仿宋_GB2312" w:cs="Times New Roman"/>
          <w:kern w:val="2"/>
          <w:sz w:val="32"/>
          <w:szCs w:val="32"/>
          <w:lang w:val="zh-CN" w:eastAsia="zh-CN" w:bidi="ar-SA"/>
        </w:rPr>
        <w:t>展</w:t>
      </w:r>
      <w:r>
        <w:rPr>
          <w:rFonts w:hint="default" w:ascii="Times New Roman" w:hAnsi="Times New Roman" w:eastAsia="仿宋_GB2312" w:cs="Times New Roman"/>
          <w:kern w:val="2"/>
          <w:sz w:val="32"/>
          <w:szCs w:val="32"/>
          <w:lang w:val="zh-CN" w:eastAsia="zh-CN" w:bidi="ar-SA"/>
        </w:rPr>
        <w:t>提供了资金保障</w:t>
      </w:r>
      <w:r>
        <w:rPr>
          <w:rFonts w:hint="eastAsia" w:ascii="Times New Roman" w:hAnsi="Times New Roman" w:eastAsia="仿宋_GB2312" w:cs="Times New Roman"/>
          <w:kern w:val="2"/>
          <w:sz w:val="32"/>
          <w:szCs w:val="32"/>
          <w:lang w:val="zh-CN" w:eastAsia="zh-CN" w:bidi="ar-SA"/>
        </w:rPr>
        <w:t>。除坚持以往有效的督办形式外，创新方法，组织常委会组成人员和自治</w:t>
      </w:r>
      <w:r>
        <w:rPr>
          <w:rFonts w:hint="eastAsia" w:ascii="Times New Roman" w:hAnsi="Times New Roman" w:eastAsia="仿宋_GB2312" w:cs="Times New Roman"/>
          <w:kern w:val="2"/>
          <w:sz w:val="32"/>
          <w:szCs w:val="32"/>
          <w:lang w:val="en-US" w:eastAsia="zh-CN" w:bidi="ar-SA"/>
        </w:rPr>
        <w:t>县</w:t>
      </w:r>
      <w:r>
        <w:rPr>
          <w:rFonts w:hint="eastAsia" w:ascii="Times New Roman" w:hAnsi="Times New Roman" w:eastAsia="仿宋_GB2312" w:cs="Times New Roman"/>
          <w:kern w:val="2"/>
          <w:sz w:val="32"/>
          <w:szCs w:val="32"/>
          <w:lang w:val="zh-CN" w:eastAsia="zh-CN" w:bidi="ar-SA"/>
        </w:rPr>
        <w:t>人大代表对部分承办单位办理代表建议情况进行督查，有效地促进了承办单位的工作，提高了代表议案、建议的办成率和代表的满意度。</w:t>
      </w:r>
    </w:p>
    <w:p w14:paraId="520C23C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Times New Roman"/>
          <w:kern w:val="2"/>
          <w:sz w:val="32"/>
          <w:szCs w:val="32"/>
          <w:lang w:val="zh-CN" w:eastAsia="zh-CN" w:bidi="ar-SA"/>
        </w:rPr>
        <w:t>由</w:t>
      </w:r>
      <w:r>
        <w:rPr>
          <w:rFonts w:hint="eastAsia" w:ascii="Times New Roman" w:hAnsi="Times New Roman" w:eastAsia="仿宋_GB2312" w:cs="Times New Roman"/>
          <w:kern w:val="2"/>
          <w:sz w:val="32"/>
          <w:szCs w:val="32"/>
          <w:lang w:val="en-US" w:eastAsia="zh-CN" w:bidi="ar-SA"/>
        </w:rPr>
        <w:t>本单位</w:t>
      </w:r>
      <w:r>
        <w:rPr>
          <w:rFonts w:hint="eastAsia" w:ascii="Times New Roman" w:hAnsi="Times New Roman" w:eastAsia="仿宋_GB2312" w:cs="Times New Roman"/>
          <w:kern w:val="2"/>
          <w:sz w:val="32"/>
          <w:szCs w:val="32"/>
          <w:lang w:val="zh-CN" w:eastAsia="zh-CN" w:bidi="ar-SA"/>
        </w:rPr>
        <w:t>根据年度会议计划，按照规定标准向财政局申报年度会议预算，按预算审核程序安排部门一次性项目预算，并实行项目清算。</w:t>
      </w:r>
    </w:p>
    <w:p w14:paraId="159CCE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2"/>
          <w:sz w:val="32"/>
          <w:szCs w:val="32"/>
          <w:lang w:val="en-US" w:eastAsia="zh-CN" w:bidi="ar-SA"/>
        </w:rPr>
        <w:t>人大工作经费</w:t>
      </w:r>
      <w:r>
        <w:rPr>
          <w:rFonts w:hint="eastAsia" w:ascii="Times New Roman" w:hAnsi="Times New Roman" w:eastAsia="仿宋_GB2312" w:cs="Times New Roman"/>
          <w:kern w:val="2"/>
          <w:sz w:val="32"/>
          <w:szCs w:val="32"/>
          <w:lang w:val="zh-CN" w:eastAsia="zh-CN" w:bidi="ar-SA"/>
        </w:rPr>
        <w:t>列入年度预算，并按照年度预算严格执行，严格控制预算调整。</w:t>
      </w:r>
      <w:r>
        <w:rPr>
          <w:rFonts w:hint="eastAsia" w:ascii="Times New Roman" w:hAnsi="Times New Roman" w:eastAsia="仿宋_GB2312" w:cs="Times New Roman"/>
          <w:kern w:val="2"/>
          <w:sz w:val="32"/>
          <w:szCs w:val="32"/>
          <w:lang w:val="en-US" w:eastAsia="zh-CN" w:bidi="ar-SA"/>
        </w:rPr>
        <w:t>年度预算120万元。</w:t>
      </w:r>
    </w:p>
    <w:p w14:paraId="0858C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color w:val="auto"/>
          <w:kern w:val="0"/>
          <w:sz w:val="32"/>
          <w:szCs w:val="32"/>
          <w:highlight w:val="none"/>
          <w:u w:val="none"/>
          <w:lang w:val="zh-CN" w:eastAsia="zh-CN" w:bidi="ar-SA"/>
        </w:rPr>
        <w:t>（四）项目绩效目标设置。</w:t>
      </w:r>
      <w:r>
        <w:rPr>
          <w:rFonts w:hint="eastAsia" w:ascii="Times New Roman" w:hAnsi="Times New Roman" w:eastAsia="仿宋_GB2312" w:cs="Times New Roman"/>
          <w:kern w:val="2"/>
          <w:sz w:val="32"/>
          <w:szCs w:val="32"/>
          <w:lang w:val="en-US" w:eastAsia="zh-CN" w:bidi="ar-SA"/>
        </w:rPr>
        <w:t>此项经费为2024年人大常委会委员视察、培训学习、会议安排、执法检查等提供了资金保障。按照常委会工作安排，加大人大常委会委员在日常工作中的重要作用，通过实地调研、考察</w:t>
      </w:r>
      <w:r>
        <w:rPr>
          <w:rFonts w:hint="eastAsia" w:eastAsia="仿宋_GB2312" w:cs="Times New Roman"/>
          <w:kern w:val="2"/>
          <w:sz w:val="32"/>
          <w:szCs w:val="32"/>
          <w:lang w:val="en-US" w:eastAsia="zh-CN" w:bidi="ar-SA"/>
        </w:rPr>
        <w:t>及召</w:t>
      </w:r>
      <w:r>
        <w:rPr>
          <w:rFonts w:hint="eastAsia" w:ascii="Times New Roman" w:hAnsi="Times New Roman" w:eastAsia="仿宋_GB2312" w:cs="Times New Roman"/>
          <w:kern w:val="2"/>
          <w:sz w:val="32"/>
          <w:szCs w:val="32"/>
          <w:lang w:val="en-US" w:eastAsia="zh-CN" w:bidi="ar-SA"/>
        </w:rPr>
        <w:t>开座谈会等方式，听取和审议报告，视察、调查、执法检查、听取述职，组织评议，审查规范行文，受理申诉，控告和检举，进行询问、质询、组织特定问题调查，撤销或者建议罢免职务。为自治县党委、政府决策提供及时、有效的决策信息。</w:t>
      </w:r>
    </w:p>
    <w:p w14:paraId="0472B66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rPr>
        <w:t>二、</w:t>
      </w:r>
      <w:r>
        <w:rPr>
          <w:rFonts w:hint="eastAsia" w:ascii="Times New Roman" w:hAnsi="Times New Roman" w:eastAsia="黑体" w:cs="Times New Roman"/>
          <w:sz w:val="32"/>
          <w:szCs w:val="32"/>
          <w:highlight w:val="none"/>
          <w:lang w:eastAsia="zh-CN"/>
        </w:rPr>
        <w:t>评价实施</w:t>
      </w:r>
    </w:p>
    <w:p w14:paraId="25BF27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color w:val="auto"/>
          <w:kern w:val="0"/>
          <w:sz w:val="32"/>
          <w:szCs w:val="32"/>
          <w:highlight w:val="none"/>
          <w:u w:val="none"/>
          <w:lang w:val="zh-CN" w:eastAsia="zh-CN" w:bidi="ar-SA"/>
        </w:rPr>
        <w:t>（一）评价目的。</w:t>
      </w:r>
      <w:r>
        <w:rPr>
          <w:rFonts w:hint="eastAsia" w:ascii="Times New Roman" w:hAnsi="Times New Roman" w:eastAsia="仿宋_GB2312" w:cs="Times New Roman"/>
          <w:kern w:val="2"/>
          <w:sz w:val="32"/>
          <w:szCs w:val="32"/>
          <w:lang w:val="en-US" w:eastAsia="zh-CN" w:bidi="ar-SA"/>
        </w:rPr>
        <w:t>为自治县党委、政府决策提供及时、有效的决策信息。</w:t>
      </w:r>
    </w:p>
    <w:p w14:paraId="5E5FD89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楷体_GB2312" w:cs="Times New Roman"/>
          <w:b/>
          <w:color w:val="auto"/>
          <w:sz w:val="32"/>
          <w:szCs w:val="32"/>
          <w:highlight w:val="none"/>
          <w:u w:val="none"/>
          <w:lang w:val="zh-CN"/>
        </w:rPr>
        <w:t>（二）预设问题及评价重点。</w:t>
      </w:r>
      <w:r>
        <w:rPr>
          <w:rFonts w:hint="eastAsia" w:ascii="Times New Roman" w:hAnsi="Times New Roman" w:eastAsia="仿宋_GB2312" w:cs="Times New Roman"/>
          <w:kern w:val="2"/>
          <w:sz w:val="32"/>
          <w:szCs w:val="32"/>
          <w:lang w:val="zh-CN" w:eastAsia="zh-CN" w:bidi="ar-SA"/>
        </w:rPr>
        <w:t>按照绩效评价指标体系，对资金支出使用全过程及其实施效果进行综合评价和判断。</w:t>
      </w:r>
    </w:p>
    <w:p w14:paraId="7F3B490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楷体_GB2312" w:cs="Times New Roman"/>
          <w:b/>
          <w:color w:val="auto"/>
          <w:sz w:val="32"/>
          <w:szCs w:val="32"/>
          <w:highlight w:val="none"/>
          <w:u w:val="none"/>
          <w:lang w:val="zh-CN"/>
        </w:rPr>
        <w:t>（三）评价选点。</w:t>
      </w:r>
      <w:r>
        <w:rPr>
          <w:rFonts w:hint="eastAsia" w:ascii="Times New Roman" w:hAnsi="Times New Roman" w:eastAsia="仿宋_GB2312" w:cs="Times New Roman"/>
          <w:kern w:val="2"/>
          <w:sz w:val="32"/>
          <w:szCs w:val="32"/>
          <w:lang w:val="zh-CN" w:eastAsia="zh-CN" w:bidi="ar-SA"/>
        </w:rPr>
        <w:t>项目绩效自评所抽样点位情况。每个专项预算项目应选取专项资金分配涉及市县总数的20%、总计不超过20个的市县点位进行实地踏勘，且点位清单应作为自评附表。</w:t>
      </w:r>
    </w:p>
    <w:p w14:paraId="1B756F5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楷体_GB2312" w:cs="Times New Roman"/>
          <w:b/>
          <w:color w:val="auto"/>
          <w:sz w:val="32"/>
          <w:szCs w:val="32"/>
          <w:highlight w:val="none"/>
          <w:u w:val="none"/>
          <w:lang w:val="zh-CN"/>
        </w:rPr>
        <w:t>（四）评价方法。</w:t>
      </w:r>
      <w:r>
        <w:rPr>
          <w:rFonts w:hint="eastAsia" w:ascii="Times New Roman" w:hAnsi="Times New Roman" w:eastAsia="仿宋_GB2312" w:cs="Times New Roman"/>
          <w:kern w:val="2"/>
          <w:sz w:val="32"/>
          <w:szCs w:val="32"/>
          <w:lang w:val="zh-CN" w:eastAsia="zh-CN" w:bidi="ar-SA"/>
        </w:rPr>
        <w:t>根据项目情况和评价重点，</w:t>
      </w:r>
      <w:r>
        <w:rPr>
          <w:rFonts w:hint="eastAsia" w:eastAsia="仿宋_GB2312" w:cs="Times New Roman"/>
          <w:kern w:val="2"/>
          <w:sz w:val="32"/>
          <w:szCs w:val="32"/>
          <w:lang w:val="zh-CN" w:eastAsia="zh-CN" w:bidi="ar-SA"/>
        </w:rPr>
        <w:t>用于</w:t>
      </w:r>
      <w:r>
        <w:rPr>
          <w:rFonts w:hint="eastAsia" w:ascii="Times New Roman" w:hAnsi="Times New Roman" w:eastAsia="仿宋_GB2312" w:cs="Times New Roman"/>
          <w:kern w:val="2"/>
          <w:sz w:val="32"/>
          <w:szCs w:val="32"/>
          <w:lang w:val="zh-CN" w:eastAsia="zh-CN" w:bidi="ar-SA"/>
        </w:rPr>
        <w:t>收集相关材料和开展具体评价的方法。包括：采用成本效益分析法、标杆管理法、案卷研究法、单位自评法、实地勘察法、问卷调查法、座谈调研法等多种方法。</w:t>
      </w:r>
    </w:p>
    <w:p w14:paraId="652B818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cs="Times New Roman"/>
          <w:b/>
          <w:color w:val="auto"/>
          <w:sz w:val="32"/>
          <w:szCs w:val="32"/>
          <w:highlight w:val="none"/>
          <w:u w:val="none"/>
          <w:lang w:val="zh-CN"/>
        </w:rPr>
        <w:t>（五）评价组织。</w:t>
      </w:r>
      <w:r>
        <w:rPr>
          <w:rFonts w:hint="eastAsia" w:ascii="Times New Roman" w:hAnsi="Times New Roman" w:eastAsia="仿宋_GB2312" w:cs="Times New Roman"/>
          <w:kern w:val="2"/>
          <w:sz w:val="32"/>
          <w:szCs w:val="32"/>
          <w:lang w:val="zh-CN" w:eastAsia="zh-CN" w:bidi="ar-SA"/>
        </w:rPr>
        <w:t>评价组人员构成和职责分工。</w:t>
      </w:r>
    </w:p>
    <w:p w14:paraId="3F50E6C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宋体" w:cs="Times New Roman"/>
          <w:color w:val="auto"/>
          <w:sz w:val="32"/>
          <w:szCs w:val="32"/>
          <w:highlight w:val="none"/>
          <w:u w:val="none"/>
          <w:lang w:val="zh-CN"/>
        </w:rPr>
      </w:pPr>
      <w:r>
        <w:rPr>
          <w:rFonts w:hint="eastAsia" w:ascii="Times New Roman" w:hAnsi="Times New Roman" w:eastAsia="黑体" w:cs="Times New Roman"/>
          <w:color w:val="auto"/>
          <w:sz w:val="32"/>
          <w:szCs w:val="32"/>
          <w:highlight w:val="none"/>
          <w:u w:val="none"/>
        </w:rPr>
        <w:t>三、</w:t>
      </w:r>
      <w:r>
        <w:rPr>
          <w:rFonts w:hint="eastAsia" w:ascii="Times New Roman" w:hAnsi="Times New Roman" w:eastAsia="黑体" w:cs="Times New Roman"/>
          <w:color w:val="auto"/>
          <w:sz w:val="32"/>
          <w:szCs w:val="32"/>
          <w:highlight w:val="none"/>
          <w:u w:val="none"/>
          <w:lang w:eastAsia="zh-CN"/>
        </w:rPr>
        <w:t>绩效分析</w:t>
      </w:r>
      <w:r>
        <w:rPr>
          <w:rFonts w:hint="eastAsia" w:ascii="Times New Roman" w:hAnsi="Times New Roman" w:eastAsia="宋体" w:cs="Times New Roman"/>
          <w:color w:val="auto"/>
          <w:sz w:val="32"/>
          <w:szCs w:val="32"/>
          <w:highlight w:val="none"/>
          <w:u w:val="none"/>
          <w:lang w:val="zh-CN"/>
        </w:rPr>
        <w:tab/>
      </w:r>
    </w:p>
    <w:p w14:paraId="193757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1" w:after="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本部门按照县级部门预算编制通知和有关要求，按时完成</w:t>
      </w:r>
      <w:r>
        <w:rPr>
          <w:rFonts w:hint="eastAsia" w:ascii="Times New Roman" w:hAnsi="Times New Roman" w:eastAsia="仿宋_GB2312" w:cs="Times New Roman"/>
          <w:kern w:val="2"/>
          <w:sz w:val="32"/>
          <w:szCs w:val="32"/>
          <w:lang w:val="en-US" w:eastAsia="zh-CN" w:bidi="ar-SA"/>
        </w:rPr>
        <w:t>调研考察工作，</w:t>
      </w:r>
      <w:r>
        <w:rPr>
          <w:rFonts w:hint="eastAsia" w:ascii="Times New Roman" w:hAnsi="Times New Roman" w:eastAsia="仿宋_GB2312" w:cs="Times New Roman"/>
          <w:kern w:val="2"/>
          <w:sz w:val="32"/>
          <w:szCs w:val="32"/>
          <w:lang w:val="zh-CN" w:eastAsia="zh-CN" w:bidi="ar-SA"/>
        </w:rPr>
        <w:t>本部门</w:t>
      </w:r>
      <w:r>
        <w:rPr>
          <w:rFonts w:hint="eastAsia" w:ascii="Times New Roman" w:hAnsi="Times New Roman" w:eastAsia="仿宋_GB2312" w:cs="Times New Roman"/>
          <w:kern w:val="2"/>
          <w:sz w:val="32"/>
          <w:szCs w:val="32"/>
          <w:lang w:val="en-US" w:eastAsia="zh-CN" w:bidi="ar-SA"/>
        </w:rPr>
        <w:t>2024年</w:t>
      </w:r>
      <w:r>
        <w:rPr>
          <w:rFonts w:hint="eastAsia" w:ascii="Times New Roman" w:hAnsi="Times New Roman" w:eastAsia="仿宋_GB2312" w:cs="Times New Roman"/>
          <w:kern w:val="2"/>
          <w:sz w:val="32"/>
          <w:szCs w:val="32"/>
          <w:lang w:val="zh-CN" w:eastAsia="zh-CN" w:bidi="ar-SA"/>
        </w:rPr>
        <w:t>的</w:t>
      </w:r>
      <w:r>
        <w:rPr>
          <w:rFonts w:hint="eastAsia" w:ascii="Times New Roman" w:hAnsi="Times New Roman" w:eastAsia="仿宋_GB2312" w:cs="Times New Roman"/>
          <w:kern w:val="2"/>
          <w:sz w:val="32"/>
          <w:szCs w:val="32"/>
          <w:lang w:val="en-US" w:eastAsia="zh-CN" w:bidi="ar-SA"/>
        </w:rPr>
        <w:t>人大工作经费</w:t>
      </w:r>
      <w:r>
        <w:rPr>
          <w:rFonts w:hint="eastAsia" w:ascii="Times New Roman" w:hAnsi="Times New Roman" w:eastAsia="仿宋_GB2312" w:cs="Times New Roman"/>
          <w:kern w:val="2"/>
          <w:sz w:val="32"/>
          <w:szCs w:val="32"/>
          <w:lang w:val="zh-CN" w:eastAsia="zh-CN" w:bidi="ar-SA"/>
        </w:rPr>
        <w:t>预算执行达到了执行进度。</w:t>
      </w:r>
    </w:p>
    <w:p w14:paraId="2BA4623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2C8B8C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7276F22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项目管理。本项目支出均按照有关规章制度进行支付。</w:t>
      </w:r>
      <w:r>
        <w:rPr>
          <w:rFonts w:hint="eastAsia" w:ascii="Times New Roman" w:hAnsi="Times New Roman" w:eastAsia="仿宋_GB2312" w:cs="仿宋_GB2312"/>
          <w:b w:val="0"/>
          <w:bCs w:val="0"/>
          <w:kern w:val="0"/>
          <w:position w:val="0"/>
          <w:sz w:val="32"/>
          <w:szCs w:val="32"/>
          <w:highlight w:val="none"/>
          <w:lang w:val="en-US" w:eastAsia="zh-CN" w:bidi="ar-SA"/>
        </w:rPr>
        <w:t>人大工作</w:t>
      </w:r>
      <w:r>
        <w:rPr>
          <w:rFonts w:hint="eastAsia" w:ascii="Times New Roman" w:hAnsi="Times New Roman" w:eastAsia="仿宋_GB2312" w:cs="仿宋_GB2312"/>
          <w:b w:val="0"/>
          <w:bCs w:val="0"/>
          <w:kern w:val="0"/>
          <w:position w:val="0"/>
          <w:sz w:val="32"/>
          <w:szCs w:val="32"/>
          <w:highlight w:val="none"/>
          <w:lang w:val="zh-CN" w:eastAsia="zh-CN" w:bidi="ar-SA"/>
        </w:rPr>
        <w:t>经费使用由办公室为主管理，</w:t>
      </w:r>
      <w:r>
        <w:rPr>
          <w:rFonts w:hint="eastAsia" w:ascii="Times New Roman" w:hAnsi="Times New Roman" w:eastAsia="仿宋_GB2312" w:cs="仿宋_GB2312"/>
          <w:b w:val="0"/>
          <w:bCs w:val="0"/>
          <w:kern w:val="0"/>
          <w:position w:val="0"/>
          <w:sz w:val="32"/>
          <w:szCs w:val="32"/>
          <w:highlight w:val="none"/>
          <w:lang w:val="en-US" w:eastAsia="zh-CN" w:bidi="ar-SA"/>
        </w:rPr>
        <w:t>其他工委</w:t>
      </w:r>
      <w:r>
        <w:rPr>
          <w:rFonts w:hint="eastAsia" w:ascii="Times New Roman" w:hAnsi="Times New Roman" w:eastAsia="仿宋_GB2312" w:cs="仿宋_GB2312"/>
          <w:b w:val="0"/>
          <w:bCs w:val="0"/>
          <w:kern w:val="0"/>
          <w:position w:val="0"/>
          <w:sz w:val="32"/>
          <w:szCs w:val="32"/>
          <w:highlight w:val="none"/>
          <w:lang w:val="zh-CN" w:eastAsia="zh-CN" w:bidi="ar-SA"/>
        </w:rPr>
        <w:t>协助，并根据要求建立台账。</w:t>
      </w:r>
    </w:p>
    <w:p w14:paraId="58F9955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694309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072E140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Times New Roman"/>
          <w:kern w:val="2"/>
          <w:sz w:val="32"/>
          <w:szCs w:val="32"/>
          <w:lang w:val="zh-CN" w:eastAsia="zh-CN" w:bidi="ar-SA"/>
        </w:rPr>
        <w:t>根据</w:t>
      </w:r>
      <w:r>
        <w:rPr>
          <w:rFonts w:hint="eastAsia" w:ascii="Times New Roman" w:hAnsi="Times New Roman" w:eastAsia="仿宋_GB2312" w:cs="Times New Roman"/>
          <w:kern w:val="2"/>
          <w:sz w:val="32"/>
          <w:szCs w:val="32"/>
          <w:lang w:val="en-US" w:eastAsia="zh-CN" w:bidi="ar-SA"/>
        </w:rPr>
        <w:t>专项预算项目资金支持对象选择所属指标进行绩效分析。支持对象</w:t>
      </w:r>
      <w:r>
        <w:rPr>
          <w:rFonts w:hint="eastAsia" w:ascii="Times New Roman" w:hAnsi="Times New Roman" w:eastAsia="仿宋_GB2312" w:cs="Times New Roman"/>
          <w:kern w:val="2"/>
          <w:sz w:val="32"/>
          <w:szCs w:val="32"/>
          <w:lang w:val="zh-CN" w:eastAsia="zh-CN" w:bidi="ar-SA"/>
        </w:rPr>
        <w:t>包括产业发展、民</w:t>
      </w:r>
      <w:r>
        <w:rPr>
          <w:rFonts w:hint="eastAsia" w:ascii="Times New Roman" w:hAnsi="Times New Roman" w:eastAsia="仿宋_GB2312" w:cs="仿宋_GB2312"/>
          <w:b w:val="0"/>
          <w:bCs w:val="0"/>
          <w:kern w:val="0"/>
          <w:position w:val="0"/>
          <w:sz w:val="32"/>
          <w:szCs w:val="32"/>
          <w:highlight w:val="none"/>
          <w:lang w:val="zh-CN" w:eastAsia="zh-CN" w:bidi="ar-SA"/>
        </w:rPr>
        <w:t>生保障、基础设施、行政运转等方面。</w:t>
      </w:r>
    </w:p>
    <w:p w14:paraId="5EE9BA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0E7720D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3FBF48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0F46FD2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6CD5658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Times New Roman"/>
          <w:kern w:val="2"/>
          <w:sz w:val="32"/>
          <w:szCs w:val="32"/>
          <w:lang w:val="zh-CN" w:eastAsia="zh-CN" w:bidi="ar-SA"/>
        </w:rPr>
        <w:t>根据项目个性自行设定部分指标，反映该项指标执行完成情况。</w:t>
      </w:r>
    </w:p>
    <w:p w14:paraId="1DB826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黑体" w:cs="黑体"/>
          <w:b w:val="0"/>
          <w:bCs w:val="0"/>
          <w:kern w:val="0"/>
          <w:position w:val="0"/>
          <w:sz w:val="32"/>
          <w:szCs w:val="32"/>
          <w:highlight w:val="none"/>
          <w:lang w:val="en-US" w:eastAsia="zh-CN" w:bidi="ar-SA"/>
        </w:rPr>
      </w:pPr>
      <w:r>
        <w:rPr>
          <w:rFonts w:hint="eastAsia" w:ascii="Times New Roman" w:hAnsi="Times New Roman" w:eastAsia="黑体" w:cs="黑体"/>
          <w:b w:val="0"/>
          <w:bCs w:val="0"/>
          <w:kern w:val="0"/>
          <w:position w:val="0"/>
          <w:sz w:val="32"/>
          <w:szCs w:val="32"/>
          <w:highlight w:val="none"/>
          <w:lang w:val="en-US" w:eastAsia="zh-CN" w:bidi="ar-SA"/>
        </w:rPr>
        <w:t>四、评价结论</w:t>
      </w:r>
    </w:p>
    <w:p w14:paraId="29D6C78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本部门按照县级部门预算编制通知和有关要求，按时完成</w:t>
      </w:r>
      <w:r>
        <w:rPr>
          <w:rFonts w:hint="eastAsia" w:ascii="Times New Roman" w:hAnsi="Times New Roman" w:eastAsia="仿宋_GB2312" w:cs="Times New Roman"/>
          <w:kern w:val="2"/>
          <w:sz w:val="32"/>
          <w:szCs w:val="32"/>
          <w:lang w:val="en-US" w:eastAsia="zh-CN" w:bidi="ar-SA"/>
        </w:rPr>
        <w:t>调研考察工作，</w:t>
      </w:r>
      <w:r>
        <w:rPr>
          <w:rFonts w:hint="eastAsia" w:ascii="Times New Roman" w:hAnsi="Times New Roman" w:eastAsia="仿宋_GB2312" w:cs="Times New Roman"/>
          <w:kern w:val="2"/>
          <w:sz w:val="32"/>
          <w:szCs w:val="32"/>
          <w:lang w:val="zh-CN" w:eastAsia="zh-CN" w:bidi="ar-SA"/>
        </w:rPr>
        <w:t>本部门</w:t>
      </w:r>
      <w:r>
        <w:rPr>
          <w:rFonts w:hint="eastAsia" w:ascii="Times New Roman" w:hAnsi="Times New Roman" w:eastAsia="仿宋_GB2312" w:cs="Times New Roman"/>
          <w:kern w:val="2"/>
          <w:sz w:val="32"/>
          <w:szCs w:val="32"/>
          <w:lang w:val="en-US" w:eastAsia="zh-CN" w:bidi="ar-SA"/>
        </w:rPr>
        <w:t>2024年</w:t>
      </w:r>
      <w:r>
        <w:rPr>
          <w:rFonts w:hint="eastAsia" w:ascii="Times New Roman" w:hAnsi="Times New Roman" w:eastAsia="仿宋_GB2312" w:cs="Times New Roman"/>
          <w:kern w:val="2"/>
          <w:sz w:val="32"/>
          <w:szCs w:val="32"/>
          <w:lang w:val="zh-CN" w:eastAsia="zh-CN" w:bidi="ar-SA"/>
        </w:rPr>
        <w:t>的</w:t>
      </w:r>
      <w:r>
        <w:rPr>
          <w:rFonts w:hint="eastAsia" w:ascii="Times New Roman" w:hAnsi="Times New Roman" w:eastAsia="仿宋_GB2312" w:cs="Times New Roman"/>
          <w:kern w:val="2"/>
          <w:sz w:val="32"/>
          <w:szCs w:val="32"/>
          <w:lang w:val="en-US" w:eastAsia="zh-CN" w:bidi="ar-SA"/>
        </w:rPr>
        <w:t>人大工作经费</w:t>
      </w:r>
      <w:r>
        <w:rPr>
          <w:rFonts w:hint="eastAsia" w:ascii="Times New Roman" w:hAnsi="Times New Roman" w:eastAsia="仿宋_GB2312" w:cs="Times New Roman"/>
          <w:kern w:val="2"/>
          <w:sz w:val="32"/>
          <w:szCs w:val="32"/>
          <w:lang w:val="zh-CN" w:eastAsia="zh-CN" w:bidi="ar-SA"/>
        </w:rPr>
        <w:t>预算执行达到了执行进度；本单位的财务制度健全，制度执行严格，会计核算符合财政局的相关规定，资金达到了专款专用，开支标准合理、合法，</w:t>
      </w:r>
      <w:r>
        <w:rPr>
          <w:rFonts w:hint="eastAsia" w:ascii="Times New Roman" w:hAnsi="Times New Roman" w:eastAsia="仿宋_GB2312" w:cs="Times New Roman"/>
          <w:kern w:val="2"/>
          <w:sz w:val="32"/>
          <w:szCs w:val="32"/>
          <w:lang w:val="en-US" w:eastAsia="zh-CN" w:bidi="ar-SA"/>
        </w:rPr>
        <w:t>自评得分98分。</w:t>
      </w:r>
    </w:p>
    <w:p w14:paraId="05E55F1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78EB5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本单位无存在问题。</w:t>
      </w:r>
    </w:p>
    <w:p w14:paraId="13FE8EB8">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lang w:val="zh-CN" w:eastAsia="zh-CN" w:bidi="ar-SA"/>
        </w:rPr>
        <w:t>六、</w:t>
      </w:r>
      <w:r>
        <w:rPr>
          <w:rFonts w:hint="eastAsia" w:ascii="黑体" w:hAnsi="黑体" w:eastAsia="黑体" w:cs="黑体"/>
          <w:b w:val="0"/>
          <w:bCs w:val="0"/>
          <w:kern w:val="0"/>
          <w:position w:val="0"/>
          <w:sz w:val="32"/>
          <w:szCs w:val="32"/>
          <w:highlight w:val="none"/>
          <w:lang w:val="zh-CN" w:eastAsia="zh-CN" w:bidi="ar-SA"/>
        </w:rPr>
        <w:t>改进建议</w:t>
      </w:r>
    </w:p>
    <w:p w14:paraId="2E1913D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本单位暂时不存在改进建议。</w:t>
      </w:r>
    </w:p>
    <w:p w14:paraId="5A37E65F">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31DA0BAE">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6B41C0DD">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1812BF38">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6104E001">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1C1EDCAA">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1036A10C">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16F8E361">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21C74909">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619BCDFB">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0E472B57">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7CF14F2E">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32F61BE8">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1300E9F2">
      <w:pPr>
        <w:widowControl w:val="0"/>
        <w:spacing w:beforeLines="30"/>
        <w:jc w:val="both"/>
        <w:rPr>
          <w:rFonts w:hint="eastAsia" w:ascii="Times New Roman" w:hAnsi="Times New Roman" w:eastAsia="黑体" w:cs="黑体"/>
          <w:color w:val="auto"/>
          <w:kern w:val="0"/>
          <w:sz w:val="32"/>
          <w:szCs w:val="32"/>
          <w:highlight w:val="yellow"/>
          <w:shd w:val="clear" w:color="auto" w:fill="FFFFFF"/>
          <w:lang w:val="zh-CN" w:eastAsia="zh-CN" w:bidi="ar-SA"/>
        </w:rPr>
      </w:pPr>
    </w:p>
    <w:p w14:paraId="5F348532">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yellow"/>
          <w:lang w:val="en-US" w:eastAsia="zh-CN" w:bidi="ar-SA"/>
        </w:rPr>
      </w:pPr>
    </w:p>
    <w:p w14:paraId="12EA3116">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shd w:val="clear" w:color="auto" w:fill="auto"/>
          <w:lang w:val="en-US" w:eastAsia="zh-CN" w:bidi="ar-SA"/>
        </w:rPr>
      </w:pPr>
      <w:r>
        <w:rPr>
          <w:rFonts w:hint="eastAsia" w:ascii="Times New Roman" w:hAnsi="Times New Roman" w:eastAsia="方正小标宋简体" w:cs="方正小标宋简体"/>
          <w:color w:val="auto"/>
          <w:kern w:val="2"/>
          <w:sz w:val="44"/>
          <w:szCs w:val="44"/>
          <w:highlight w:val="none"/>
          <w:shd w:val="clear" w:color="auto" w:fill="auto"/>
          <w:lang w:val="en-US" w:eastAsia="zh-CN" w:bidi="ar-SA"/>
        </w:rPr>
        <w:t>专项预算项目绩效评价报告</w:t>
      </w:r>
    </w:p>
    <w:p w14:paraId="7F1EBD50">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 w:hAnsi="仿宋" w:eastAsia="仿宋" w:cs="仿宋"/>
          <w:color w:val="auto"/>
          <w:kern w:val="2"/>
          <w:sz w:val="32"/>
          <w:szCs w:val="32"/>
          <w:highlight w:val="none"/>
          <w:shd w:val="clear" w:color="auto" w:fill="auto"/>
          <w:lang w:val="en-US" w:eastAsia="zh-CN" w:bidi="ar-SA"/>
        </w:rPr>
      </w:pPr>
      <w:r>
        <w:rPr>
          <w:rFonts w:hint="eastAsia" w:ascii="仿宋" w:hAnsi="仿宋" w:eastAsia="仿宋" w:cs="仿宋"/>
          <w:color w:val="auto"/>
          <w:kern w:val="2"/>
          <w:sz w:val="32"/>
          <w:szCs w:val="32"/>
          <w:highlight w:val="none"/>
          <w:shd w:val="clear" w:color="auto" w:fill="auto"/>
          <w:lang w:val="en-US" w:eastAsia="zh-CN" w:bidi="ar-SA"/>
        </w:rPr>
        <w:t>（市人大代表经费）</w:t>
      </w:r>
    </w:p>
    <w:p w14:paraId="0F27A263">
      <w:pPr>
        <w:widowControl w:val="0"/>
        <w:snapToGrid w:val="0"/>
        <w:jc w:val="left"/>
        <w:rPr>
          <w:rFonts w:ascii="Times New Roman" w:hAnsi="Times New Roman" w:eastAsia="宋体" w:cs="Times New Roman"/>
          <w:color w:val="auto"/>
          <w:kern w:val="2"/>
          <w:sz w:val="18"/>
          <w:szCs w:val="18"/>
          <w:highlight w:val="none"/>
          <w:shd w:val="clear" w:color="auto" w:fill="auto"/>
          <w:lang w:val="en-US" w:eastAsia="zh-CN" w:bidi="ar-SA"/>
        </w:rPr>
      </w:pPr>
    </w:p>
    <w:p w14:paraId="4FF41E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color w:val="auto"/>
          <w:sz w:val="32"/>
          <w:szCs w:val="32"/>
          <w:highlight w:val="none"/>
          <w:shd w:val="clear" w:color="auto" w:fill="auto"/>
          <w:lang w:val="zh-CN"/>
        </w:rPr>
      </w:pPr>
      <w:r>
        <w:rPr>
          <w:rFonts w:hint="eastAsia" w:ascii="Times New Roman" w:hAnsi="Times New Roman" w:eastAsia="黑体"/>
          <w:color w:val="auto"/>
          <w:sz w:val="32"/>
          <w:szCs w:val="32"/>
          <w:highlight w:val="none"/>
          <w:shd w:val="clear" w:color="auto" w:fill="auto"/>
        </w:rPr>
        <w:t>一、</w:t>
      </w:r>
      <w:r>
        <w:rPr>
          <w:rFonts w:hint="eastAsia" w:ascii="Times New Roman" w:hAnsi="Times New Roman" w:eastAsia="黑体"/>
          <w:color w:val="auto"/>
          <w:sz w:val="32"/>
          <w:szCs w:val="32"/>
          <w:highlight w:val="none"/>
          <w:shd w:val="clear" w:color="auto" w:fill="auto"/>
          <w:lang w:val="zh-CN"/>
        </w:rPr>
        <w:t>项目概况</w:t>
      </w:r>
    </w:p>
    <w:p w14:paraId="1D9EE8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jc w:val="both"/>
        <w:rPr>
          <w:rFonts w:hint="default" w:ascii="Calibri" w:hAnsi="Calibri" w:eastAsia="宋体" w:cs="Calibri"/>
          <w:i w:val="0"/>
          <w:iCs w:val="0"/>
          <w:caps w:val="0"/>
          <w:color w:val="3A3A3A"/>
          <w:spacing w:val="0"/>
          <w:kern w:val="0"/>
          <w:sz w:val="32"/>
          <w:szCs w:val="32"/>
          <w:lang w:val="en-US" w:eastAsia="zh-CN" w:bidi="ar"/>
        </w:rPr>
      </w:pPr>
      <w:r>
        <w:rPr>
          <w:rFonts w:hint="eastAsia" w:ascii="Times New Roman" w:hAnsi="Times New Roman" w:eastAsia="楷体_GB2312" w:cs="Times New Roman"/>
          <w:b/>
          <w:color w:val="auto"/>
          <w:kern w:val="0"/>
          <w:sz w:val="32"/>
          <w:szCs w:val="32"/>
          <w:highlight w:val="none"/>
          <w:u w:val="none"/>
          <w:lang w:val="zh-CN" w:eastAsia="zh-CN" w:bidi="ar"/>
        </w:rPr>
        <w:t>（一）设立背景及基本情况。</w:t>
      </w:r>
      <w:r>
        <w:rPr>
          <w:rFonts w:hint="default" w:ascii="仿宋_GB2312" w:hAnsi="Calibri" w:eastAsia="仿宋_GB2312" w:cs="仿宋_GB2312"/>
          <w:i w:val="0"/>
          <w:iCs w:val="0"/>
          <w:caps w:val="0"/>
          <w:color w:val="3A3A3A"/>
          <w:spacing w:val="0"/>
          <w:kern w:val="0"/>
          <w:sz w:val="32"/>
          <w:szCs w:val="32"/>
          <w:shd w:val="clear" w:fill="FFFFFF"/>
          <w:lang w:val="en-US" w:eastAsia="zh-CN" w:bidi="ar"/>
        </w:rPr>
        <w:t>为支持和保障市人大代表依法履行代表职务，预算给予代表活动经费支持。人大代表活动经费包括出席</w:t>
      </w:r>
      <w:r>
        <w:rPr>
          <w:rFonts w:hint="eastAsia" w:ascii="仿宋_GB2312" w:hAnsi="Calibri" w:eastAsia="仿宋_GB2312" w:cs="仿宋_GB2312"/>
          <w:i w:val="0"/>
          <w:iCs w:val="0"/>
          <w:caps w:val="0"/>
          <w:color w:val="3A3A3A"/>
          <w:spacing w:val="0"/>
          <w:kern w:val="0"/>
          <w:sz w:val="32"/>
          <w:szCs w:val="32"/>
          <w:shd w:val="clear" w:fill="FFFFFF"/>
          <w:lang w:val="en-US" w:eastAsia="zh-CN" w:bidi="ar"/>
        </w:rPr>
        <w:t>市</w:t>
      </w:r>
      <w:r>
        <w:rPr>
          <w:rFonts w:hint="default" w:ascii="仿宋_GB2312" w:hAnsi="Calibri" w:eastAsia="仿宋_GB2312" w:cs="仿宋_GB2312"/>
          <w:i w:val="0"/>
          <w:iCs w:val="0"/>
          <w:caps w:val="0"/>
          <w:color w:val="3A3A3A"/>
          <w:spacing w:val="0"/>
          <w:kern w:val="0"/>
          <w:sz w:val="32"/>
          <w:szCs w:val="32"/>
          <w:shd w:val="clear" w:fill="FFFFFF"/>
          <w:lang w:val="en-US" w:eastAsia="zh-CN" w:bidi="ar"/>
        </w:rPr>
        <w:t>人大会议费用，代表开展集中视察和专题调研，代表建议办理督办等市人民代表大会闭会期间代表履职活动的费用，包含活动直接发生的各项费用和代表联系人民群众、听取和反映原选区选民和人民群众的意见所发生的通讯、交通等费用的补贴，参加代表议案审议和建议办理工作调研、座谈等活动的差旅费等，年度预算</w:t>
      </w:r>
      <w:r>
        <w:rPr>
          <w:rFonts w:hint="eastAsia" w:ascii="仿宋_GB2312" w:hAnsi="Calibri" w:eastAsia="仿宋_GB2312" w:cs="仿宋_GB2312"/>
          <w:i w:val="0"/>
          <w:iCs w:val="0"/>
          <w:caps w:val="0"/>
          <w:color w:val="3A3A3A"/>
          <w:spacing w:val="0"/>
          <w:kern w:val="0"/>
          <w:sz w:val="32"/>
          <w:szCs w:val="32"/>
          <w:shd w:val="clear" w:fill="FFFFFF"/>
          <w:lang w:val="en-US" w:eastAsia="zh-CN" w:bidi="ar"/>
        </w:rPr>
        <w:t>2.46</w:t>
      </w:r>
      <w:r>
        <w:rPr>
          <w:rFonts w:hint="default" w:ascii="仿宋_GB2312" w:hAnsi="Calibri" w:eastAsia="仿宋_GB2312" w:cs="仿宋_GB2312"/>
          <w:i w:val="0"/>
          <w:iCs w:val="0"/>
          <w:caps w:val="0"/>
          <w:color w:val="3A3A3A"/>
          <w:spacing w:val="0"/>
          <w:kern w:val="0"/>
          <w:sz w:val="32"/>
          <w:szCs w:val="32"/>
          <w:shd w:val="clear" w:fill="FFFFFF"/>
          <w:lang w:val="en-US" w:eastAsia="zh-CN" w:bidi="ar"/>
        </w:rPr>
        <w:t>万元。</w:t>
      </w:r>
    </w:p>
    <w:p w14:paraId="3B3C4116">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eastAsia="楷体_GB2312" w:cs="Times New Roman"/>
          <w:b/>
          <w:color w:val="auto"/>
          <w:sz w:val="32"/>
          <w:szCs w:val="32"/>
          <w:highlight w:val="none"/>
          <w:u w:val="none"/>
          <w:lang w:val="en-US" w:eastAsia="zh-CN"/>
        </w:rPr>
        <w:t>。</w:t>
      </w:r>
      <w:r>
        <w:rPr>
          <w:rFonts w:hint="default" w:ascii="仿宋_GB2312" w:hAnsi="Calibri" w:eastAsia="仿宋_GB2312" w:cs="仿宋_GB2312"/>
          <w:i w:val="0"/>
          <w:iCs w:val="0"/>
          <w:caps w:val="0"/>
          <w:color w:val="3A3A3A"/>
          <w:spacing w:val="0"/>
          <w:sz w:val="32"/>
          <w:szCs w:val="32"/>
          <w:shd w:val="clear" w:fill="FFFFFF"/>
        </w:rPr>
        <w:t>出席</w:t>
      </w:r>
      <w:r>
        <w:rPr>
          <w:rFonts w:hint="eastAsia" w:ascii="仿宋_GB2312" w:hAnsi="Calibri" w:eastAsia="仿宋_GB2312" w:cs="仿宋_GB2312"/>
          <w:i w:val="0"/>
          <w:iCs w:val="0"/>
          <w:caps w:val="0"/>
          <w:color w:val="3A3A3A"/>
          <w:spacing w:val="0"/>
          <w:sz w:val="32"/>
          <w:szCs w:val="32"/>
          <w:shd w:val="clear" w:fill="FFFFFF"/>
          <w:lang w:val="en-US" w:eastAsia="zh-CN"/>
        </w:rPr>
        <w:t>市</w:t>
      </w:r>
      <w:r>
        <w:rPr>
          <w:rFonts w:hint="default" w:ascii="仿宋_GB2312" w:hAnsi="Calibri" w:eastAsia="仿宋_GB2312" w:cs="仿宋_GB2312"/>
          <w:i w:val="0"/>
          <w:iCs w:val="0"/>
          <w:caps w:val="0"/>
          <w:color w:val="3A3A3A"/>
          <w:spacing w:val="0"/>
          <w:sz w:val="32"/>
          <w:szCs w:val="32"/>
          <w:shd w:val="clear" w:fill="FFFFFF"/>
        </w:rPr>
        <w:t>人大会议费用，代表开展集中视察和专题调研，代表建议办理督办等市人民代表大会闭会期间代表履职活动的费用</w:t>
      </w:r>
      <w:r>
        <w:rPr>
          <w:rFonts w:hint="eastAsia" w:ascii="仿宋_GB2312" w:hAnsi="Calibri" w:eastAsia="仿宋_GB2312" w:cs="仿宋_GB2312"/>
          <w:i w:val="0"/>
          <w:iCs w:val="0"/>
          <w:caps w:val="0"/>
          <w:color w:val="3A3A3A"/>
          <w:spacing w:val="0"/>
          <w:sz w:val="32"/>
          <w:szCs w:val="32"/>
          <w:shd w:val="clear" w:fill="FFFFFF"/>
          <w:lang w:eastAsia="zh-CN"/>
        </w:rPr>
        <w:t>。</w:t>
      </w:r>
    </w:p>
    <w:p w14:paraId="63653F0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default" w:ascii="仿宋_GB2312" w:hAnsi="Calibri" w:eastAsia="仿宋_GB2312" w:cs="仿宋_GB2312"/>
          <w:i w:val="0"/>
          <w:iCs w:val="0"/>
          <w:caps w:val="0"/>
          <w:color w:val="3A3A3A"/>
          <w:spacing w:val="0"/>
          <w:sz w:val="32"/>
          <w:szCs w:val="32"/>
          <w:shd w:val="clear" w:fill="FFFFFF"/>
        </w:rPr>
        <w:t>包含活动直接发生的各项费用和代表联系人民群众、听取和反映原选区选民和人民群众的意见所发生的通讯、交通等费用的补贴，参加代表议案审议和建议办理工作调研、座谈等活动的差旅费等</w:t>
      </w:r>
      <w:r>
        <w:rPr>
          <w:rFonts w:hint="eastAsia" w:eastAsia="仿宋_GB2312" w:cs="仿宋_GB2312"/>
          <w:b w:val="0"/>
          <w:bCs w:val="0"/>
          <w:kern w:val="0"/>
          <w:position w:val="0"/>
          <w:sz w:val="32"/>
          <w:szCs w:val="32"/>
          <w:highlight w:val="none"/>
          <w:lang w:val="zh-CN" w:eastAsia="zh-CN" w:bidi="ar-SA"/>
        </w:rPr>
        <w:t>。</w:t>
      </w:r>
    </w:p>
    <w:p w14:paraId="684BDF8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项目整体、区域和具体绩效目标设置情况，项目自评工作开展</w:t>
      </w:r>
      <w:r>
        <w:rPr>
          <w:rFonts w:hint="eastAsia" w:eastAsia="仿宋_GB2312" w:cs="仿宋_GB2312"/>
          <w:b w:val="0"/>
          <w:bCs w:val="0"/>
          <w:kern w:val="0"/>
          <w:position w:val="0"/>
          <w:sz w:val="32"/>
          <w:szCs w:val="32"/>
          <w:highlight w:val="none"/>
          <w:lang w:val="en-US" w:eastAsia="zh-CN" w:bidi="ar-SA"/>
        </w:rPr>
        <w:t>完成</w:t>
      </w:r>
      <w:r>
        <w:rPr>
          <w:rFonts w:hint="eastAsia" w:ascii="Times New Roman" w:hAnsi="Times New Roman" w:eastAsia="仿宋_GB2312" w:cs="仿宋_GB2312"/>
          <w:b w:val="0"/>
          <w:bCs w:val="0"/>
          <w:kern w:val="0"/>
          <w:position w:val="0"/>
          <w:sz w:val="32"/>
          <w:szCs w:val="32"/>
          <w:highlight w:val="none"/>
          <w:lang w:val="zh-CN" w:eastAsia="zh-CN" w:bidi="ar-SA"/>
        </w:rPr>
        <w:t>。</w:t>
      </w:r>
    </w:p>
    <w:p w14:paraId="304270D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F611C8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通过项目绩效自评要</w:t>
      </w:r>
      <w:r>
        <w:rPr>
          <w:rFonts w:hint="eastAsia" w:eastAsia="仿宋_GB2312" w:cs="仿宋_GB2312"/>
          <w:b w:val="0"/>
          <w:bCs w:val="0"/>
          <w:kern w:val="0"/>
          <w:position w:val="0"/>
          <w:sz w:val="32"/>
          <w:szCs w:val="32"/>
          <w:highlight w:val="none"/>
          <w:lang w:val="en-US" w:eastAsia="zh-CN" w:bidi="ar-SA"/>
        </w:rPr>
        <w:t>完成所有预定目标</w:t>
      </w:r>
      <w:r>
        <w:rPr>
          <w:rFonts w:hint="eastAsia" w:ascii="Times New Roman" w:hAnsi="Times New Roman" w:eastAsia="仿宋_GB2312" w:cs="仿宋_GB2312"/>
          <w:b w:val="0"/>
          <w:bCs w:val="0"/>
          <w:kern w:val="0"/>
          <w:position w:val="0"/>
          <w:sz w:val="32"/>
          <w:szCs w:val="32"/>
          <w:highlight w:val="none"/>
          <w:lang w:val="zh-CN" w:eastAsia="zh-CN" w:bidi="ar-SA"/>
        </w:rPr>
        <w:t>。</w:t>
      </w:r>
    </w:p>
    <w:p w14:paraId="0F70E6E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w:t>
      </w:r>
      <w:r>
        <w:rPr>
          <w:rFonts w:hint="eastAsia" w:eastAsia="仿宋_GB2312" w:cs="仿宋_GB2312"/>
          <w:b w:val="0"/>
          <w:bCs w:val="0"/>
          <w:kern w:val="0"/>
          <w:position w:val="0"/>
          <w:sz w:val="32"/>
          <w:szCs w:val="32"/>
          <w:highlight w:val="none"/>
          <w:lang w:val="en-US" w:eastAsia="zh-CN" w:bidi="ar-SA"/>
        </w:rPr>
        <w:t>满意度为99%</w:t>
      </w:r>
      <w:r>
        <w:rPr>
          <w:rFonts w:hint="eastAsia" w:ascii="Times New Roman" w:hAnsi="Times New Roman" w:eastAsia="仿宋_GB2312" w:cs="仿宋_GB2312"/>
          <w:b w:val="0"/>
          <w:bCs w:val="0"/>
          <w:kern w:val="0"/>
          <w:position w:val="0"/>
          <w:sz w:val="32"/>
          <w:szCs w:val="32"/>
          <w:highlight w:val="none"/>
          <w:lang w:val="zh-CN" w:eastAsia="zh-CN" w:bidi="ar-SA"/>
        </w:rPr>
        <w:t>。</w:t>
      </w:r>
    </w:p>
    <w:p w14:paraId="4E63874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每个专项预算项目应选取专项资金分配点位进行实地踏勘，且点位清单应作为自评附表。</w:t>
      </w:r>
    </w:p>
    <w:p w14:paraId="286018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w:t>
      </w:r>
      <w:r>
        <w:rPr>
          <w:rFonts w:hint="eastAsia" w:eastAsia="仿宋_GB2312" w:cs="仿宋_GB2312"/>
          <w:b w:val="0"/>
          <w:bCs w:val="0"/>
          <w:kern w:val="0"/>
          <w:position w:val="0"/>
          <w:sz w:val="32"/>
          <w:szCs w:val="32"/>
          <w:highlight w:val="none"/>
          <w:lang w:val="zh-CN" w:eastAsia="zh-CN" w:bidi="ar-SA"/>
        </w:rPr>
        <w:t>用于</w:t>
      </w:r>
      <w:r>
        <w:rPr>
          <w:rFonts w:hint="eastAsia" w:ascii="Times New Roman" w:hAnsi="Times New Roman" w:eastAsia="仿宋_GB2312" w:cs="仿宋_GB2312"/>
          <w:b w:val="0"/>
          <w:bCs w:val="0"/>
          <w:kern w:val="0"/>
          <w:position w:val="0"/>
          <w:sz w:val="32"/>
          <w:szCs w:val="32"/>
          <w:highlight w:val="none"/>
          <w:lang w:val="zh-CN" w:eastAsia="zh-CN" w:bidi="ar-SA"/>
        </w:rPr>
        <w:t>收集相关材料和开展具体评价的方法。包括：采用成本效益分析法、标杆管理法、案卷研究法、单位自评法、实地勘察法、问卷调查法、座谈调研法等多种方法。</w:t>
      </w:r>
    </w:p>
    <w:p w14:paraId="1A34FE0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评价组人员构成和职责分工。</w:t>
      </w:r>
    </w:p>
    <w:p w14:paraId="4ACAA71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宋体"/>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eastAsia="宋体"/>
          <w:color w:val="auto"/>
          <w:sz w:val="32"/>
          <w:szCs w:val="32"/>
          <w:highlight w:val="none"/>
          <w:u w:val="none"/>
          <w:lang w:val="zh-CN"/>
        </w:rPr>
        <w:tab/>
      </w:r>
    </w:p>
    <w:p w14:paraId="768F5F1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79A5DBE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964F2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519197D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47E83B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5811AF7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6116E57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6E2BB3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52FBA82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25CBF3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38ED533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310C256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15D7E0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FB0F2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根据《峨边彝族自治县财政局关于开展2024年部门整体项目和政策支出绩效评价工作的通知》等文件精神，自治县人大办认真组织开展绩效评价工作，市人大工作经费评价分：99分。</w:t>
      </w:r>
    </w:p>
    <w:p w14:paraId="2B9C269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7C49CE7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部分领导和工作人员对财政支出绩效评价工作重要性认识不足。</w:t>
      </w:r>
    </w:p>
    <w:p w14:paraId="5049B9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DB50BC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1.细化预算编制，加强预算管理，科学规划增强预算编制精确度，提高财政资金使用效率，加强内部预算编制审核，提高预算执行控制。</w:t>
      </w:r>
    </w:p>
    <w:p w14:paraId="086464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2.加强财务工作培训，规范财务收支核算，严格执行预算，规范决算编制。落实预算执行分析，定期及时了解预算执行差异，合理调整纠正预算执行偏差，切实提高部门预算收支管理水平。</w:t>
      </w:r>
    </w:p>
    <w:p w14:paraId="1B08D0F7">
      <w:pPr>
        <w:pStyle w:val="2"/>
        <w:rPr>
          <w:rFonts w:hint="eastAsia"/>
          <w:lang w:val="zh-CN" w:eastAsia="zh-CN"/>
        </w:rPr>
      </w:pPr>
    </w:p>
    <w:p w14:paraId="1A3116DE">
      <w:pPr>
        <w:pStyle w:val="5"/>
        <w:bidi w:val="0"/>
        <w:jc w:val="center"/>
        <w:rPr>
          <w:rFonts w:hint="eastAsia" w:ascii="黑体" w:hAnsi="黑体" w:eastAsia="黑体" w:cs="黑体"/>
          <w:b w:val="0"/>
          <w:bCs w:val="0"/>
        </w:rPr>
      </w:pPr>
      <w:r>
        <w:rPr>
          <w:rFonts w:hint="eastAsia" w:ascii="黑体" w:hAnsi="黑体" w:eastAsia="黑体" w:cs="黑体"/>
          <w:b w:val="0"/>
          <w:bCs w:val="0"/>
        </w:rPr>
        <w:t>第五部分 附表</w:t>
      </w:r>
      <w:bookmarkEnd w:id="85"/>
    </w:p>
    <w:p w14:paraId="4DEBC1B8">
      <w:pPr>
        <w:pStyle w:val="6"/>
        <w:bidi w:val="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一、收入支出决算总表</w:t>
      </w:r>
      <w:bookmarkEnd w:id="86"/>
    </w:p>
    <w:p w14:paraId="60F33641">
      <w:pPr>
        <w:pStyle w:val="6"/>
        <w:bidi w:val="0"/>
        <w:rPr>
          <w:rFonts w:hint="eastAsia" w:ascii="Times New Roman" w:hAnsi="Times New Roman" w:eastAsia="仿宋_GB2312" w:cs="仿宋_GB2312"/>
          <w:b w:val="0"/>
          <w:bCs w:val="0"/>
          <w:sz w:val="32"/>
          <w:szCs w:val="32"/>
        </w:rPr>
      </w:pPr>
      <w:bookmarkStart w:id="87" w:name="_Toc15177"/>
      <w:bookmarkStart w:id="88" w:name="_Toc15396620"/>
      <w:r>
        <w:rPr>
          <w:rFonts w:hint="eastAsia" w:ascii="Times New Roman" w:hAnsi="Times New Roman" w:eastAsia="仿宋_GB2312" w:cs="仿宋_GB2312"/>
          <w:b w:val="0"/>
          <w:bCs w:val="0"/>
          <w:sz w:val="32"/>
          <w:szCs w:val="32"/>
        </w:rPr>
        <w:t>二、收入决算表</w:t>
      </w:r>
      <w:bookmarkEnd w:id="87"/>
      <w:bookmarkEnd w:id="88"/>
    </w:p>
    <w:p w14:paraId="048EF488">
      <w:pPr>
        <w:pStyle w:val="6"/>
        <w:bidi w:val="0"/>
        <w:rPr>
          <w:rFonts w:hint="eastAsia" w:ascii="Times New Roman" w:hAnsi="Times New Roman" w:eastAsia="仿宋_GB2312" w:cs="仿宋_GB2312"/>
          <w:b w:val="0"/>
          <w:bCs w:val="0"/>
          <w:sz w:val="32"/>
          <w:szCs w:val="32"/>
        </w:rPr>
      </w:pPr>
      <w:bookmarkStart w:id="89" w:name="_Toc24567"/>
      <w:bookmarkStart w:id="90" w:name="_Toc15396621"/>
      <w:r>
        <w:rPr>
          <w:rFonts w:hint="eastAsia" w:ascii="Times New Roman" w:hAnsi="Times New Roman" w:eastAsia="仿宋_GB2312" w:cs="仿宋_GB2312"/>
          <w:b w:val="0"/>
          <w:bCs w:val="0"/>
          <w:sz w:val="32"/>
          <w:szCs w:val="32"/>
        </w:rPr>
        <w:t>三、支出决算表</w:t>
      </w:r>
      <w:bookmarkEnd w:id="89"/>
      <w:bookmarkEnd w:id="90"/>
    </w:p>
    <w:p w14:paraId="426744C6">
      <w:pPr>
        <w:pStyle w:val="6"/>
        <w:bidi w:val="0"/>
        <w:rPr>
          <w:rFonts w:hint="eastAsia" w:ascii="Times New Roman" w:hAnsi="Times New Roman" w:eastAsia="仿宋_GB2312" w:cs="仿宋_GB2312"/>
          <w:b w:val="0"/>
          <w:bCs w:val="0"/>
          <w:sz w:val="32"/>
          <w:szCs w:val="32"/>
        </w:rPr>
      </w:pPr>
      <w:bookmarkStart w:id="91" w:name="_Toc6444"/>
      <w:bookmarkStart w:id="92" w:name="_Toc15396622"/>
      <w:r>
        <w:rPr>
          <w:rFonts w:hint="eastAsia" w:ascii="Times New Roman" w:hAnsi="Times New Roman" w:eastAsia="仿宋_GB2312" w:cs="仿宋_GB2312"/>
          <w:b w:val="0"/>
          <w:bCs w:val="0"/>
          <w:sz w:val="32"/>
          <w:szCs w:val="32"/>
        </w:rPr>
        <w:t>四、财政拨款收入支出决算总表</w:t>
      </w:r>
      <w:bookmarkEnd w:id="91"/>
      <w:bookmarkEnd w:id="92"/>
    </w:p>
    <w:p w14:paraId="11BB6AA7">
      <w:pPr>
        <w:pStyle w:val="6"/>
        <w:bidi w:val="0"/>
        <w:rPr>
          <w:rFonts w:hint="eastAsia" w:ascii="Times New Roman" w:hAnsi="Times New Roman" w:eastAsia="仿宋_GB2312" w:cs="仿宋_GB2312"/>
          <w:b w:val="0"/>
          <w:bCs w:val="0"/>
          <w:sz w:val="32"/>
          <w:szCs w:val="32"/>
        </w:rPr>
      </w:pPr>
      <w:bookmarkStart w:id="93" w:name="_Toc15396623"/>
      <w:bookmarkStart w:id="94" w:name="_Toc9219"/>
      <w:r>
        <w:rPr>
          <w:rFonts w:hint="eastAsia" w:ascii="Times New Roman" w:hAnsi="Times New Roman" w:eastAsia="仿宋_GB2312" w:cs="仿宋_GB2312"/>
          <w:b w:val="0"/>
          <w:bCs w:val="0"/>
          <w:sz w:val="32"/>
          <w:szCs w:val="32"/>
        </w:rPr>
        <w:t>五、财政拨款支出决算明细表</w:t>
      </w:r>
      <w:bookmarkEnd w:id="93"/>
      <w:bookmarkEnd w:id="94"/>
      <w:bookmarkStart w:id="95" w:name="_Toc15396624"/>
    </w:p>
    <w:p w14:paraId="17CE0152">
      <w:pPr>
        <w:pStyle w:val="6"/>
        <w:bidi w:val="0"/>
        <w:rPr>
          <w:rFonts w:hint="eastAsia" w:ascii="Times New Roman" w:hAnsi="Times New Roman" w:eastAsia="仿宋_GB2312" w:cs="仿宋_GB2312"/>
          <w:b w:val="0"/>
          <w:bCs w:val="0"/>
          <w:sz w:val="32"/>
          <w:szCs w:val="32"/>
        </w:rPr>
      </w:pPr>
      <w:bookmarkStart w:id="96" w:name="_Toc7046"/>
      <w:r>
        <w:rPr>
          <w:rFonts w:hint="eastAsia" w:ascii="Times New Roman" w:hAnsi="Times New Roman" w:eastAsia="仿宋_GB2312" w:cs="仿宋_GB2312"/>
          <w:b w:val="0"/>
          <w:bCs w:val="0"/>
          <w:sz w:val="32"/>
          <w:szCs w:val="32"/>
        </w:rPr>
        <w:t>六、一般公共预算财政拨款支出决算表</w:t>
      </w:r>
      <w:bookmarkEnd w:id="95"/>
      <w:bookmarkEnd w:id="96"/>
    </w:p>
    <w:p w14:paraId="259B6852">
      <w:pPr>
        <w:pStyle w:val="6"/>
        <w:bidi w:val="0"/>
        <w:rPr>
          <w:rFonts w:hint="eastAsia" w:ascii="Times New Roman" w:hAnsi="Times New Roman" w:eastAsia="仿宋_GB2312" w:cs="仿宋_GB2312"/>
          <w:b w:val="0"/>
          <w:bCs w:val="0"/>
          <w:sz w:val="32"/>
          <w:szCs w:val="32"/>
        </w:rPr>
      </w:pPr>
      <w:bookmarkStart w:id="97" w:name="_Toc15396625"/>
      <w:bookmarkStart w:id="98" w:name="_Toc31384"/>
      <w:r>
        <w:rPr>
          <w:rFonts w:hint="eastAsia" w:ascii="Times New Roman" w:hAnsi="Times New Roman" w:eastAsia="仿宋_GB2312" w:cs="仿宋_GB2312"/>
          <w:b w:val="0"/>
          <w:bCs w:val="0"/>
          <w:sz w:val="32"/>
          <w:szCs w:val="32"/>
        </w:rPr>
        <w:t>七、一般公共预算财政拨款支出决算明细表</w:t>
      </w:r>
      <w:bookmarkEnd w:id="97"/>
      <w:bookmarkEnd w:id="98"/>
    </w:p>
    <w:p w14:paraId="71DB631A">
      <w:pPr>
        <w:pStyle w:val="6"/>
        <w:bidi w:val="0"/>
        <w:rPr>
          <w:rFonts w:hint="eastAsia" w:ascii="Times New Roman" w:hAnsi="Times New Roman" w:eastAsia="仿宋_GB2312" w:cs="仿宋_GB2312"/>
          <w:b w:val="0"/>
          <w:bCs w:val="0"/>
          <w:sz w:val="32"/>
          <w:szCs w:val="32"/>
        </w:rPr>
      </w:pPr>
      <w:bookmarkStart w:id="99" w:name="_Toc9094"/>
      <w:bookmarkStart w:id="100" w:name="_Toc15396626"/>
      <w:r>
        <w:rPr>
          <w:rFonts w:hint="eastAsia" w:ascii="Times New Roman" w:hAnsi="Times New Roman" w:eastAsia="仿宋_GB2312" w:cs="仿宋_GB2312"/>
          <w:b w:val="0"/>
          <w:bCs w:val="0"/>
          <w:sz w:val="32"/>
          <w:szCs w:val="32"/>
        </w:rPr>
        <w:t>八、一般公共预算财政拨款基本支出决算表</w:t>
      </w:r>
      <w:bookmarkEnd w:id="99"/>
      <w:bookmarkEnd w:id="100"/>
    </w:p>
    <w:p w14:paraId="5E404D5D">
      <w:pPr>
        <w:pStyle w:val="6"/>
        <w:bidi w:val="0"/>
        <w:rPr>
          <w:rFonts w:hint="eastAsia" w:ascii="Times New Roman" w:hAnsi="Times New Roman" w:eastAsia="仿宋_GB2312" w:cs="仿宋_GB2312"/>
          <w:b w:val="0"/>
          <w:bCs w:val="0"/>
          <w:sz w:val="32"/>
          <w:szCs w:val="32"/>
        </w:rPr>
      </w:pPr>
      <w:bookmarkStart w:id="101" w:name="_Toc20860"/>
      <w:bookmarkStart w:id="102" w:name="_Toc15396627"/>
      <w:r>
        <w:rPr>
          <w:rFonts w:hint="eastAsia" w:ascii="Times New Roman" w:hAnsi="Times New Roman" w:eastAsia="仿宋_GB2312" w:cs="仿宋_GB2312"/>
          <w:b w:val="0"/>
          <w:bCs w:val="0"/>
          <w:sz w:val="32"/>
          <w:szCs w:val="32"/>
        </w:rPr>
        <w:t>九、一般公共预算财政拨款项目支出决算表</w:t>
      </w:r>
      <w:bookmarkEnd w:id="101"/>
      <w:bookmarkEnd w:id="102"/>
    </w:p>
    <w:p w14:paraId="7A0BDF54">
      <w:pPr>
        <w:pStyle w:val="6"/>
        <w:bidi w:val="0"/>
        <w:rPr>
          <w:rFonts w:hint="eastAsia" w:ascii="Times New Roman" w:hAnsi="Times New Roman" w:eastAsia="仿宋_GB2312" w:cs="仿宋_GB2312"/>
          <w:b w:val="0"/>
          <w:bCs w:val="0"/>
          <w:sz w:val="32"/>
          <w:szCs w:val="32"/>
        </w:rPr>
      </w:pPr>
      <w:bookmarkStart w:id="103" w:name="_Toc15396628"/>
      <w:bookmarkStart w:id="104" w:name="_Toc7111"/>
      <w:r>
        <w:rPr>
          <w:rFonts w:hint="eastAsia" w:ascii="Times New Roman" w:hAnsi="Times New Roman" w:eastAsia="仿宋_GB2312" w:cs="仿宋_GB2312"/>
          <w:b w:val="0"/>
          <w:bCs w:val="0"/>
          <w:sz w:val="32"/>
          <w:szCs w:val="32"/>
        </w:rPr>
        <w:t>十、</w:t>
      </w:r>
      <w:bookmarkEnd w:id="103"/>
      <w:r>
        <w:rPr>
          <w:rFonts w:hint="eastAsia" w:ascii="Times New Roman" w:hAnsi="Times New Roman" w:eastAsia="仿宋_GB2312" w:cs="仿宋_GB2312"/>
          <w:b w:val="0"/>
          <w:bCs w:val="0"/>
          <w:sz w:val="32"/>
          <w:szCs w:val="32"/>
        </w:rPr>
        <w:t>政府性基金预算财政拨款收入支出决算表</w:t>
      </w:r>
      <w:bookmarkEnd w:id="104"/>
    </w:p>
    <w:p w14:paraId="03F457DF">
      <w:pPr>
        <w:pStyle w:val="6"/>
        <w:bidi w:val="0"/>
        <w:rPr>
          <w:rFonts w:hint="eastAsia" w:ascii="Times New Roman" w:hAnsi="Times New Roman" w:eastAsia="仿宋_GB2312" w:cs="仿宋_GB2312"/>
          <w:b w:val="0"/>
          <w:bCs w:val="0"/>
          <w:sz w:val="32"/>
          <w:szCs w:val="32"/>
        </w:rPr>
      </w:pPr>
      <w:bookmarkStart w:id="105" w:name="_Toc15396629"/>
      <w:bookmarkStart w:id="106" w:name="_Toc5392"/>
      <w:r>
        <w:rPr>
          <w:rFonts w:hint="eastAsia" w:ascii="Times New Roman" w:hAnsi="Times New Roman" w:eastAsia="仿宋_GB2312" w:cs="仿宋_GB2312"/>
          <w:b w:val="0"/>
          <w:bCs w:val="0"/>
          <w:sz w:val="32"/>
          <w:szCs w:val="32"/>
        </w:rPr>
        <w:t>十一、</w:t>
      </w:r>
      <w:bookmarkEnd w:id="105"/>
      <w:r>
        <w:rPr>
          <w:rFonts w:hint="eastAsia" w:ascii="Times New Roman" w:hAnsi="Times New Roman" w:eastAsia="仿宋_GB2312" w:cs="仿宋_GB2312"/>
          <w:b w:val="0"/>
          <w:bCs w:val="0"/>
          <w:sz w:val="32"/>
          <w:szCs w:val="32"/>
        </w:rPr>
        <w:t>国有资本经营预算</w:t>
      </w:r>
      <w:r>
        <w:rPr>
          <w:rFonts w:hint="eastAsia" w:ascii="Times New Roman" w:hAnsi="Times New Roman" w:eastAsia="仿宋_GB2312" w:cs="仿宋_GB2312"/>
          <w:b w:val="0"/>
          <w:bCs w:val="0"/>
          <w:sz w:val="32"/>
          <w:szCs w:val="32"/>
          <w:lang w:eastAsia="zh-CN"/>
        </w:rPr>
        <w:t>财政拨款收入</w:t>
      </w:r>
      <w:r>
        <w:rPr>
          <w:rFonts w:hint="eastAsia" w:ascii="Times New Roman" w:hAnsi="Times New Roman" w:eastAsia="仿宋_GB2312" w:cs="仿宋_GB2312"/>
          <w:b w:val="0"/>
          <w:bCs w:val="0"/>
          <w:sz w:val="32"/>
          <w:szCs w:val="32"/>
        </w:rPr>
        <w:t>支出决算表</w:t>
      </w:r>
      <w:bookmarkEnd w:id="106"/>
    </w:p>
    <w:p w14:paraId="08402A77">
      <w:pPr>
        <w:pStyle w:val="6"/>
        <w:bidi w:val="0"/>
        <w:rPr>
          <w:rFonts w:hint="eastAsia" w:ascii="Times New Roman" w:hAnsi="Times New Roman" w:eastAsia="仿宋_GB2312" w:cs="仿宋_GB2312"/>
          <w:b w:val="0"/>
          <w:bCs w:val="0"/>
          <w:sz w:val="32"/>
          <w:szCs w:val="32"/>
        </w:rPr>
      </w:pPr>
      <w:bookmarkStart w:id="107" w:name="_Toc15396630"/>
      <w:bookmarkStart w:id="108" w:name="_Toc25260"/>
      <w:r>
        <w:rPr>
          <w:rFonts w:hint="eastAsia" w:ascii="Times New Roman" w:hAnsi="Times New Roman" w:eastAsia="仿宋_GB2312" w:cs="仿宋_GB2312"/>
          <w:b w:val="0"/>
          <w:bCs w:val="0"/>
          <w:sz w:val="32"/>
          <w:szCs w:val="32"/>
        </w:rPr>
        <w:t>十二、</w:t>
      </w:r>
      <w:bookmarkEnd w:id="107"/>
      <w:r>
        <w:rPr>
          <w:rFonts w:hint="eastAsia" w:ascii="Times New Roman" w:hAnsi="Times New Roman" w:eastAsia="仿宋_GB2312" w:cs="仿宋_GB2312"/>
          <w:b w:val="0"/>
          <w:bCs w:val="0"/>
          <w:sz w:val="32"/>
          <w:szCs w:val="32"/>
          <w:lang w:eastAsia="zh-CN"/>
        </w:rPr>
        <w:t>国有资本经营预算财政拨款支出决算表</w:t>
      </w:r>
      <w:bookmarkEnd w:id="108"/>
    </w:p>
    <w:p w14:paraId="28FF9E39">
      <w:pPr>
        <w:pStyle w:val="6"/>
        <w:bidi w:val="0"/>
        <w:rPr>
          <w:rFonts w:hint="eastAsia" w:ascii="Times New Roman" w:hAnsi="Times New Roman" w:eastAsia="仿宋_GB2312" w:cs="仿宋_GB2312"/>
          <w:b w:val="0"/>
          <w:bCs w:val="0"/>
          <w:sz w:val="32"/>
          <w:szCs w:val="32"/>
          <w:lang w:eastAsia="zh-CN"/>
        </w:rPr>
      </w:pPr>
      <w:bookmarkStart w:id="109" w:name="_Toc15396631"/>
      <w:bookmarkStart w:id="110" w:name="_Toc18333"/>
      <w:r>
        <w:rPr>
          <w:rFonts w:hint="eastAsia" w:ascii="Times New Roman" w:hAnsi="Times New Roman" w:eastAsia="仿宋_GB2312" w:cs="仿宋_GB2312"/>
          <w:b w:val="0"/>
          <w:bCs w:val="0"/>
          <w:sz w:val="32"/>
          <w:szCs w:val="32"/>
        </w:rPr>
        <w:t>十三、</w:t>
      </w:r>
      <w:bookmarkEnd w:id="109"/>
      <w:r>
        <w:rPr>
          <w:rFonts w:hint="eastAsia" w:ascii="Times New Roman" w:hAnsi="Times New Roman" w:eastAsia="仿宋_GB2312" w:cs="仿宋_GB2312"/>
          <w:b w:val="0"/>
          <w:bCs w:val="0"/>
          <w:sz w:val="32"/>
          <w:szCs w:val="32"/>
          <w:lang w:eastAsia="zh-CN"/>
        </w:rPr>
        <w:t>财政拨款“三公”经费支出决算表</w:t>
      </w:r>
      <w:bookmarkEnd w:id="110"/>
    </w:p>
    <w:p w14:paraId="719B99D1">
      <w:pPr>
        <w:bidi w:val="0"/>
        <w:rPr>
          <w:rFonts w:hint="eastAsia"/>
          <w:lang w:val="en-US" w:eastAsia="zh-CN"/>
        </w:rPr>
      </w:pPr>
    </w:p>
    <w:bookmarkEnd w:id="84"/>
    <w:p w14:paraId="498F9390">
      <w:pPr>
        <w:rPr>
          <w:rFonts w:hint="eastAsia"/>
          <w:lang w:val="en-US"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A1D7F2-DB4F-4E6F-A256-9E7EDA747F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2E4F273-6333-471F-896B-8946673488B2}"/>
  </w:font>
  <w:font w:name="仿宋_GB2312">
    <w:panose1 w:val="02010609030101010101"/>
    <w:charset w:val="86"/>
    <w:family w:val="auto"/>
    <w:pitch w:val="default"/>
    <w:sig w:usb0="00000001" w:usb1="080E0000" w:usb2="00000000" w:usb3="00000000" w:csb0="00040000" w:csb1="00000000"/>
    <w:embedRegular r:id="rId3" w:fontKey="{094B7C34-9A7E-4517-AB52-1E90D3CE5749}"/>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14E6516E-C25B-483B-B3FE-757074E432B7}"/>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5" w:fontKey="{01269100-C732-493A-938A-AB7DE3E1F657}"/>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6" w:fontKey="{5643F4D0-D6E9-41AE-AD9F-321202777CF6}"/>
  </w:font>
  <w:font w:name="方正仿宋_GB2312">
    <w:panose1 w:val="02000000000000000000"/>
    <w:charset w:val="86"/>
    <w:family w:val="auto"/>
    <w:pitch w:val="default"/>
    <w:sig w:usb0="A00002BF" w:usb1="184F6CFA" w:usb2="00000012" w:usb3="00000000" w:csb0="00040001" w:csb1="00000000"/>
    <w:embedRegular r:id="rId7" w:fontKey="{AA7B3FBB-A600-4D88-8265-6A515F913BD2}"/>
  </w:font>
  <w:font w:name="WPSEMBED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8" w:fontKey="{FB2B5D3E-716E-4379-B2F6-8E8441DE7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529E">
    <w:pPr>
      <w:pStyle w:val="11"/>
      <w:jc w:val="center"/>
    </w:pPr>
  </w:p>
  <w:p w14:paraId="485EF8D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47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64C04">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F464C04">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556E07C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CF2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80F45">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80F45">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663E">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5D5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191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61E36"/>
    <w:rsid w:val="012A5EC2"/>
    <w:rsid w:val="015975B8"/>
    <w:rsid w:val="02FEBE30"/>
    <w:rsid w:val="03975E3F"/>
    <w:rsid w:val="03D90444"/>
    <w:rsid w:val="040A553D"/>
    <w:rsid w:val="04916F1E"/>
    <w:rsid w:val="05513B7D"/>
    <w:rsid w:val="061E35DE"/>
    <w:rsid w:val="066E0107"/>
    <w:rsid w:val="06A7268C"/>
    <w:rsid w:val="06BD41A6"/>
    <w:rsid w:val="06CB49BC"/>
    <w:rsid w:val="074960E6"/>
    <w:rsid w:val="07996F6E"/>
    <w:rsid w:val="07DFD8BA"/>
    <w:rsid w:val="097C160A"/>
    <w:rsid w:val="09867E8F"/>
    <w:rsid w:val="09ED2377"/>
    <w:rsid w:val="0A2032A3"/>
    <w:rsid w:val="0A48009F"/>
    <w:rsid w:val="0B9D63F6"/>
    <w:rsid w:val="0CA8290A"/>
    <w:rsid w:val="0CEF0CD8"/>
    <w:rsid w:val="0D1C7DCE"/>
    <w:rsid w:val="0D35B1ED"/>
    <w:rsid w:val="0E254B6B"/>
    <w:rsid w:val="0EB81C90"/>
    <w:rsid w:val="0F391F02"/>
    <w:rsid w:val="0F6C58FB"/>
    <w:rsid w:val="0F98263C"/>
    <w:rsid w:val="101860EC"/>
    <w:rsid w:val="101F47CC"/>
    <w:rsid w:val="1064474E"/>
    <w:rsid w:val="108E10B6"/>
    <w:rsid w:val="10C055FF"/>
    <w:rsid w:val="11417E22"/>
    <w:rsid w:val="11694EBD"/>
    <w:rsid w:val="11772AA4"/>
    <w:rsid w:val="118107EC"/>
    <w:rsid w:val="11A976A8"/>
    <w:rsid w:val="12E24EE2"/>
    <w:rsid w:val="13743CE5"/>
    <w:rsid w:val="13D50BC4"/>
    <w:rsid w:val="1454473F"/>
    <w:rsid w:val="14B17F78"/>
    <w:rsid w:val="14EB7FD7"/>
    <w:rsid w:val="165E0673"/>
    <w:rsid w:val="16B831D5"/>
    <w:rsid w:val="16BB723D"/>
    <w:rsid w:val="17E50567"/>
    <w:rsid w:val="18513E10"/>
    <w:rsid w:val="186504BB"/>
    <w:rsid w:val="193052BC"/>
    <w:rsid w:val="19A445FC"/>
    <w:rsid w:val="1A43009A"/>
    <w:rsid w:val="1AAA094D"/>
    <w:rsid w:val="1AD31C39"/>
    <w:rsid w:val="1BE8440E"/>
    <w:rsid w:val="1D155CEE"/>
    <w:rsid w:val="1D1638FE"/>
    <w:rsid w:val="1E312DEB"/>
    <w:rsid w:val="1E672DC4"/>
    <w:rsid w:val="1E740ACF"/>
    <w:rsid w:val="1F0A5310"/>
    <w:rsid w:val="1FF35744"/>
    <w:rsid w:val="1FF6BC77"/>
    <w:rsid w:val="20EB030C"/>
    <w:rsid w:val="2186353C"/>
    <w:rsid w:val="22AF26D7"/>
    <w:rsid w:val="23860B96"/>
    <w:rsid w:val="240371BF"/>
    <w:rsid w:val="244F3473"/>
    <w:rsid w:val="24C97D99"/>
    <w:rsid w:val="25A718F0"/>
    <w:rsid w:val="25B65524"/>
    <w:rsid w:val="25BB59F6"/>
    <w:rsid w:val="260F557C"/>
    <w:rsid w:val="26970054"/>
    <w:rsid w:val="27D05536"/>
    <w:rsid w:val="281408E2"/>
    <w:rsid w:val="29923B03"/>
    <w:rsid w:val="29FD04D3"/>
    <w:rsid w:val="2AA333D6"/>
    <w:rsid w:val="2BFF7BC6"/>
    <w:rsid w:val="2C8A61B5"/>
    <w:rsid w:val="2D2137C1"/>
    <w:rsid w:val="2DF04E50"/>
    <w:rsid w:val="2E344345"/>
    <w:rsid w:val="2E586DFA"/>
    <w:rsid w:val="2F040D46"/>
    <w:rsid w:val="2F3E191F"/>
    <w:rsid w:val="2F6B035B"/>
    <w:rsid w:val="2FAE5751"/>
    <w:rsid w:val="2FB1A395"/>
    <w:rsid w:val="2FD9A7D8"/>
    <w:rsid w:val="2FDBF714"/>
    <w:rsid w:val="30AB6865"/>
    <w:rsid w:val="3105225E"/>
    <w:rsid w:val="31750675"/>
    <w:rsid w:val="319F7F4E"/>
    <w:rsid w:val="328827F7"/>
    <w:rsid w:val="32BD1EF1"/>
    <w:rsid w:val="3304709D"/>
    <w:rsid w:val="33823E63"/>
    <w:rsid w:val="33A773CB"/>
    <w:rsid w:val="349D6851"/>
    <w:rsid w:val="35A41DB0"/>
    <w:rsid w:val="363870C8"/>
    <w:rsid w:val="36AA5135"/>
    <w:rsid w:val="36BE0DA7"/>
    <w:rsid w:val="376B6AA6"/>
    <w:rsid w:val="376D39B2"/>
    <w:rsid w:val="378D0A0B"/>
    <w:rsid w:val="37E16F03"/>
    <w:rsid w:val="37F53A3B"/>
    <w:rsid w:val="389B6C89"/>
    <w:rsid w:val="38D469F0"/>
    <w:rsid w:val="39627CCD"/>
    <w:rsid w:val="397BAF1F"/>
    <w:rsid w:val="3A184B1B"/>
    <w:rsid w:val="3A5124ED"/>
    <w:rsid w:val="3AB79AF3"/>
    <w:rsid w:val="3AE834C0"/>
    <w:rsid w:val="3B7EF35A"/>
    <w:rsid w:val="3B9FDB6C"/>
    <w:rsid w:val="3BF5BC2F"/>
    <w:rsid w:val="3CEBA265"/>
    <w:rsid w:val="3D4946BC"/>
    <w:rsid w:val="3D98207C"/>
    <w:rsid w:val="3DBD6105"/>
    <w:rsid w:val="3DEE7CF3"/>
    <w:rsid w:val="3E5109F0"/>
    <w:rsid w:val="3E725142"/>
    <w:rsid w:val="3E740A63"/>
    <w:rsid w:val="3E78745D"/>
    <w:rsid w:val="3E970704"/>
    <w:rsid w:val="3EE17838"/>
    <w:rsid w:val="3F55381A"/>
    <w:rsid w:val="3F7F7599"/>
    <w:rsid w:val="3FF4CAE0"/>
    <w:rsid w:val="3FF7B227"/>
    <w:rsid w:val="41110C42"/>
    <w:rsid w:val="411657A9"/>
    <w:rsid w:val="4257343A"/>
    <w:rsid w:val="44E268DA"/>
    <w:rsid w:val="450D13D7"/>
    <w:rsid w:val="45506656"/>
    <w:rsid w:val="46955E71"/>
    <w:rsid w:val="486A6C7A"/>
    <w:rsid w:val="48B1532F"/>
    <w:rsid w:val="497C35BE"/>
    <w:rsid w:val="4A627F82"/>
    <w:rsid w:val="4A797552"/>
    <w:rsid w:val="4B0E749A"/>
    <w:rsid w:val="4B2477C4"/>
    <w:rsid w:val="4B4F25DA"/>
    <w:rsid w:val="4BE068DB"/>
    <w:rsid w:val="4C1C0118"/>
    <w:rsid w:val="4C4355DD"/>
    <w:rsid w:val="4C853456"/>
    <w:rsid w:val="4CBD46A4"/>
    <w:rsid w:val="4D50664E"/>
    <w:rsid w:val="4D577224"/>
    <w:rsid w:val="4DBF1CEB"/>
    <w:rsid w:val="4DE44058"/>
    <w:rsid w:val="4DF0007C"/>
    <w:rsid w:val="4E455264"/>
    <w:rsid w:val="4EAB630A"/>
    <w:rsid w:val="4ECE2238"/>
    <w:rsid w:val="4ED16C09"/>
    <w:rsid w:val="4F1B2C8C"/>
    <w:rsid w:val="4F833267"/>
    <w:rsid w:val="4FB14DB7"/>
    <w:rsid w:val="4FE9BD67"/>
    <w:rsid w:val="4FFB052F"/>
    <w:rsid w:val="51E1640E"/>
    <w:rsid w:val="537E6D0A"/>
    <w:rsid w:val="53F74C96"/>
    <w:rsid w:val="55170BA8"/>
    <w:rsid w:val="553218C9"/>
    <w:rsid w:val="55E926C1"/>
    <w:rsid w:val="564A2C2C"/>
    <w:rsid w:val="565245D3"/>
    <w:rsid w:val="565602CA"/>
    <w:rsid w:val="567E1AA5"/>
    <w:rsid w:val="56E47B74"/>
    <w:rsid w:val="57175D52"/>
    <w:rsid w:val="57730079"/>
    <w:rsid w:val="57BD3DD4"/>
    <w:rsid w:val="58647451"/>
    <w:rsid w:val="59271254"/>
    <w:rsid w:val="5A9C1476"/>
    <w:rsid w:val="5AF92295"/>
    <w:rsid w:val="5B250254"/>
    <w:rsid w:val="5BDD79E6"/>
    <w:rsid w:val="5BF561CA"/>
    <w:rsid w:val="5BFF5DFC"/>
    <w:rsid w:val="5C180C7F"/>
    <w:rsid w:val="5CD71FC4"/>
    <w:rsid w:val="5D1F11B5"/>
    <w:rsid w:val="5D4F335F"/>
    <w:rsid w:val="5D695134"/>
    <w:rsid w:val="5DAE1B18"/>
    <w:rsid w:val="5DE7D9E5"/>
    <w:rsid w:val="5EA93E10"/>
    <w:rsid w:val="5ECEC941"/>
    <w:rsid w:val="5EF97F4F"/>
    <w:rsid w:val="5F2525CE"/>
    <w:rsid w:val="5FBF9FF3"/>
    <w:rsid w:val="5FCD4E2C"/>
    <w:rsid w:val="5FEF394A"/>
    <w:rsid w:val="5FF67715"/>
    <w:rsid w:val="609F57B2"/>
    <w:rsid w:val="60B91957"/>
    <w:rsid w:val="6260512D"/>
    <w:rsid w:val="628F43E8"/>
    <w:rsid w:val="62BF3928"/>
    <w:rsid w:val="635914AE"/>
    <w:rsid w:val="63B3701E"/>
    <w:rsid w:val="645760BC"/>
    <w:rsid w:val="647F5392"/>
    <w:rsid w:val="64BB664B"/>
    <w:rsid w:val="655F4C96"/>
    <w:rsid w:val="65E66580"/>
    <w:rsid w:val="664B1D71"/>
    <w:rsid w:val="664B4E8E"/>
    <w:rsid w:val="67277B67"/>
    <w:rsid w:val="673430B1"/>
    <w:rsid w:val="67AA3209"/>
    <w:rsid w:val="698D0931"/>
    <w:rsid w:val="69F26D9C"/>
    <w:rsid w:val="6A7FE5F3"/>
    <w:rsid w:val="6B053271"/>
    <w:rsid w:val="6B71619C"/>
    <w:rsid w:val="6BA51E03"/>
    <w:rsid w:val="6BDD78B3"/>
    <w:rsid w:val="6C010F58"/>
    <w:rsid w:val="6C4A05C8"/>
    <w:rsid w:val="6C8742B8"/>
    <w:rsid w:val="6CA16A6E"/>
    <w:rsid w:val="6D062D75"/>
    <w:rsid w:val="6DBF5E93"/>
    <w:rsid w:val="6DFF077E"/>
    <w:rsid w:val="6E3F653F"/>
    <w:rsid w:val="6E714EF0"/>
    <w:rsid w:val="6E7E3605"/>
    <w:rsid w:val="6E7FDCC7"/>
    <w:rsid w:val="6ED6A62E"/>
    <w:rsid w:val="6EE00B15"/>
    <w:rsid w:val="6EE91D09"/>
    <w:rsid w:val="6F6FB3EB"/>
    <w:rsid w:val="6F7A769A"/>
    <w:rsid w:val="6F8731EA"/>
    <w:rsid w:val="6F9E5058"/>
    <w:rsid w:val="6FCE6052"/>
    <w:rsid w:val="6FD57C00"/>
    <w:rsid w:val="6FEFFFD8"/>
    <w:rsid w:val="6FF5CC65"/>
    <w:rsid w:val="6FFB47EC"/>
    <w:rsid w:val="6FFF034A"/>
    <w:rsid w:val="70484440"/>
    <w:rsid w:val="712A28F1"/>
    <w:rsid w:val="715C0E4B"/>
    <w:rsid w:val="71992E7C"/>
    <w:rsid w:val="72233669"/>
    <w:rsid w:val="72734D90"/>
    <w:rsid w:val="73160E6D"/>
    <w:rsid w:val="7332FE48"/>
    <w:rsid w:val="73766299"/>
    <w:rsid w:val="73AB61DA"/>
    <w:rsid w:val="73AD73D5"/>
    <w:rsid w:val="73B6EB34"/>
    <w:rsid w:val="73FA497D"/>
    <w:rsid w:val="744731E5"/>
    <w:rsid w:val="744C5512"/>
    <w:rsid w:val="74BBD01D"/>
    <w:rsid w:val="74ED5379"/>
    <w:rsid w:val="75DEEEC2"/>
    <w:rsid w:val="75E32345"/>
    <w:rsid w:val="76AE5798"/>
    <w:rsid w:val="76BD748F"/>
    <w:rsid w:val="76E3355F"/>
    <w:rsid w:val="76FF5125"/>
    <w:rsid w:val="776F6FFA"/>
    <w:rsid w:val="778769C8"/>
    <w:rsid w:val="77A75DCA"/>
    <w:rsid w:val="77DC22F5"/>
    <w:rsid w:val="783E271A"/>
    <w:rsid w:val="78616DE9"/>
    <w:rsid w:val="78CB24E5"/>
    <w:rsid w:val="78E875D7"/>
    <w:rsid w:val="79086DAD"/>
    <w:rsid w:val="79D7FD79"/>
    <w:rsid w:val="79EE5BA4"/>
    <w:rsid w:val="7A894339"/>
    <w:rsid w:val="7AD284E8"/>
    <w:rsid w:val="7AE85868"/>
    <w:rsid w:val="7AF406B1"/>
    <w:rsid w:val="7AFF7572"/>
    <w:rsid w:val="7B6C7DFB"/>
    <w:rsid w:val="7BBFBED0"/>
    <w:rsid w:val="7BC3E394"/>
    <w:rsid w:val="7BFC23F6"/>
    <w:rsid w:val="7C1F3737"/>
    <w:rsid w:val="7CBFC87B"/>
    <w:rsid w:val="7CFE0F48"/>
    <w:rsid w:val="7D272ABC"/>
    <w:rsid w:val="7D7EC23E"/>
    <w:rsid w:val="7E7E09BD"/>
    <w:rsid w:val="7E8ADEBF"/>
    <w:rsid w:val="7E8C3322"/>
    <w:rsid w:val="7EEF11D3"/>
    <w:rsid w:val="7EFE4840"/>
    <w:rsid w:val="7F0569E9"/>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A203D"/>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qFormat/>
    <w:uiPriority w:val="0"/>
    <w:pPr>
      <w:widowControl w:val="0"/>
      <w:spacing w:before="240" w:after="60"/>
      <w:jc w:val="center"/>
      <w:outlineLvl w:val="0"/>
    </w:pPr>
    <w:rPr>
      <w:rFonts w:ascii="Arial" w:hAnsi="Arial" w:eastAsia="宋体" w:cs="Times New Roman"/>
      <w:b/>
      <w:bCs/>
      <w:kern w:val="0"/>
      <w:sz w:val="32"/>
      <w:szCs w:val="32"/>
      <w:lang w:val="en-US" w:eastAsia="zh-CN" w:bidi="ar-SA"/>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常用样式（方正仿宋简）"/>
    <w:next w:val="1"/>
    <w:qFormat/>
    <w:uiPriority w:val="0"/>
    <w:pPr>
      <w:widowControl w:val="0"/>
      <w:spacing w:line="560" w:lineRule="exact"/>
      <w:ind w:firstLine="640" w:firstLineChars="200"/>
      <w:jc w:val="both"/>
    </w:pPr>
    <w:rPr>
      <w:rFonts w:ascii="Times New Roman" w:hAnsi="Times New Roman" w:eastAsia="方正仿宋简体" w:cs="Times New Roman"/>
      <w:kern w:val="2"/>
      <w:sz w:val="21"/>
      <w:szCs w:val="24"/>
      <w:lang w:val="en-US" w:eastAsia="zh-CN" w:bidi="ar-SA"/>
    </w:rPr>
  </w:style>
  <w:style w:type="character" w:customStyle="1" w:styleId="22">
    <w:name w:val="标题 1 Char"/>
    <w:basedOn w:val="18"/>
    <w:link w:val="5"/>
    <w:qFormat/>
    <w:uiPriority w:val="9"/>
    <w:rPr>
      <w:rFonts w:ascii="Times New Roman" w:hAnsi="Times New Roman"/>
      <w:b/>
      <w:bCs/>
      <w:kern w:val="44"/>
      <w:sz w:val="44"/>
      <w:szCs w:val="44"/>
    </w:rPr>
  </w:style>
  <w:style w:type="character" w:customStyle="1" w:styleId="23">
    <w:name w:val="标题 3 Char"/>
    <w:basedOn w:val="18"/>
    <w:link w:val="7"/>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10"/>
    <w:semiHidden/>
    <w:qFormat/>
    <w:uiPriority w:val="99"/>
    <w:rPr>
      <w:rFonts w:ascii="Times New Roman" w:hAnsi="Times New Roman"/>
      <w:kern w:val="2"/>
      <w:sz w:val="18"/>
      <w:szCs w:val="18"/>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emf"/><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wy\2025.9.10&#20915;&#31639;&#20844;&#24320;\2024&#24180;&#20915;&#31639;&#20844;&#24320;&#38468;&#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1</a:t>
            </a:r>
            <a:r>
              <a:rPr lang="zh-CN"/>
              <a:t>：收、支决算总计变动情况图</a:t>
            </a:r>
            <a:endParaRPr lang="zh-CN"/>
          </a:p>
        </c:rich>
      </c:tx>
      <c:layout/>
      <c:overlay val="0"/>
    </c:title>
    <c:autoTitleDeleted val="0"/>
    <c:plotArea>
      <c:layout/>
      <c:barChart>
        <c:barDir val="col"/>
        <c:grouping val="clustered"/>
        <c:varyColors val="0"/>
        <c:ser>
          <c:idx val="0"/>
          <c:order val="0"/>
          <c:tx>
            <c:strRef>
              <c:f>'[2024年决算公开附图(模板).xlsx]收、支决算总计变动情况图1'!$C$13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'[2024年决算公开附图(模板).xlsx]收、支决算总计变动情况图1'!$B$14:$B$15</c:f>
              <c:strCache>
                <c:ptCount val="2"/>
                <c:pt idx="0">
                  <c:v>2023年</c:v>
                </c:pt>
                <c:pt idx="1">
                  <c:v>2024年</c:v>
                </c:pt>
              </c:strCache>
            </c:strRef>
          </c:cat>
          <c:val>
            <c:numRef>
              <c:f>'[2024年决算公开附图(模板).xlsx]收、支决算总计变动情况图1'!$C$14:$C$15</c:f>
              <c:numCache>
                <c:formatCode>0.00_);[Red]\(0.00\)</c:formatCode>
                <c:ptCount val="2"/>
                <c:pt idx="0">
                  <c:v>1072.31</c:v>
                </c:pt>
                <c:pt idx="1" c:formatCode="General">
                  <c:v>1023.02</c:v>
                </c:pt>
              </c:numCache>
            </c:numRef>
          </c:val>
        </c:ser>
        <c:dLbls>
          <c:showLegendKey val="0"/>
          <c:showVal val="1"/>
          <c:showCatName val="0"/>
          <c:showSerName val="0"/>
          <c:showPercent val="0"/>
          <c:showBubbleSize val="0"/>
        </c:dLbls>
        <c:gapWidth val="150"/>
        <c:axId val="73974912"/>
        <c:axId val="73976448"/>
      </c:barChart>
      <c:catAx>
        <c:axId val="739749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73976448"/>
        <c:crosses val="autoZero"/>
        <c:auto val="1"/>
        <c:lblAlgn val="ctr"/>
        <c:lblOffset val="100"/>
        <c:noMultiLvlLbl val="0"/>
      </c:catAx>
      <c:valAx>
        <c:axId val="73976448"/>
        <c:scaling>
          <c:orientation val="minMax"/>
        </c:scaling>
        <c:delete val="0"/>
        <c:axPos val="l"/>
        <c:majorGridlines/>
        <c:numFmt formatCode="0.00_);[Red]\(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73974912"/>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b37da264-3159-4d22-b7b6-c77760daa798}"/>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2</a:t>
            </a:r>
            <a:r>
              <a:rPr lang="zh-CN"/>
              <a:t>：</a:t>
            </a:r>
            <a:r>
              <a:rPr lang="en-US"/>
              <a:t>2024</a:t>
            </a:r>
            <a:r>
              <a:rPr lang="zh-CN"/>
              <a:t>年收入决算结构图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'[2024年决算公开附图(模板).xlsx]收入决算结构图2'!$B$6</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'[2024年决算公开附图(模板).xlsx]收入决算结构图2'!$A$7:$A$8</c:f>
              <c:strCache>
                <c:ptCount val="2"/>
                <c:pt idx="0">
                  <c:v>一般公共预算财政拨款收入1023.02万元</c:v>
                </c:pt>
                <c:pt idx="1">
                  <c:v>政府性基金预算财政拨款收入0万元</c:v>
                </c:pt>
              </c:strCache>
            </c:strRef>
          </c:cat>
          <c:val>
            <c:numRef>
              <c:f>'[2024年决算公开附图(模板).xlsx]收入决算结构图2'!$B$7:$B$8</c:f>
              <c:numCache>
                <c:formatCode>0.00%</c:formatCode>
                <c:ptCount val="2"/>
                <c:pt idx="0">
                  <c:v>1</c:v>
                </c:pt>
                <c:pt idx="1">
                  <c:v>0</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67afed35-df6f-41b6-a107-cb3fb1f5bed3}"/>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3</a:t>
            </a:r>
            <a:r>
              <a:rPr lang="zh-CN"/>
              <a:t>：</a:t>
            </a:r>
            <a:r>
              <a:rPr lang="en-US"/>
              <a:t>2024</a:t>
            </a:r>
            <a:r>
              <a:rPr lang="zh-CN"/>
              <a:t>年支出决算结构图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'[2024年决算公开附图(模板).xlsx]支出决算结构图3'!$B$9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'[2024年决算公开附图(模板).xlsx]支出决算结构图3'!$A$10:$A$11</c:f>
              <c:strCache>
                <c:ptCount val="2"/>
                <c:pt idx="0">
                  <c:v>基本支出813.97万元</c:v>
                </c:pt>
                <c:pt idx="1">
                  <c:v>项目支出209.05万元</c:v>
                </c:pt>
              </c:strCache>
            </c:strRef>
          </c:cat>
          <c:val>
            <c:numRef>
              <c:f>'[2024年决算公开附图(模板).xlsx]支出决算结构图3'!$B$10:$B$11</c:f>
              <c:numCache>
                <c:formatCode>0.00%</c:formatCode>
                <c:ptCount val="2"/>
                <c:pt idx="0">
                  <c:v>0.7957</c:v>
                </c:pt>
                <c:pt idx="1">
                  <c:v>0.2043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76364b61-ae18-4e8a-b462-69350252a701}"/>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4</a:t>
            </a:r>
            <a:r>
              <a:rPr lang="zh-CN" altLang="en-US"/>
              <a:t>：财政拨款收、支决算总计变动情况图</a:t>
            </a:r>
            <a:endParaRPr lang="zh-CN" altLang="en-US"/>
          </a:p>
        </c:rich>
      </c:tx>
      <c:layout/>
      <c:overlay val="0"/>
    </c:title>
    <c:autoTitleDeleted val="0"/>
    <c:plotArea>
      <c:layout/>
      <c:barChart>
        <c:barDir val="col"/>
        <c:grouping val="clustered"/>
        <c:varyColors val="0"/>
        <c:ser>
          <c:idx val="0"/>
          <c:order val="0"/>
          <c:tx>
            <c:strRef>
              <c:f>'[2024年决算公开附图(模板).xlsx]财政拨款收、支决算总计变动情况图4'!$C$4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'[2024年决算公开附图(模板).xlsx]财政拨款收、支决算总计变动情况图4'!$B$5:$B$6</c:f>
              <c:strCache>
                <c:ptCount val="2"/>
                <c:pt idx="0">
                  <c:v>2023年</c:v>
                </c:pt>
                <c:pt idx="1">
                  <c:v>2024年</c:v>
                </c:pt>
              </c:strCache>
            </c:strRef>
          </c:cat>
          <c:val>
            <c:numRef>
              <c:f>'[2024年决算公开附图(模板).xlsx]财政拨款收、支决算总计变动情况图4'!$C$5:$C$6</c:f>
              <c:numCache>
                <c:formatCode>General</c:formatCode>
                <c:ptCount val="2"/>
                <c:pt idx="0">
                  <c:v>1072.31</c:v>
                </c:pt>
                <c:pt idx="1">
                  <c:v>1023.02</c:v>
                </c:pt>
              </c:numCache>
            </c:numRef>
          </c:val>
        </c:ser>
        <c:dLbls>
          <c:showLegendKey val="0"/>
          <c:showVal val="1"/>
          <c:showCatName val="0"/>
          <c:showSerName val="0"/>
          <c:showPercent val="0"/>
          <c:showBubbleSize val="0"/>
        </c:dLbls>
        <c:gapWidth val="150"/>
        <c:axId val="88224896"/>
        <c:axId val="88226432"/>
      </c:barChart>
      <c:catAx>
        <c:axId val="882248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8226432"/>
        <c:crosses val="autoZero"/>
        <c:auto val="1"/>
        <c:lblAlgn val="ctr"/>
        <c:lblOffset val="100"/>
        <c:noMultiLvlLbl val="0"/>
      </c:catAx>
      <c:valAx>
        <c:axId val="882264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822489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5d4641d3-759d-4b39-a557-d634a41751c0}"/>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5</a:t>
            </a:r>
            <a:r>
              <a:rPr lang="zh-CN" altLang="en-US"/>
              <a:t>：一般公共预算财政拨款支出决算       变动情况图</a:t>
            </a:r>
            <a:endParaRPr lang="zh-CN" altLang="en-US"/>
          </a:p>
        </c:rich>
      </c:tx>
      <c:layout/>
      <c:overlay val="0"/>
    </c:title>
    <c:autoTitleDeleted val="0"/>
    <c:plotArea>
      <c:layout/>
      <c:barChart>
        <c:barDir val="col"/>
        <c:grouping val="clustered"/>
        <c:varyColors val="0"/>
        <c:ser>
          <c:idx val="0"/>
          <c:order val="0"/>
          <c:tx>
            <c:strRef>
              <c:f>'[2024年决算公开附图(模板).xlsx]一般公共预算财政拨款支出决算变动图5'!$C$4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'[2024年决算公开附图(模板).xlsx]一般公共预算财政拨款支出决算变动图5'!$B$5:$B$6</c:f>
              <c:strCache>
                <c:ptCount val="2"/>
                <c:pt idx="0">
                  <c:v>2023年</c:v>
                </c:pt>
                <c:pt idx="1">
                  <c:v>2024年</c:v>
                </c:pt>
              </c:strCache>
            </c:strRef>
          </c:cat>
          <c:val>
            <c:numRef>
              <c:f>'[2024年决算公开附图(模板).xlsx]一般公共预算财政拨款支出决算变动图5'!$C$5:$C$6</c:f>
              <c:numCache>
                <c:formatCode>0.00_);[Red]\(0.00\)</c:formatCode>
                <c:ptCount val="2"/>
                <c:pt idx="0">
                  <c:v>1072.31</c:v>
                </c:pt>
                <c:pt idx="1">
                  <c:v>1023.02</c:v>
                </c:pt>
              </c:numCache>
            </c:numRef>
          </c:val>
        </c:ser>
        <c:dLbls>
          <c:showLegendKey val="0"/>
          <c:showVal val="1"/>
          <c:showCatName val="0"/>
          <c:showSerName val="0"/>
          <c:showPercent val="0"/>
          <c:showBubbleSize val="0"/>
        </c:dLbls>
        <c:gapWidth val="150"/>
        <c:axId val="88251776"/>
        <c:axId val="88278144"/>
      </c:barChart>
      <c:catAx>
        <c:axId val="88251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8278144"/>
        <c:crosses val="autoZero"/>
        <c:auto val="1"/>
        <c:lblAlgn val="ctr"/>
        <c:lblOffset val="100"/>
        <c:noMultiLvlLbl val="0"/>
      </c:catAx>
      <c:valAx>
        <c:axId val="88278144"/>
        <c:scaling>
          <c:orientation val="minMax"/>
        </c:scaling>
        <c:delete val="0"/>
        <c:axPos val="l"/>
        <c:majorGridlines/>
        <c:numFmt formatCode="0.00_);[Red]\(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825177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743e2679-90e6-4293-ae63-bc62e25fb4be}"/>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6</a:t>
            </a:r>
            <a:r>
              <a:rPr lang="zh-CN" altLang="en-US"/>
              <a:t>：一般公共预算财政拨款支出决算结构图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'[2024年决算公开附图(模板).xlsx]一般公共预算财政拨款支出决算结构图6'!$C$16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Lbls>
            <c:dLbl>
              <c:idx val="0"/>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1"/>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2"/>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3"/>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inEnd"/>
            <c:showLegendKey val="0"/>
            <c:showVal val="0"/>
            <c:showCatName val="0"/>
            <c:showSerName val="0"/>
            <c:showPercent val="0"/>
            <c:showBubbleSize val="0"/>
            <c:separator> </c:separator>
            <c:showLeaderLines val="1"/>
            <c:extLst>
              <c:ext xmlns:c15="http://schemas.microsoft.com/office/drawing/2012/chart" uri="{CE6537A1-D6FC-4f65-9D91-7224C49458BB}">
                <c15:layout/>
                <c15:showLeaderLines val="1"/>
                <c15:leaderLines/>
              </c:ext>
            </c:extLst>
          </c:dLbls>
          <c:cat>
            <c:strRef>
              <c:f>'[2024年决算公开附图(模板).xlsx]一般公共预算财政拨款支出决算结构图6'!$B$17:$B$21</c:f>
              <c:strCache>
                <c:ptCount val="5"/>
                <c:pt idx="0">
                  <c:v>一般公共服务支出764.78万元</c:v>
                </c:pt>
                <c:pt idx="1">
                  <c:v>社会保障和就业支出93.16万元</c:v>
                </c:pt>
                <c:pt idx="2">
                  <c:v>卫生健康支出14.33万元</c:v>
                </c:pt>
                <c:pt idx="3">
                  <c:v>农林水支出106.94万元</c:v>
                </c:pt>
                <c:pt idx="4">
                  <c:v>住房保障支出43.81万元</c:v>
                </c:pt>
              </c:strCache>
            </c:strRef>
          </c:cat>
          <c:val>
            <c:numRef>
              <c:f>'[2024年决算公开附图(模板).xlsx]一般公共预算财政拨款支出决算结构图6'!$C$17:$C$21</c:f>
              <c:numCache>
                <c:formatCode>0.00%</c:formatCode>
                <c:ptCount val="5"/>
                <c:pt idx="0">
                  <c:v>0.747570917479619</c:v>
                </c:pt>
                <c:pt idx="1">
                  <c:v>0.0910637133193877</c:v>
                </c:pt>
                <c:pt idx="2">
                  <c:v>0.0140075462845301</c:v>
                </c:pt>
                <c:pt idx="3">
                  <c:v>0.104533635706047</c:v>
                </c:pt>
                <c:pt idx="4">
                  <c:v>0.0428241872104162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b7bf9a26-7dc1-4901-838c-fa532e6b7347}"/>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7</a:t>
            </a:r>
            <a:r>
              <a:rPr lang="zh-CN" altLang="en-US"/>
              <a:t>：</a:t>
            </a:r>
            <a:r>
              <a:rPr lang="en-US" altLang="zh-CN"/>
              <a:t>2024</a:t>
            </a:r>
            <a:r>
              <a:rPr lang="zh-CN" altLang="en-US"/>
              <a:t>年  </a:t>
            </a:r>
            <a:r>
              <a:rPr lang="en-US" altLang="zh-CN"/>
              <a:t>"</a:t>
            </a:r>
            <a:r>
              <a:rPr lang="zh-CN" altLang="en-US"/>
              <a:t>三公”经费财政拨款                  支出结构图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'[2024年决算公开附图(模板).xlsx]“三公”经费财政拨款支出结构图7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'[2024年决算公开附图(模板).xlsx]“三公”经费财政拨款支出结构图7 '!$A$10:$A$12</c:f>
              <c:strCache>
                <c:ptCount val="3"/>
                <c:pt idx="0">
                  <c:v>因公出国（境）费支出0万元</c:v>
                </c:pt>
                <c:pt idx="1">
                  <c:v>公务用车购置及运行维护费支出0万元</c:v>
                </c:pt>
                <c:pt idx="2">
                  <c:v>公务接待费支出1.79万元</c:v>
                </c:pt>
              </c:strCache>
            </c:strRef>
          </c:cat>
          <c:val>
            <c:numRef>
              <c:f>'[2024年决算公开附图(模板).xlsx]“三公”经费财政拨款支出结构图7 '!$B$10:$B$12</c:f>
              <c:numCache>
                <c:formatCode>0.00%</c:formatCode>
                <c:ptCount val="3"/>
                <c:pt idx="0">
                  <c:v>0</c:v>
                </c:pt>
                <c:pt idx="1">
                  <c:v>0</c:v>
                </c:pt>
                <c:pt idx="2">
                  <c:v>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1fdb006b-d9f0-4c58-8a08-5c74080edb0b}"/>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f235bc85-d01e-4283-baf5-ad251c0f2f8a</errorID>
      <errorWord>巩固脱贫攻坚成果</errorWord>
      <group>L1_Word</group>
      <groupName>字词问题</groupName>
      <ability>L2_Typo</ability>
      <abilityName>字词错误</abilityName>
      <candidateList>
        <item>巩固拓展脱贫攻坚成果</item>
      </candidateList>
      <explain/>
      <paraID>47E04391</paraID>
      <start>10</start>
      <end>18</end>
      <status>ignored</status>
      <modifiedWord/>
      <trackRevisions>false</trackRevisions>
    </reviewItem>
    <reviewItem>
      <errorID>acf436f0-71df-4c45-8a91-643e1f567321</errorID>
      <errorWord>巩固脱贫攻坚成果</errorWord>
      <group>L1_Word</group>
      <groupName>字词问题</groupName>
      <ability>L2_Typo</ability>
      <abilityName>字词错误</abilityName>
      <candidateList>
        <item>巩固拓展脱贫攻坚成果</item>
      </candidateList>
      <explain/>
      <paraID>47E04391</paraID>
      <start>29</start>
      <end>37</end>
      <status>ignored</status>
      <modifiedWord/>
      <trackRevisions>false</trackRevisions>
    </reviewItem>
    <reviewItem>
      <errorID>8e104649-d25d-4657-a485-65afa87a2d80</errorID>
      <errorWord>巩固脱贫攻坚成果</errorWord>
      <group>L1_Word</group>
      <groupName>字词问题</groupName>
      <ability>L2_Typo</ability>
      <abilityName>字词错误</abilityName>
      <candidateList>
        <item>巩固拓展脱贫攻坚成果</item>
      </candidateList>
      <explain/>
      <paraID>1FF17DC2</paraID>
      <start>11</start>
      <end>19</end>
      <status>ignored</status>
      <modifiedWord/>
      <trackRevisions>false</trackRevisions>
    </reviewItem>
    <reviewItem>
      <errorID>f523dc60-a556-4822-96a6-b87c2567bc16</errorID>
      <errorWord>巩固脱贫攻坚成果</errorWord>
      <group>L1_Word</group>
      <groupName>字词问题</groupName>
      <ability>L2_Typo</ability>
      <abilityName>字词错误</abilityName>
      <candidateList>
        <item>巩固拓展脱贫攻坚成果</item>
      </candidateList>
      <explain/>
      <paraID>1FF17DC2</paraID>
      <start>30</start>
      <end>38</end>
      <status>ignored</status>
      <modifiedWord/>
      <trackRevisions>false</trackRevisions>
    </reviewItem>
    <reviewItem>
      <errorID>c41bda06-1833-4244-bdc8-dc28520aae7e</errorID>
      <errorWord>人代会</errorWord>
      <group>L1_Political</group>
      <groupName>政治性问题</groupName>
      <ability>L2_Unpolitical</ability>
      <abilityName>政治敏感错误</abilityName>
      <candidateList>
        <item>人大</item>
      </candidateList>
      <explain/>
      <paraID> 80F050C</paraID>
      <start>187</start>
      <end>190</end>
      <status>ignored</status>
      <modifiedWord/>
      <trackRevisions>false</trackRevisions>
    </reviewItem>
    <reviewItem>
      <errorID>90fa5fc4-659d-4b2c-896e-53b28bea9c94</errorID>
      <errorWord>预决算绩效管理</errorWord>
      <group>L1_Political</group>
      <groupName>政治性问题</groupName>
      <ability>L2_Keyword</ability>
      <abilityName>固定表述</abilityName>
      <candidateList>
        <item>预算绩效管理</item>
      </candidateList>
      <explain>词汇“预算绩效管理”在特定场景下为固定表述形式，请确认此处的“预决算绩效管理”是否存在不当。</explain>
      <paraID>6D7D846A</paraID>
      <start>14</start>
      <end>21</end>
      <status>ignored</status>
      <modifiedWord/>
      <trackRevisions>false</trackRevisions>
    </reviewItem>
    <reviewItem>
      <errorID>d14aca3b-9117-4fbf-b0a8-729522e80307</errorID>
      <errorWord>预决算绩效管理</errorWord>
      <group>L1_Political</group>
      <groupName>政治性问题</groupName>
      <ability>L2_Keyword</ability>
      <abilityName>固定表述</abilityName>
      <candidateList>
        <item>预算绩效管理</item>
      </candidateList>
      <explain>词汇“预算绩效管理”在特定场景下为固定表述形式，请确认此处的“预决算绩效管理”是否存在不当。</explain>
      <paraID>6D7D846A</paraID>
      <start>41</start>
      <end>48</end>
      <status>ignored</status>
      <modifiedWord/>
      <trackRevisions>false</trackRevisions>
    </reviewItem>
    <reviewItem>
      <errorID>69911deb-81c4-4c19-a6c5-1b957fd9f71e</errorID>
      <errorWord>，</errorWord>
      <group>L1_Word</group>
      <groupName>字词问题</groupName>
      <ability>L2_Typo</ability>
      <abilityName>字词错误</abilityName>
      <candidateList>
        <item>，在</item>
      </candidateList>
      <explain/>
      <paraID>6D7D846A</paraID>
      <start>101</start>
      <end>103</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cdf2d-8240-47bf-8a9e-f53c5f814a4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10224</Words>
  <Characters>10848</Characters>
  <Lines>61</Lines>
  <Paragraphs>17</Paragraphs>
  <TotalTime>11</TotalTime>
  <ScaleCrop>false</ScaleCrop>
  <LinksUpToDate>false</LinksUpToDate>
  <CharactersWithSpaces>11018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2025-12-09T00:28:26Z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36141D826B83440999F52BF44D359731_13</vt:lpwstr>
  </property>
  <property fmtid="{D5CDD505-2E9C-101B-9397-08002B2CF9AE}" pid="4" name="KSOTemplateDocerSaveRecord">
    <vt:lpwstr>eyJoZGlkIjoiNzI2ZGI0OGUzMDAzMzk0YmE1OTYyMDVlZGMwMmYyODYiLCJ1c2VySWQiOiIxMTM5NjM2MTk5In0=</vt:lpwstr>
  </property>
</Properties>
</file>