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30F107">
      <w:pPr>
        <w:spacing w:line="600" w:lineRule="exact"/>
        <w:jc w:val="center"/>
        <w:outlineLvl w:val="0"/>
        <w:rPr>
          <w:rFonts w:ascii="方正小标宋简体" w:hAnsi="宋体" w:eastAsia="方正小标宋简体"/>
          <w:sz w:val="72"/>
          <w:szCs w:val="72"/>
        </w:rPr>
      </w:pPr>
      <w:bookmarkStart w:id="0" w:name="_Toc15377425"/>
      <w:bookmarkStart w:id="1" w:name="_Toc15396475"/>
      <w:bookmarkStart w:id="2" w:name="_Toc15378441"/>
      <w:bookmarkStart w:id="3" w:name="_Toc15396597"/>
      <w:bookmarkStart w:id="4" w:name="_Toc15377193"/>
      <w:bookmarkStart w:id="5" w:name="_Toc15306267"/>
    </w:p>
    <w:p w14:paraId="22846A27">
      <w:pPr>
        <w:pStyle w:val="6"/>
        <w:spacing w:before="93"/>
      </w:pPr>
    </w:p>
    <w:p w14:paraId="5C04050A">
      <w:pPr>
        <w:pStyle w:val="6"/>
        <w:spacing w:before="93"/>
      </w:pPr>
    </w:p>
    <w:p w14:paraId="6FA8F5B9">
      <w:pPr>
        <w:pStyle w:val="6"/>
        <w:spacing w:before="93"/>
      </w:pPr>
    </w:p>
    <w:p w14:paraId="1F27EEAD">
      <w:pPr>
        <w:pStyle w:val="6"/>
        <w:spacing w:before="93"/>
      </w:pPr>
    </w:p>
    <w:p w14:paraId="58C9F8C0">
      <w:pPr>
        <w:spacing w:line="600" w:lineRule="exact"/>
        <w:jc w:val="center"/>
        <w:outlineLvl w:val="0"/>
        <w:rPr>
          <w:rFonts w:ascii="方正小标宋简体" w:hAnsi="宋体" w:eastAsia="方正小标宋简体"/>
          <w:sz w:val="72"/>
          <w:szCs w:val="72"/>
        </w:rPr>
      </w:pPr>
    </w:p>
    <w:p w14:paraId="706D5991">
      <w:pPr>
        <w:spacing w:line="600" w:lineRule="exact"/>
        <w:jc w:val="center"/>
        <w:outlineLvl w:val="0"/>
        <w:rPr>
          <w:rFonts w:ascii="方正小标宋简体" w:hAnsi="宋体" w:eastAsia="方正小标宋简体"/>
          <w:sz w:val="72"/>
          <w:szCs w:val="72"/>
        </w:rPr>
      </w:pPr>
    </w:p>
    <w:p w14:paraId="4E2706C3">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2023年度</w:t>
      </w:r>
      <w:bookmarkEnd w:id="0"/>
      <w:bookmarkEnd w:id="1"/>
      <w:bookmarkEnd w:id="2"/>
      <w:bookmarkEnd w:id="3"/>
      <w:bookmarkEnd w:id="4"/>
    </w:p>
    <w:bookmarkEnd w:id="5"/>
    <w:p w14:paraId="210EB59C">
      <w:pPr>
        <w:adjustRightInd w:val="0"/>
        <w:snapToGrid w:val="0"/>
        <w:spacing w:line="360" w:lineRule="auto"/>
        <w:jc w:val="center"/>
        <w:outlineLvl w:val="0"/>
        <w:rPr>
          <w:rFonts w:hint="eastAsia" w:ascii="方正小标宋简体" w:hAnsi="方正小标宋简体" w:eastAsia="方正小标宋简体" w:cs="方正小标宋简体"/>
          <w:sz w:val="72"/>
          <w:szCs w:val="72"/>
          <w:lang w:val="en-US" w:eastAsia="zh-CN"/>
        </w:rPr>
      </w:pPr>
      <w:bookmarkStart w:id="6" w:name="_Toc15377426"/>
      <w:bookmarkStart w:id="7" w:name="_Toc15377194"/>
      <w:bookmarkStart w:id="8" w:name="_Toc15396476"/>
      <w:bookmarkStart w:id="9" w:name="_Toc15306268"/>
      <w:bookmarkStart w:id="10" w:name="_Toc15378442"/>
      <w:bookmarkStart w:id="11" w:name="_Toc15396598"/>
      <w:r>
        <w:rPr>
          <w:rFonts w:hint="eastAsia" w:ascii="方正小标宋简体" w:hAnsi="方正小标宋简体" w:eastAsia="方正小标宋简体" w:cs="方正小标宋简体"/>
          <w:sz w:val="72"/>
          <w:szCs w:val="72"/>
          <w:lang w:val="en-US" w:eastAsia="zh-CN"/>
        </w:rPr>
        <w:t>峨边彝族自治县人民代表大会常务委员会办公室</w:t>
      </w:r>
    </w:p>
    <w:p w14:paraId="349B9D6D">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lang w:val="en-US" w:eastAsia="zh-CN"/>
        </w:rPr>
        <w:t>部门</w:t>
      </w:r>
      <w:r>
        <w:rPr>
          <w:rFonts w:hint="eastAsia" w:ascii="方正小标宋简体" w:hAnsi="方正小标宋简体" w:eastAsia="方正小标宋简体" w:cs="方正小标宋简体"/>
          <w:sz w:val="72"/>
          <w:szCs w:val="72"/>
        </w:rPr>
        <w:t>决算</w:t>
      </w:r>
      <w:bookmarkEnd w:id="6"/>
      <w:bookmarkEnd w:id="7"/>
      <w:bookmarkEnd w:id="8"/>
      <w:bookmarkEnd w:id="9"/>
      <w:bookmarkEnd w:id="10"/>
      <w:bookmarkEnd w:id="11"/>
    </w:p>
    <w:p w14:paraId="2F87E0AB">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14:paraId="74A32777">
      <w:pPr>
        <w:widowControl/>
        <w:jc w:val="center"/>
        <w:rPr>
          <w:rFonts w:ascii="黑体" w:hAnsi="黑体" w:eastAsia="黑体" w:cstheme="minorBidi"/>
          <w:sz w:val="28"/>
          <w:szCs w:val="28"/>
        </w:rPr>
      </w:pPr>
    </w:p>
    <w:p w14:paraId="48C09178">
      <w:pPr>
        <w:pStyle w:val="12"/>
        <w:rPr>
          <w:rFonts w:hint="eastAsia" w:ascii="仿宋" w:hAnsi="仿宋" w:eastAsia="仿宋" w:cs="Times New Roman"/>
          <w:b w:val="0"/>
          <w:bCs w:val="0"/>
          <w:color w:val="000000"/>
          <w:kern w:val="2"/>
          <w:sz w:val="32"/>
          <w:szCs w:val="24"/>
          <w:lang w:val="en-US" w:eastAsia="zh-CN" w:bidi="ar-SA"/>
        </w:rPr>
      </w:pPr>
      <w:r>
        <w:rPr>
          <w:rFonts w:hint="eastAsia" w:ascii="仿宋" w:hAnsi="仿宋" w:eastAsia="仿宋" w:cs="Times New Roman"/>
          <w:b w:val="0"/>
          <w:bCs w:val="0"/>
          <w:color w:val="000000"/>
          <w:kern w:val="2"/>
          <w:sz w:val="32"/>
          <w:szCs w:val="24"/>
          <w:lang w:val="en-US" w:eastAsia="zh-CN" w:bidi="ar-SA"/>
        </w:rPr>
        <w:t>公开时间：2024年10月</w:t>
      </w:r>
      <w:r>
        <w:rPr>
          <w:rFonts w:hint="eastAsia" w:cs="Times New Roman"/>
          <w:b w:val="0"/>
          <w:bCs w:val="0"/>
          <w:color w:val="000000"/>
          <w:kern w:val="2"/>
          <w:sz w:val="32"/>
          <w:szCs w:val="24"/>
          <w:lang w:val="en-US" w:eastAsia="zh-CN" w:bidi="ar-SA"/>
        </w:rPr>
        <w:t>28</w:t>
      </w:r>
      <w:r>
        <w:rPr>
          <w:rFonts w:hint="eastAsia" w:ascii="仿宋" w:hAnsi="仿宋" w:eastAsia="仿宋" w:cs="Times New Roman"/>
          <w:b w:val="0"/>
          <w:bCs w:val="0"/>
          <w:color w:val="000000"/>
          <w:kern w:val="2"/>
          <w:sz w:val="32"/>
          <w:szCs w:val="24"/>
          <w:lang w:val="en-US" w:eastAsia="zh-CN" w:bidi="ar-SA"/>
        </w:rPr>
        <w:t>日</w:t>
      </w:r>
    </w:p>
    <w:p w14:paraId="324253F8">
      <w:pPr>
        <w:rPr>
          <w:rFonts w:hint="eastAsia" w:ascii="仿宋" w:hAnsi="仿宋" w:eastAsia="仿宋" w:cs="Times New Roman"/>
          <w:b w:val="0"/>
          <w:bCs w:val="0"/>
          <w:color w:val="000000"/>
          <w:kern w:val="2"/>
          <w:sz w:val="32"/>
          <w:szCs w:val="24"/>
          <w:lang w:val="en-US" w:eastAsia="zh-CN" w:bidi="ar-SA"/>
        </w:rPr>
      </w:pPr>
    </w:p>
    <w:p w14:paraId="07475592">
      <w:pPr>
        <w:pStyle w:val="12"/>
        <w:keepNext w:val="0"/>
        <w:keepLines w:val="0"/>
        <w:pageBreakBefore w:val="0"/>
        <w:widowControl w:val="0"/>
        <w:tabs>
          <w:tab w:val="right" w:leader="dot" w:pos="6720"/>
        </w:tabs>
        <w:kinsoku/>
        <w:wordWrap/>
        <w:overflowPunct/>
        <w:topLinePunct w:val="0"/>
        <w:autoSpaceDE/>
        <w:autoSpaceDN/>
        <w:bidi w:val="0"/>
        <w:adjustRightInd w:val="0"/>
        <w:snapToGrid w:val="0"/>
        <w:spacing w:before="0" w:line="440" w:lineRule="exact"/>
        <w:jc w:val="left"/>
        <w:textAlignment w:val="auto"/>
        <w:outlineLvl w:val="9"/>
        <w:rPr>
          <w:rFonts w:hint="eastAsia" w:ascii="仿宋" w:hAnsi="仿宋" w:eastAsia="仿宋" w:cs="Times New Roman"/>
          <w:b w:val="0"/>
          <w:bCs w:val="0"/>
          <w:color w:val="000000"/>
          <w:kern w:val="2"/>
          <w:sz w:val="32"/>
          <w:szCs w:val="24"/>
          <w:lang w:val="en-US" w:eastAsia="zh-CN" w:bidi="ar-SA"/>
        </w:rPr>
      </w:pPr>
      <w:r>
        <w:rPr>
          <w:rFonts w:hint="eastAsia" w:ascii="仿宋" w:hAnsi="仿宋" w:eastAsia="仿宋" w:cs="Times New Roman"/>
          <w:b w:val="0"/>
          <w:bCs w:val="0"/>
          <w:color w:val="000000"/>
          <w:kern w:val="2"/>
          <w:sz w:val="32"/>
          <w:szCs w:val="24"/>
          <w:lang w:val="en-US" w:eastAsia="zh-CN" w:bidi="ar-SA"/>
        </w:rPr>
        <w:t>第一部分 部门概况</w:t>
      </w:r>
      <w:r>
        <w:rPr>
          <w:rFonts w:hint="eastAsia" w:cs="Times New Roman"/>
          <w:b w:val="0"/>
          <w:bCs w:val="0"/>
          <w:color w:val="000000"/>
          <w:kern w:val="2"/>
          <w:sz w:val="32"/>
          <w:szCs w:val="24"/>
          <w:lang w:val="en-US" w:eastAsia="zh-CN" w:bidi="ar-SA"/>
        </w:rPr>
        <w:tab/>
      </w:r>
      <w:r>
        <w:rPr>
          <w:rFonts w:hint="eastAsia" w:cs="Times New Roman"/>
          <w:b w:val="0"/>
          <w:bCs w:val="0"/>
          <w:color w:val="000000"/>
          <w:kern w:val="2"/>
          <w:sz w:val="32"/>
          <w:szCs w:val="24"/>
          <w:lang w:val="en-US" w:eastAsia="zh-CN" w:bidi="ar-SA"/>
        </w:rPr>
        <w:tab/>
      </w:r>
      <w:r>
        <w:rPr>
          <w:rFonts w:hint="eastAsia" w:cs="Times New Roman"/>
          <w:b w:val="0"/>
          <w:bCs w:val="0"/>
          <w:color w:val="000000"/>
          <w:kern w:val="2"/>
          <w:sz w:val="32"/>
          <w:szCs w:val="24"/>
          <w:lang w:val="en-US" w:eastAsia="zh-CN" w:bidi="ar-SA"/>
        </w:rPr>
        <w:t>4</w:t>
      </w:r>
    </w:p>
    <w:p w14:paraId="41786005">
      <w:pPr>
        <w:pStyle w:val="13"/>
        <w:keepNext w:val="0"/>
        <w:keepLines w:val="0"/>
        <w:pageBreakBefore w:val="0"/>
        <w:widowControl w:val="0"/>
        <w:tabs>
          <w:tab w:val="right" w:leader="dot" w:pos="6720"/>
        </w:tabs>
        <w:kinsoku/>
        <w:wordWrap/>
        <w:overflowPunct/>
        <w:topLinePunct w:val="0"/>
        <w:autoSpaceDE/>
        <w:autoSpaceDN/>
        <w:bidi w:val="0"/>
        <w:adjustRightInd w:val="0"/>
        <w:snapToGrid w:val="0"/>
        <w:spacing w:line="440" w:lineRule="exact"/>
        <w:jc w:val="left"/>
        <w:textAlignment w:val="auto"/>
        <w:outlineLvl w:val="9"/>
        <w:rPr>
          <w:rFonts w:hint="eastAsia" w:ascii="仿宋" w:hAnsi="仿宋" w:eastAsia="仿宋" w:cs="Times New Roman"/>
          <w:b w:val="0"/>
          <w:bCs w:val="0"/>
          <w:color w:val="000000"/>
          <w:kern w:val="2"/>
          <w:sz w:val="32"/>
          <w:szCs w:val="24"/>
          <w:lang w:val="en-US" w:eastAsia="zh-CN" w:bidi="ar-SA"/>
        </w:rPr>
      </w:pPr>
      <w:r>
        <w:rPr>
          <w:rFonts w:hint="eastAsia" w:ascii="仿宋" w:hAnsi="仿宋" w:eastAsia="仿宋" w:cs="Times New Roman"/>
          <w:b w:val="0"/>
          <w:bCs w:val="0"/>
          <w:color w:val="000000"/>
          <w:kern w:val="2"/>
          <w:sz w:val="32"/>
          <w:szCs w:val="24"/>
          <w:lang w:val="en-US" w:eastAsia="zh-CN" w:bidi="ar-SA"/>
        </w:rPr>
        <w:t>一、部门职责</w:t>
      </w:r>
      <w:r>
        <w:rPr>
          <w:rFonts w:hint="eastAsia" w:ascii="仿宋" w:hAnsi="仿宋" w:eastAsia="仿宋" w:cs="Times New Roman"/>
          <w:b w:val="0"/>
          <w:bCs w:val="0"/>
          <w:color w:val="000000"/>
          <w:kern w:val="2"/>
          <w:sz w:val="32"/>
          <w:szCs w:val="24"/>
          <w:lang w:val="en-US" w:eastAsia="zh-CN" w:bidi="ar-SA"/>
        </w:rPr>
        <w:tab/>
      </w:r>
      <w:r>
        <w:rPr>
          <w:rFonts w:hint="eastAsia" w:ascii="仿宋" w:hAnsi="仿宋" w:eastAsia="仿宋" w:cs="Times New Roman"/>
          <w:b w:val="0"/>
          <w:bCs w:val="0"/>
          <w:color w:val="000000"/>
          <w:kern w:val="2"/>
          <w:sz w:val="32"/>
          <w:szCs w:val="24"/>
          <w:lang w:val="en-US" w:eastAsia="zh-CN" w:bidi="ar-SA"/>
        </w:rPr>
        <w:tab/>
      </w:r>
      <w:r>
        <w:rPr>
          <w:rFonts w:hint="eastAsia" w:ascii="仿宋" w:hAnsi="仿宋" w:eastAsia="仿宋" w:cs="Times New Roman"/>
          <w:b w:val="0"/>
          <w:bCs w:val="0"/>
          <w:color w:val="000000"/>
          <w:kern w:val="2"/>
          <w:sz w:val="32"/>
          <w:szCs w:val="24"/>
          <w:lang w:val="en-US" w:eastAsia="zh-CN" w:bidi="ar-SA"/>
        </w:rPr>
        <w:t>4</w:t>
      </w:r>
    </w:p>
    <w:p w14:paraId="0D834AAD">
      <w:pPr>
        <w:pStyle w:val="13"/>
        <w:keepNext w:val="0"/>
        <w:keepLines w:val="0"/>
        <w:pageBreakBefore w:val="0"/>
        <w:widowControl w:val="0"/>
        <w:tabs>
          <w:tab w:val="right" w:leader="dot" w:pos="6720"/>
        </w:tabs>
        <w:kinsoku/>
        <w:wordWrap/>
        <w:overflowPunct/>
        <w:topLinePunct w:val="0"/>
        <w:autoSpaceDE/>
        <w:autoSpaceDN/>
        <w:bidi w:val="0"/>
        <w:adjustRightInd w:val="0"/>
        <w:snapToGrid w:val="0"/>
        <w:spacing w:line="440" w:lineRule="exact"/>
        <w:jc w:val="left"/>
        <w:textAlignment w:val="auto"/>
        <w:outlineLvl w:val="9"/>
        <w:rPr>
          <w:rFonts w:hint="eastAsia" w:ascii="仿宋" w:hAnsi="仿宋" w:eastAsia="仿宋" w:cs="Times New Roman"/>
          <w:b w:val="0"/>
          <w:bCs w:val="0"/>
          <w:color w:val="000000"/>
          <w:kern w:val="2"/>
          <w:sz w:val="32"/>
          <w:szCs w:val="24"/>
          <w:lang w:val="en-US" w:eastAsia="zh-CN" w:bidi="ar-SA"/>
        </w:rPr>
      </w:pPr>
      <w:r>
        <w:rPr>
          <w:rFonts w:hint="eastAsia" w:ascii="仿宋" w:hAnsi="仿宋" w:eastAsia="仿宋" w:cs="Times New Roman"/>
          <w:b w:val="0"/>
          <w:bCs w:val="0"/>
          <w:color w:val="000000"/>
          <w:kern w:val="2"/>
          <w:sz w:val="32"/>
          <w:szCs w:val="24"/>
          <w:lang w:val="en-US" w:eastAsia="zh-CN" w:bidi="ar-SA"/>
        </w:rPr>
        <w:t>二、机构设置</w:t>
      </w:r>
      <w:r>
        <w:rPr>
          <w:rFonts w:hint="eastAsia" w:ascii="仿宋" w:hAnsi="仿宋" w:eastAsia="仿宋" w:cs="Times New Roman"/>
          <w:b w:val="0"/>
          <w:bCs w:val="0"/>
          <w:color w:val="000000"/>
          <w:kern w:val="2"/>
          <w:sz w:val="32"/>
          <w:szCs w:val="24"/>
          <w:lang w:val="en-US" w:eastAsia="zh-CN" w:bidi="ar-SA"/>
        </w:rPr>
        <w:tab/>
      </w:r>
      <w:r>
        <w:rPr>
          <w:rFonts w:hint="eastAsia" w:ascii="仿宋" w:hAnsi="仿宋" w:eastAsia="仿宋" w:cs="Times New Roman"/>
          <w:b w:val="0"/>
          <w:bCs w:val="0"/>
          <w:color w:val="000000"/>
          <w:kern w:val="2"/>
          <w:sz w:val="32"/>
          <w:szCs w:val="24"/>
          <w:lang w:val="en-US" w:eastAsia="zh-CN" w:bidi="ar-SA"/>
        </w:rPr>
        <w:tab/>
      </w:r>
      <w:r>
        <w:rPr>
          <w:rFonts w:hint="eastAsia" w:ascii="仿宋" w:hAnsi="仿宋" w:eastAsia="仿宋" w:cs="Times New Roman"/>
          <w:b w:val="0"/>
          <w:bCs w:val="0"/>
          <w:color w:val="000000"/>
          <w:kern w:val="2"/>
          <w:sz w:val="32"/>
          <w:szCs w:val="24"/>
          <w:lang w:val="en-US" w:eastAsia="zh-CN" w:bidi="ar-SA"/>
        </w:rPr>
        <w:t>5</w:t>
      </w:r>
    </w:p>
    <w:p w14:paraId="436A21E0">
      <w:pPr>
        <w:pStyle w:val="12"/>
        <w:keepNext w:val="0"/>
        <w:keepLines w:val="0"/>
        <w:pageBreakBefore w:val="0"/>
        <w:widowControl w:val="0"/>
        <w:tabs>
          <w:tab w:val="right" w:leader="dot" w:pos="6720"/>
        </w:tabs>
        <w:kinsoku/>
        <w:wordWrap/>
        <w:overflowPunct/>
        <w:topLinePunct w:val="0"/>
        <w:autoSpaceDE/>
        <w:autoSpaceDN/>
        <w:bidi w:val="0"/>
        <w:adjustRightInd w:val="0"/>
        <w:snapToGrid w:val="0"/>
        <w:spacing w:before="0" w:line="440" w:lineRule="exact"/>
        <w:jc w:val="left"/>
        <w:textAlignment w:val="auto"/>
        <w:outlineLvl w:val="9"/>
        <w:rPr>
          <w:rFonts w:hint="eastAsia" w:ascii="仿宋" w:hAnsi="仿宋" w:eastAsia="仿宋" w:cs="Times New Roman"/>
          <w:b w:val="0"/>
          <w:bCs w:val="0"/>
          <w:color w:val="000000"/>
          <w:kern w:val="2"/>
          <w:sz w:val="32"/>
          <w:szCs w:val="24"/>
          <w:lang w:val="en-US" w:eastAsia="zh-CN" w:bidi="ar-SA"/>
        </w:rPr>
      </w:pPr>
      <w:r>
        <w:rPr>
          <w:rFonts w:hint="eastAsia" w:ascii="仿宋" w:hAnsi="仿宋" w:eastAsia="仿宋" w:cs="Times New Roman"/>
          <w:b w:val="0"/>
          <w:bCs w:val="0"/>
          <w:color w:val="000000"/>
          <w:kern w:val="2"/>
          <w:sz w:val="32"/>
          <w:szCs w:val="24"/>
          <w:lang w:val="en-US" w:eastAsia="zh-CN" w:bidi="ar-SA"/>
        </w:rPr>
        <w:t>第二部分 2023年度部门决算情况说明</w:t>
      </w:r>
      <w:r>
        <w:rPr>
          <w:rFonts w:hint="eastAsia" w:cs="Times New Roman"/>
          <w:b w:val="0"/>
          <w:bCs w:val="0"/>
          <w:color w:val="000000"/>
          <w:kern w:val="2"/>
          <w:sz w:val="32"/>
          <w:szCs w:val="24"/>
          <w:lang w:val="en-US" w:eastAsia="zh-CN" w:bidi="ar-SA"/>
        </w:rPr>
        <w:tab/>
      </w:r>
      <w:r>
        <w:rPr>
          <w:rFonts w:hint="eastAsia" w:cs="Times New Roman"/>
          <w:b w:val="0"/>
          <w:bCs w:val="0"/>
          <w:color w:val="000000"/>
          <w:kern w:val="2"/>
          <w:sz w:val="32"/>
          <w:szCs w:val="24"/>
          <w:lang w:val="en-US" w:eastAsia="zh-CN" w:bidi="ar-SA"/>
        </w:rPr>
        <w:tab/>
      </w:r>
      <w:r>
        <w:rPr>
          <w:rFonts w:hint="eastAsia" w:cs="Times New Roman"/>
          <w:b w:val="0"/>
          <w:bCs w:val="0"/>
          <w:color w:val="000000"/>
          <w:kern w:val="2"/>
          <w:sz w:val="32"/>
          <w:szCs w:val="24"/>
          <w:lang w:val="en-US" w:eastAsia="zh-CN" w:bidi="ar-SA"/>
        </w:rPr>
        <w:t>6</w:t>
      </w:r>
    </w:p>
    <w:p w14:paraId="15CAFB4D">
      <w:pPr>
        <w:pStyle w:val="13"/>
        <w:keepNext w:val="0"/>
        <w:keepLines w:val="0"/>
        <w:pageBreakBefore w:val="0"/>
        <w:widowControl w:val="0"/>
        <w:tabs>
          <w:tab w:val="right" w:leader="dot" w:pos="6720"/>
        </w:tabs>
        <w:kinsoku/>
        <w:wordWrap/>
        <w:overflowPunct/>
        <w:topLinePunct w:val="0"/>
        <w:autoSpaceDE/>
        <w:autoSpaceDN/>
        <w:bidi w:val="0"/>
        <w:adjustRightInd w:val="0"/>
        <w:snapToGrid w:val="0"/>
        <w:spacing w:line="440" w:lineRule="exact"/>
        <w:jc w:val="left"/>
        <w:textAlignment w:val="auto"/>
        <w:outlineLvl w:val="9"/>
        <w:rPr>
          <w:rFonts w:hint="eastAsia" w:ascii="仿宋" w:hAnsi="仿宋" w:eastAsia="仿宋" w:cs="Times New Roman"/>
          <w:b w:val="0"/>
          <w:bCs w:val="0"/>
          <w:color w:val="000000"/>
          <w:kern w:val="2"/>
          <w:sz w:val="32"/>
          <w:szCs w:val="24"/>
          <w:lang w:val="en-US" w:eastAsia="zh-CN" w:bidi="ar-SA"/>
        </w:rPr>
      </w:pPr>
      <w:r>
        <w:rPr>
          <w:rFonts w:hint="eastAsia" w:ascii="仿宋" w:hAnsi="仿宋" w:eastAsia="仿宋" w:cs="Times New Roman"/>
          <w:b w:val="0"/>
          <w:bCs w:val="0"/>
          <w:color w:val="000000"/>
          <w:kern w:val="2"/>
          <w:sz w:val="32"/>
          <w:szCs w:val="24"/>
          <w:lang w:val="en-US" w:eastAsia="zh-CN" w:bidi="ar-SA"/>
        </w:rPr>
        <w:t>一、收入支出决算总体情况说明</w:t>
      </w:r>
      <w:r>
        <w:rPr>
          <w:rFonts w:hint="eastAsia" w:ascii="仿宋" w:hAnsi="仿宋" w:eastAsia="仿宋" w:cs="Times New Roman"/>
          <w:b w:val="0"/>
          <w:bCs w:val="0"/>
          <w:color w:val="000000"/>
          <w:kern w:val="2"/>
          <w:sz w:val="32"/>
          <w:szCs w:val="24"/>
          <w:lang w:val="en-US" w:eastAsia="zh-CN" w:bidi="ar-SA"/>
        </w:rPr>
        <w:tab/>
      </w:r>
      <w:r>
        <w:rPr>
          <w:rFonts w:hint="eastAsia" w:ascii="仿宋" w:hAnsi="仿宋" w:eastAsia="仿宋" w:cs="Times New Roman"/>
          <w:b w:val="0"/>
          <w:bCs w:val="0"/>
          <w:color w:val="000000"/>
          <w:kern w:val="2"/>
          <w:sz w:val="32"/>
          <w:szCs w:val="24"/>
          <w:lang w:val="en-US" w:eastAsia="zh-CN" w:bidi="ar-SA"/>
        </w:rPr>
        <w:tab/>
      </w:r>
      <w:r>
        <w:rPr>
          <w:rFonts w:hint="eastAsia" w:ascii="仿宋" w:hAnsi="仿宋" w:eastAsia="仿宋" w:cs="Times New Roman"/>
          <w:b w:val="0"/>
          <w:bCs w:val="0"/>
          <w:color w:val="000000"/>
          <w:kern w:val="2"/>
          <w:sz w:val="32"/>
          <w:szCs w:val="24"/>
          <w:lang w:val="en-US" w:eastAsia="zh-CN" w:bidi="ar-SA"/>
        </w:rPr>
        <w:t>6</w:t>
      </w:r>
    </w:p>
    <w:p w14:paraId="328E088A">
      <w:pPr>
        <w:pStyle w:val="13"/>
        <w:keepNext w:val="0"/>
        <w:keepLines w:val="0"/>
        <w:pageBreakBefore w:val="0"/>
        <w:widowControl w:val="0"/>
        <w:tabs>
          <w:tab w:val="right" w:leader="dot" w:pos="6720"/>
        </w:tabs>
        <w:kinsoku/>
        <w:wordWrap/>
        <w:overflowPunct/>
        <w:topLinePunct w:val="0"/>
        <w:autoSpaceDE/>
        <w:autoSpaceDN/>
        <w:bidi w:val="0"/>
        <w:adjustRightInd w:val="0"/>
        <w:snapToGrid w:val="0"/>
        <w:spacing w:line="440" w:lineRule="exact"/>
        <w:jc w:val="left"/>
        <w:textAlignment w:val="auto"/>
        <w:outlineLvl w:val="9"/>
        <w:rPr>
          <w:rFonts w:hint="eastAsia" w:ascii="仿宋" w:hAnsi="仿宋" w:eastAsia="仿宋" w:cs="Times New Roman"/>
          <w:b w:val="0"/>
          <w:bCs w:val="0"/>
          <w:color w:val="000000"/>
          <w:kern w:val="2"/>
          <w:sz w:val="32"/>
          <w:szCs w:val="24"/>
          <w:lang w:val="en-US" w:eastAsia="zh-CN" w:bidi="ar-SA"/>
        </w:rPr>
      </w:pPr>
      <w:r>
        <w:rPr>
          <w:rFonts w:hint="eastAsia" w:ascii="仿宋" w:hAnsi="仿宋" w:eastAsia="仿宋" w:cs="Times New Roman"/>
          <w:b w:val="0"/>
          <w:bCs w:val="0"/>
          <w:color w:val="000000"/>
          <w:kern w:val="2"/>
          <w:sz w:val="32"/>
          <w:szCs w:val="24"/>
          <w:lang w:val="en-US" w:eastAsia="zh-CN" w:bidi="ar-SA"/>
        </w:rPr>
        <w:t>二、收入决算情况说明</w:t>
      </w:r>
      <w:r>
        <w:rPr>
          <w:rFonts w:hint="eastAsia" w:ascii="仿宋" w:hAnsi="仿宋" w:eastAsia="仿宋" w:cs="Times New Roman"/>
          <w:b w:val="0"/>
          <w:bCs w:val="0"/>
          <w:color w:val="000000"/>
          <w:kern w:val="2"/>
          <w:sz w:val="32"/>
          <w:szCs w:val="24"/>
          <w:lang w:val="en-US" w:eastAsia="zh-CN" w:bidi="ar-SA"/>
        </w:rPr>
        <w:tab/>
      </w:r>
      <w:r>
        <w:rPr>
          <w:rFonts w:hint="eastAsia" w:ascii="仿宋" w:hAnsi="仿宋" w:eastAsia="仿宋" w:cs="Times New Roman"/>
          <w:b w:val="0"/>
          <w:bCs w:val="0"/>
          <w:color w:val="000000"/>
          <w:kern w:val="2"/>
          <w:sz w:val="32"/>
          <w:szCs w:val="24"/>
          <w:lang w:val="en-US" w:eastAsia="zh-CN" w:bidi="ar-SA"/>
        </w:rPr>
        <w:tab/>
      </w:r>
      <w:r>
        <w:rPr>
          <w:rFonts w:hint="eastAsia" w:ascii="仿宋" w:hAnsi="仿宋" w:eastAsia="仿宋" w:cs="Times New Roman"/>
          <w:b w:val="0"/>
          <w:bCs w:val="0"/>
          <w:color w:val="000000"/>
          <w:kern w:val="2"/>
          <w:sz w:val="32"/>
          <w:szCs w:val="24"/>
          <w:lang w:val="en-US" w:eastAsia="zh-CN" w:bidi="ar-SA"/>
        </w:rPr>
        <w:t>6</w:t>
      </w:r>
    </w:p>
    <w:p w14:paraId="2EC3F094">
      <w:pPr>
        <w:pStyle w:val="13"/>
        <w:keepNext w:val="0"/>
        <w:keepLines w:val="0"/>
        <w:pageBreakBefore w:val="0"/>
        <w:widowControl w:val="0"/>
        <w:tabs>
          <w:tab w:val="right" w:leader="dot" w:pos="6720"/>
        </w:tabs>
        <w:kinsoku/>
        <w:wordWrap/>
        <w:overflowPunct/>
        <w:topLinePunct w:val="0"/>
        <w:autoSpaceDE/>
        <w:autoSpaceDN/>
        <w:bidi w:val="0"/>
        <w:adjustRightInd w:val="0"/>
        <w:snapToGrid w:val="0"/>
        <w:spacing w:line="440" w:lineRule="exact"/>
        <w:jc w:val="left"/>
        <w:textAlignment w:val="auto"/>
        <w:outlineLvl w:val="9"/>
        <w:rPr>
          <w:rFonts w:hint="eastAsia" w:ascii="仿宋" w:hAnsi="仿宋" w:eastAsia="仿宋" w:cs="Times New Roman"/>
          <w:b w:val="0"/>
          <w:bCs w:val="0"/>
          <w:color w:val="000000"/>
          <w:kern w:val="2"/>
          <w:sz w:val="32"/>
          <w:szCs w:val="24"/>
          <w:lang w:val="en-US" w:eastAsia="zh-CN" w:bidi="ar-SA"/>
        </w:rPr>
      </w:pPr>
      <w:r>
        <w:rPr>
          <w:rFonts w:hint="eastAsia" w:ascii="仿宋" w:hAnsi="仿宋" w:eastAsia="仿宋" w:cs="Times New Roman"/>
          <w:b w:val="0"/>
          <w:bCs w:val="0"/>
          <w:color w:val="000000"/>
          <w:kern w:val="2"/>
          <w:sz w:val="32"/>
          <w:szCs w:val="24"/>
          <w:lang w:val="en-US" w:eastAsia="zh-CN" w:bidi="ar-SA"/>
        </w:rPr>
        <w:t>三、支出决算情况说明</w:t>
      </w:r>
      <w:r>
        <w:rPr>
          <w:rFonts w:hint="eastAsia" w:ascii="仿宋" w:hAnsi="仿宋" w:eastAsia="仿宋" w:cs="Times New Roman"/>
          <w:b w:val="0"/>
          <w:bCs w:val="0"/>
          <w:color w:val="000000"/>
          <w:kern w:val="2"/>
          <w:sz w:val="32"/>
          <w:szCs w:val="24"/>
          <w:lang w:val="en-US" w:eastAsia="zh-CN" w:bidi="ar-SA"/>
        </w:rPr>
        <w:tab/>
      </w:r>
      <w:r>
        <w:rPr>
          <w:rFonts w:hint="eastAsia" w:ascii="仿宋" w:hAnsi="仿宋" w:eastAsia="仿宋" w:cs="Times New Roman"/>
          <w:b w:val="0"/>
          <w:bCs w:val="0"/>
          <w:color w:val="000000"/>
          <w:kern w:val="2"/>
          <w:sz w:val="32"/>
          <w:szCs w:val="24"/>
          <w:lang w:val="en-US" w:eastAsia="zh-CN" w:bidi="ar-SA"/>
        </w:rPr>
        <w:tab/>
      </w:r>
      <w:r>
        <w:rPr>
          <w:rFonts w:hint="eastAsia" w:ascii="仿宋" w:hAnsi="仿宋" w:eastAsia="仿宋" w:cs="Times New Roman"/>
          <w:b w:val="0"/>
          <w:bCs w:val="0"/>
          <w:color w:val="000000"/>
          <w:kern w:val="2"/>
          <w:sz w:val="32"/>
          <w:szCs w:val="24"/>
          <w:lang w:val="en-US" w:eastAsia="zh-CN" w:bidi="ar-SA"/>
        </w:rPr>
        <w:t>7</w:t>
      </w:r>
    </w:p>
    <w:p w14:paraId="66CCAB75">
      <w:pPr>
        <w:pStyle w:val="13"/>
        <w:keepNext w:val="0"/>
        <w:keepLines w:val="0"/>
        <w:pageBreakBefore w:val="0"/>
        <w:widowControl w:val="0"/>
        <w:tabs>
          <w:tab w:val="right" w:leader="dot" w:pos="6720"/>
        </w:tabs>
        <w:kinsoku/>
        <w:wordWrap/>
        <w:overflowPunct/>
        <w:topLinePunct w:val="0"/>
        <w:autoSpaceDE/>
        <w:autoSpaceDN/>
        <w:bidi w:val="0"/>
        <w:adjustRightInd w:val="0"/>
        <w:snapToGrid w:val="0"/>
        <w:spacing w:line="440" w:lineRule="exact"/>
        <w:jc w:val="left"/>
        <w:textAlignment w:val="auto"/>
        <w:outlineLvl w:val="9"/>
        <w:rPr>
          <w:rFonts w:hint="eastAsia" w:ascii="仿宋" w:hAnsi="仿宋" w:eastAsia="仿宋" w:cs="Times New Roman"/>
          <w:b w:val="0"/>
          <w:bCs w:val="0"/>
          <w:color w:val="000000"/>
          <w:kern w:val="2"/>
          <w:sz w:val="32"/>
          <w:szCs w:val="24"/>
          <w:lang w:val="en-US" w:eastAsia="zh-CN" w:bidi="ar-SA"/>
        </w:rPr>
      </w:pPr>
      <w:r>
        <w:rPr>
          <w:rFonts w:hint="eastAsia" w:ascii="仿宋" w:hAnsi="仿宋" w:eastAsia="仿宋" w:cs="Times New Roman"/>
          <w:b w:val="0"/>
          <w:bCs w:val="0"/>
          <w:color w:val="000000"/>
          <w:kern w:val="2"/>
          <w:sz w:val="32"/>
          <w:szCs w:val="24"/>
          <w:lang w:val="en-US" w:eastAsia="zh-CN" w:bidi="ar-SA"/>
        </w:rPr>
        <w:t>四、财政拨款收入支出决算总体情况说明</w:t>
      </w:r>
      <w:r>
        <w:rPr>
          <w:rFonts w:hint="eastAsia" w:ascii="仿宋" w:hAnsi="仿宋" w:eastAsia="仿宋" w:cs="Times New Roman"/>
          <w:b w:val="0"/>
          <w:bCs w:val="0"/>
          <w:color w:val="000000"/>
          <w:kern w:val="2"/>
          <w:sz w:val="32"/>
          <w:szCs w:val="24"/>
          <w:lang w:val="en-US" w:eastAsia="zh-CN" w:bidi="ar-SA"/>
        </w:rPr>
        <w:tab/>
      </w:r>
      <w:r>
        <w:rPr>
          <w:rFonts w:hint="eastAsia" w:ascii="仿宋" w:hAnsi="仿宋" w:eastAsia="仿宋" w:cs="Times New Roman"/>
          <w:b w:val="0"/>
          <w:bCs w:val="0"/>
          <w:color w:val="000000"/>
          <w:kern w:val="2"/>
          <w:sz w:val="32"/>
          <w:szCs w:val="24"/>
          <w:lang w:val="en-US" w:eastAsia="zh-CN" w:bidi="ar-SA"/>
        </w:rPr>
        <w:tab/>
      </w:r>
      <w:r>
        <w:rPr>
          <w:rFonts w:hint="eastAsia" w:ascii="仿宋" w:hAnsi="仿宋" w:eastAsia="仿宋" w:cs="Times New Roman"/>
          <w:b w:val="0"/>
          <w:bCs w:val="0"/>
          <w:color w:val="000000"/>
          <w:kern w:val="2"/>
          <w:sz w:val="32"/>
          <w:szCs w:val="24"/>
          <w:lang w:val="en-US" w:eastAsia="zh-CN" w:bidi="ar-SA"/>
        </w:rPr>
        <w:t>8</w:t>
      </w:r>
    </w:p>
    <w:p w14:paraId="4FC60514">
      <w:pPr>
        <w:pStyle w:val="13"/>
        <w:keepNext w:val="0"/>
        <w:keepLines w:val="0"/>
        <w:pageBreakBefore w:val="0"/>
        <w:widowControl w:val="0"/>
        <w:tabs>
          <w:tab w:val="right" w:leader="dot" w:pos="6720"/>
        </w:tabs>
        <w:kinsoku/>
        <w:wordWrap/>
        <w:overflowPunct/>
        <w:topLinePunct w:val="0"/>
        <w:autoSpaceDE/>
        <w:autoSpaceDN/>
        <w:bidi w:val="0"/>
        <w:adjustRightInd w:val="0"/>
        <w:snapToGrid w:val="0"/>
        <w:spacing w:line="440" w:lineRule="exact"/>
        <w:jc w:val="left"/>
        <w:textAlignment w:val="auto"/>
        <w:outlineLvl w:val="9"/>
        <w:rPr>
          <w:rFonts w:hint="eastAsia" w:ascii="仿宋" w:hAnsi="仿宋" w:eastAsia="仿宋" w:cs="Times New Roman"/>
          <w:b w:val="0"/>
          <w:bCs w:val="0"/>
          <w:color w:val="000000"/>
          <w:kern w:val="2"/>
          <w:sz w:val="32"/>
          <w:szCs w:val="24"/>
          <w:lang w:val="en-US" w:eastAsia="zh-CN" w:bidi="ar-SA"/>
        </w:rPr>
      </w:pPr>
      <w:r>
        <w:rPr>
          <w:rFonts w:hint="eastAsia" w:ascii="仿宋" w:hAnsi="仿宋" w:eastAsia="仿宋" w:cs="Times New Roman"/>
          <w:b w:val="0"/>
          <w:bCs w:val="0"/>
          <w:color w:val="000000"/>
          <w:kern w:val="2"/>
          <w:sz w:val="32"/>
          <w:szCs w:val="24"/>
          <w:lang w:val="en-US" w:eastAsia="zh-CN" w:bidi="ar-SA"/>
        </w:rPr>
        <w:t>五、一般公共预算财政拨款支出决算情况说明</w:t>
      </w:r>
      <w:r>
        <w:rPr>
          <w:rFonts w:hint="eastAsia" w:ascii="仿宋" w:hAnsi="仿宋" w:eastAsia="仿宋" w:cs="Times New Roman"/>
          <w:b w:val="0"/>
          <w:bCs w:val="0"/>
          <w:color w:val="000000"/>
          <w:kern w:val="2"/>
          <w:sz w:val="32"/>
          <w:szCs w:val="24"/>
          <w:lang w:val="en-US" w:eastAsia="zh-CN" w:bidi="ar-SA"/>
        </w:rPr>
        <w:tab/>
      </w:r>
      <w:r>
        <w:rPr>
          <w:rFonts w:hint="eastAsia" w:ascii="仿宋" w:hAnsi="仿宋" w:eastAsia="仿宋" w:cs="Times New Roman"/>
          <w:b w:val="0"/>
          <w:bCs w:val="0"/>
          <w:color w:val="000000"/>
          <w:kern w:val="2"/>
          <w:sz w:val="32"/>
          <w:szCs w:val="24"/>
          <w:lang w:val="en-US" w:eastAsia="zh-CN" w:bidi="ar-SA"/>
        </w:rPr>
        <w:t>9</w:t>
      </w:r>
    </w:p>
    <w:p w14:paraId="1DBF9EE0">
      <w:pPr>
        <w:pStyle w:val="13"/>
        <w:keepNext w:val="0"/>
        <w:keepLines w:val="0"/>
        <w:pageBreakBefore w:val="0"/>
        <w:widowControl w:val="0"/>
        <w:tabs>
          <w:tab w:val="right" w:leader="dot" w:pos="6720"/>
        </w:tabs>
        <w:kinsoku/>
        <w:wordWrap/>
        <w:overflowPunct/>
        <w:topLinePunct w:val="0"/>
        <w:autoSpaceDE/>
        <w:autoSpaceDN/>
        <w:bidi w:val="0"/>
        <w:adjustRightInd w:val="0"/>
        <w:snapToGrid w:val="0"/>
        <w:spacing w:line="440" w:lineRule="exact"/>
        <w:jc w:val="left"/>
        <w:textAlignment w:val="auto"/>
        <w:outlineLvl w:val="9"/>
        <w:rPr>
          <w:rFonts w:hint="eastAsia" w:ascii="仿宋" w:hAnsi="仿宋" w:eastAsia="仿宋" w:cs="Times New Roman"/>
          <w:b w:val="0"/>
          <w:bCs w:val="0"/>
          <w:color w:val="000000"/>
          <w:kern w:val="2"/>
          <w:sz w:val="32"/>
          <w:szCs w:val="24"/>
          <w:lang w:val="en-US" w:eastAsia="zh-CN" w:bidi="ar-SA"/>
        </w:rPr>
      </w:pPr>
      <w:r>
        <w:rPr>
          <w:rFonts w:hint="eastAsia" w:ascii="仿宋" w:hAnsi="仿宋" w:eastAsia="仿宋" w:cs="Times New Roman"/>
          <w:b w:val="0"/>
          <w:bCs w:val="0"/>
          <w:color w:val="000000"/>
          <w:kern w:val="2"/>
          <w:sz w:val="32"/>
          <w:szCs w:val="24"/>
          <w:lang w:val="en-US" w:eastAsia="zh-CN" w:bidi="ar-SA"/>
        </w:rPr>
        <w:t>六、一般公共预算财政拨款基本支出决算情况说明</w:t>
      </w:r>
      <w:r>
        <w:rPr>
          <w:rFonts w:hint="eastAsia" w:ascii="仿宋" w:hAnsi="仿宋" w:eastAsia="仿宋" w:cs="Times New Roman"/>
          <w:b w:val="0"/>
          <w:bCs w:val="0"/>
          <w:color w:val="000000"/>
          <w:kern w:val="2"/>
          <w:sz w:val="32"/>
          <w:szCs w:val="24"/>
          <w:lang w:val="en-US" w:eastAsia="zh-CN" w:bidi="ar-SA"/>
        </w:rPr>
        <w:tab/>
      </w:r>
      <w:r>
        <w:rPr>
          <w:rFonts w:hint="eastAsia" w:ascii="仿宋" w:hAnsi="仿宋" w:eastAsia="仿宋" w:cs="Times New Roman"/>
          <w:b w:val="0"/>
          <w:bCs w:val="0"/>
          <w:color w:val="000000"/>
          <w:kern w:val="2"/>
          <w:sz w:val="32"/>
          <w:szCs w:val="24"/>
          <w:lang w:val="en-US" w:eastAsia="zh-CN" w:bidi="ar-SA"/>
        </w:rPr>
        <w:t>12</w:t>
      </w:r>
    </w:p>
    <w:p w14:paraId="493726D9">
      <w:pPr>
        <w:pStyle w:val="13"/>
        <w:keepNext w:val="0"/>
        <w:keepLines w:val="0"/>
        <w:pageBreakBefore w:val="0"/>
        <w:widowControl w:val="0"/>
        <w:tabs>
          <w:tab w:val="right" w:leader="dot" w:pos="6720"/>
        </w:tabs>
        <w:kinsoku/>
        <w:wordWrap/>
        <w:overflowPunct/>
        <w:topLinePunct w:val="0"/>
        <w:autoSpaceDE/>
        <w:autoSpaceDN/>
        <w:bidi w:val="0"/>
        <w:adjustRightInd w:val="0"/>
        <w:snapToGrid w:val="0"/>
        <w:spacing w:line="440" w:lineRule="exact"/>
        <w:jc w:val="left"/>
        <w:textAlignment w:val="auto"/>
        <w:outlineLvl w:val="9"/>
        <w:rPr>
          <w:rFonts w:hint="eastAsia" w:ascii="仿宋" w:hAnsi="仿宋" w:eastAsia="仿宋" w:cs="Times New Roman"/>
          <w:b w:val="0"/>
          <w:bCs w:val="0"/>
          <w:color w:val="000000"/>
          <w:kern w:val="2"/>
          <w:sz w:val="32"/>
          <w:szCs w:val="24"/>
          <w:lang w:val="en-US" w:eastAsia="zh-CN" w:bidi="ar-SA"/>
        </w:rPr>
      </w:pPr>
      <w:r>
        <w:rPr>
          <w:rFonts w:hint="eastAsia" w:ascii="仿宋" w:hAnsi="仿宋" w:eastAsia="仿宋" w:cs="Times New Roman"/>
          <w:b w:val="0"/>
          <w:bCs w:val="0"/>
          <w:color w:val="000000"/>
          <w:kern w:val="2"/>
          <w:sz w:val="32"/>
          <w:szCs w:val="24"/>
          <w:lang w:val="en-US" w:eastAsia="zh-CN" w:bidi="ar-SA"/>
        </w:rPr>
        <w:t>七、财政拨款“三公”经费支出决算情况说明</w:t>
      </w:r>
      <w:r>
        <w:rPr>
          <w:rFonts w:hint="eastAsia" w:ascii="仿宋" w:hAnsi="仿宋" w:eastAsia="仿宋" w:cs="Times New Roman"/>
          <w:b w:val="0"/>
          <w:bCs w:val="0"/>
          <w:color w:val="000000"/>
          <w:kern w:val="2"/>
          <w:sz w:val="32"/>
          <w:szCs w:val="24"/>
          <w:lang w:val="en-US" w:eastAsia="zh-CN" w:bidi="ar-SA"/>
        </w:rPr>
        <w:tab/>
      </w:r>
      <w:r>
        <w:rPr>
          <w:rFonts w:hint="eastAsia" w:ascii="仿宋" w:hAnsi="仿宋" w:eastAsia="仿宋" w:cs="Times New Roman"/>
          <w:b w:val="0"/>
          <w:bCs w:val="0"/>
          <w:color w:val="000000"/>
          <w:kern w:val="2"/>
          <w:sz w:val="32"/>
          <w:szCs w:val="24"/>
          <w:lang w:val="en-US" w:eastAsia="zh-CN" w:bidi="ar-SA"/>
        </w:rPr>
        <w:t>13</w:t>
      </w:r>
    </w:p>
    <w:p w14:paraId="466FC1B8">
      <w:pPr>
        <w:pStyle w:val="13"/>
        <w:keepNext w:val="0"/>
        <w:keepLines w:val="0"/>
        <w:pageBreakBefore w:val="0"/>
        <w:widowControl w:val="0"/>
        <w:tabs>
          <w:tab w:val="right" w:leader="dot" w:pos="6720"/>
        </w:tabs>
        <w:kinsoku/>
        <w:wordWrap/>
        <w:overflowPunct/>
        <w:topLinePunct w:val="0"/>
        <w:autoSpaceDE/>
        <w:autoSpaceDN/>
        <w:bidi w:val="0"/>
        <w:adjustRightInd w:val="0"/>
        <w:snapToGrid w:val="0"/>
        <w:spacing w:line="440" w:lineRule="exact"/>
        <w:jc w:val="left"/>
        <w:textAlignment w:val="auto"/>
        <w:outlineLvl w:val="9"/>
        <w:rPr>
          <w:rFonts w:hint="eastAsia" w:ascii="仿宋" w:hAnsi="仿宋" w:eastAsia="仿宋" w:cs="Times New Roman"/>
          <w:b w:val="0"/>
          <w:bCs w:val="0"/>
          <w:color w:val="000000"/>
          <w:kern w:val="2"/>
          <w:sz w:val="32"/>
          <w:szCs w:val="24"/>
          <w:lang w:val="en-US" w:eastAsia="zh-CN" w:bidi="ar-SA"/>
        </w:rPr>
      </w:pPr>
      <w:r>
        <w:rPr>
          <w:rFonts w:hint="eastAsia" w:ascii="仿宋" w:hAnsi="仿宋" w:eastAsia="仿宋" w:cs="Times New Roman"/>
          <w:b w:val="0"/>
          <w:bCs w:val="0"/>
          <w:color w:val="000000"/>
          <w:kern w:val="2"/>
          <w:sz w:val="32"/>
          <w:szCs w:val="24"/>
          <w:lang w:val="en-US" w:eastAsia="zh-CN" w:bidi="ar-SA"/>
        </w:rPr>
        <w:t>八、政府性基金预算支出决算情况说明</w:t>
      </w:r>
      <w:r>
        <w:rPr>
          <w:rFonts w:hint="eastAsia" w:ascii="仿宋" w:hAnsi="仿宋" w:eastAsia="仿宋" w:cs="Times New Roman"/>
          <w:b w:val="0"/>
          <w:bCs w:val="0"/>
          <w:color w:val="000000"/>
          <w:kern w:val="2"/>
          <w:sz w:val="32"/>
          <w:szCs w:val="24"/>
          <w:lang w:val="en-US" w:eastAsia="zh-CN" w:bidi="ar-SA"/>
        </w:rPr>
        <w:tab/>
      </w:r>
      <w:r>
        <w:rPr>
          <w:rFonts w:hint="eastAsia" w:ascii="仿宋" w:hAnsi="仿宋" w:eastAsia="仿宋" w:cs="Times New Roman"/>
          <w:b w:val="0"/>
          <w:bCs w:val="0"/>
          <w:color w:val="000000"/>
          <w:kern w:val="2"/>
          <w:sz w:val="32"/>
          <w:szCs w:val="24"/>
          <w:lang w:val="en-US" w:eastAsia="zh-CN" w:bidi="ar-SA"/>
        </w:rPr>
        <w:tab/>
      </w:r>
      <w:r>
        <w:rPr>
          <w:rFonts w:hint="eastAsia" w:ascii="仿宋" w:hAnsi="仿宋" w:eastAsia="仿宋" w:cs="Times New Roman"/>
          <w:b w:val="0"/>
          <w:bCs w:val="0"/>
          <w:color w:val="000000"/>
          <w:kern w:val="2"/>
          <w:sz w:val="32"/>
          <w:szCs w:val="24"/>
          <w:lang w:val="en-US" w:eastAsia="zh-CN" w:bidi="ar-SA"/>
        </w:rPr>
        <w:t>15</w:t>
      </w:r>
    </w:p>
    <w:p w14:paraId="5D93C42F">
      <w:pPr>
        <w:pStyle w:val="13"/>
        <w:keepNext w:val="0"/>
        <w:keepLines w:val="0"/>
        <w:pageBreakBefore w:val="0"/>
        <w:widowControl w:val="0"/>
        <w:tabs>
          <w:tab w:val="right" w:leader="dot" w:pos="6720"/>
        </w:tabs>
        <w:kinsoku/>
        <w:wordWrap/>
        <w:overflowPunct/>
        <w:topLinePunct w:val="0"/>
        <w:autoSpaceDE/>
        <w:autoSpaceDN/>
        <w:bidi w:val="0"/>
        <w:adjustRightInd w:val="0"/>
        <w:snapToGrid w:val="0"/>
        <w:spacing w:line="440" w:lineRule="exact"/>
        <w:ind w:leftChars="0"/>
        <w:jc w:val="left"/>
        <w:textAlignment w:val="auto"/>
        <w:outlineLvl w:val="9"/>
        <w:rPr>
          <w:rFonts w:hint="eastAsia" w:ascii="仿宋" w:hAnsi="仿宋" w:eastAsia="仿宋" w:cs="Times New Roman"/>
          <w:b w:val="0"/>
          <w:bCs w:val="0"/>
          <w:color w:val="000000"/>
          <w:kern w:val="2"/>
          <w:sz w:val="32"/>
          <w:szCs w:val="24"/>
          <w:lang w:val="en-US" w:eastAsia="zh-CN" w:bidi="ar-SA"/>
        </w:rPr>
      </w:pPr>
      <w:r>
        <w:rPr>
          <w:rFonts w:hint="eastAsia" w:ascii="仿宋" w:hAnsi="仿宋" w:eastAsia="仿宋" w:cs="Times New Roman"/>
          <w:b w:val="0"/>
          <w:bCs w:val="0"/>
          <w:color w:val="000000"/>
          <w:kern w:val="2"/>
          <w:sz w:val="32"/>
          <w:szCs w:val="24"/>
          <w:lang w:val="en-US" w:eastAsia="zh-CN" w:bidi="ar-SA"/>
        </w:rPr>
        <w:t>九、国有资本经营预算支出决算情况说明</w:t>
      </w:r>
      <w:r>
        <w:rPr>
          <w:rFonts w:hint="eastAsia" w:ascii="仿宋" w:hAnsi="仿宋" w:eastAsia="仿宋" w:cs="Times New Roman"/>
          <w:b w:val="0"/>
          <w:bCs w:val="0"/>
          <w:color w:val="000000"/>
          <w:kern w:val="2"/>
          <w:sz w:val="32"/>
          <w:szCs w:val="24"/>
          <w:lang w:val="en-US" w:eastAsia="zh-CN" w:bidi="ar-SA"/>
        </w:rPr>
        <w:tab/>
      </w:r>
      <w:r>
        <w:rPr>
          <w:rFonts w:hint="eastAsia" w:ascii="仿宋" w:hAnsi="仿宋" w:eastAsia="仿宋" w:cs="Times New Roman"/>
          <w:b w:val="0"/>
          <w:bCs w:val="0"/>
          <w:color w:val="000000"/>
          <w:kern w:val="2"/>
          <w:sz w:val="32"/>
          <w:szCs w:val="24"/>
          <w:lang w:val="en-US" w:eastAsia="zh-CN" w:bidi="ar-SA"/>
        </w:rPr>
        <w:tab/>
      </w:r>
      <w:r>
        <w:rPr>
          <w:rFonts w:hint="eastAsia" w:ascii="仿宋" w:hAnsi="仿宋" w:eastAsia="仿宋" w:cs="Times New Roman"/>
          <w:b w:val="0"/>
          <w:bCs w:val="0"/>
          <w:color w:val="000000"/>
          <w:kern w:val="2"/>
          <w:sz w:val="32"/>
          <w:szCs w:val="24"/>
          <w:lang w:val="en-US" w:eastAsia="zh-CN" w:bidi="ar-SA"/>
        </w:rPr>
        <w:t>15</w:t>
      </w:r>
    </w:p>
    <w:p w14:paraId="3078C9AA">
      <w:pPr>
        <w:keepNext w:val="0"/>
        <w:keepLines w:val="0"/>
        <w:pageBreakBefore w:val="0"/>
        <w:widowControl w:val="0"/>
        <w:tabs>
          <w:tab w:val="right" w:leader="dot" w:pos="6720"/>
          <w:tab w:val="right" w:leader="dot" w:pos="8296"/>
        </w:tabs>
        <w:kinsoku/>
        <w:wordWrap/>
        <w:overflowPunct/>
        <w:topLinePunct w:val="0"/>
        <w:autoSpaceDE/>
        <w:autoSpaceDN/>
        <w:bidi w:val="0"/>
        <w:adjustRightInd w:val="0"/>
        <w:snapToGrid w:val="0"/>
        <w:spacing w:line="440" w:lineRule="exact"/>
        <w:ind w:firstLine="560" w:firstLineChars="175"/>
        <w:jc w:val="left"/>
        <w:textAlignment w:val="auto"/>
        <w:outlineLvl w:val="9"/>
        <w:rPr>
          <w:rFonts w:hint="eastAsia" w:ascii="仿宋" w:hAnsi="仿宋" w:eastAsia="仿宋" w:cs="Times New Roman"/>
          <w:b w:val="0"/>
          <w:bCs w:val="0"/>
          <w:color w:val="000000"/>
          <w:kern w:val="2"/>
          <w:sz w:val="32"/>
          <w:szCs w:val="24"/>
          <w:lang w:val="en-US" w:eastAsia="zh-CN" w:bidi="ar-SA"/>
        </w:rPr>
      </w:pPr>
      <w:r>
        <w:rPr>
          <w:rFonts w:hint="eastAsia" w:ascii="仿宋" w:hAnsi="仿宋" w:eastAsia="仿宋" w:cs="Times New Roman"/>
          <w:b w:val="0"/>
          <w:bCs w:val="0"/>
          <w:color w:val="000000"/>
          <w:kern w:val="2"/>
          <w:sz w:val="32"/>
          <w:szCs w:val="24"/>
          <w:lang w:val="en-US" w:eastAsia="zh-CN" w:bidi="ar-SA"/>
        </w:rPr>
        <w:t>十、其他重要事项的情况说明</w:t>
      </w:r>
      <w:r>
        <w:rPr>
          <w:rFonts w:hint="eastAsia" w:ascii="仿宋" w:hAnsi="仿宋" w:eastAsia="仿宋" w:cs="Times New Roman"/>
          <w:b w:val="0"/>
          <w:bCs w:val="0"/>
          <w:color w:val="000000"/>
          <w:kern w:val="2"/>
          <w:sz w:val="32"/>
          <w:szCs w:val="24"/>
          <w:lang w:val="en-US" w:eastAsia="zh-CN" w:bidi="ar-SA"/>
        </w:rPr>
        <w:tab/>
      </w:r>
      <w:r>
        <w:rPr>
          <w:rFonts w:hint="eastAsia" w:ascii="仿宋" w:hAnsi="仿宋" w:eastAsia="仿宋" w:cs="Times New Roman"/>
          <w:b w:val="0"/>
          <w:bCs w:val="0"/>
          <w:color w:val="000000"/>
          <w:kern w:val="2"/>
          <w:sz w:val="32"/>
          <w:szCs w:val="24"/>
          <w:lang w:val="en-US" w:eastAsia="zh-CN" w:bidi="ar-SA"/>
        </w:rPr>
        <w:tab/>
      </w:r>
      <w:r>
        <w:rPr>
          <w:rFonts w:hint="eastAsia" w:ascii="仿宋" w:hAnsi="仿宋" w:eastAsia="仿宋" w:cs="Times New Roman"/>
          <w:b w:val="0"/>
          <w:bCs w:val="0"/>
          <w:color w:val="000000"/>
          <w:kern w:val="2"/>
          <w:sz w:val="32"/>
          <w:szCs w:val="24"/>
          <w:lang w:val="en-US" w:eastAsia="zh-CN" w:bidi="ar-SA"/>
        </w:rPr>
        <w:t>15</w:t>
      </w:r>
    </w:p>
    <w:p w14:paraId="31178C91">
      <w:pPr>
        <w:pStyle w:val="12"/>
        <w:keepNext w:val="0"/>
        <w:keepLines w:val="0"/>
        <w:pageBreakBefore w:val="0"/>
        <w:widowControl w:val="0"/>
        <w:tabs>
          <w:tab w:val="right" w:leader="dot" w:pos="6720"/>
        </w:tabs>
        <w:kinsoku/>
        <w:wordWrap/>
        <w:overflowPunct/>
        <w:topLinePunct w:val="0"/>
        <w:autoSpaceDE/>
        <w:autoSpaceDN/>
        <w:bidi w:val="0"/>
        <w:adjustRightInd w:val="0"/>
        <w:snapToGrid w:val="0"/>
        <w:spacing w:before="0" w:line="440" w:lineRule="exact"/>
        <w:jc w:val="left"/>
        <w:textAlignment w:val="auto"/>
        <w:outlineLvl w:val="9"/>
        <w:rPr>
          <w:rFonts w:hint="eastAsia" w:ascii="仿宋" w:hAnsi="仿宋" w:eastAsia="仿宋" w:cs="Times New Roman"/>
          <w:b w:val="0"/>
          <w:bCs w:val="0"/>
          <w:color w:val="000000"/>
          <w:kern w:val="2"/>
          <w:sz w:val="32"/>
          <w:szCs w:val="24"/>
          <w:lang w:val="en-US" w:eastAsia="zh-CN" w:bidi="ar-SA"/>
        </w:rPr>
      </w:pPr>
      <w:r>
        <w:rPr>
          <w:rFonts w:hint="eastAsia" w:ascii="仿宋" w:hAnsi="仿宋" w:eastAsia="仿宋" w:cs="Times New Roman"/>
          <w:b w:val="0"/>
          <w:bCs w:val="0"/>
          <w:color w:val="000000"/>
          <w:kern w:val="2"/>
          <w:sz w:val="32"/>
          <w:szCs w:val="24"/>
          <w:lang w:val="en-US" w:eastAsia="zh-CN" w:bidi="ar-SA"/>
        </w:rPr>
        <w:t>第三部分 名词解释</w:t>
      </w:r>
      <w:r>
        <w:rPr>
          <w:rFonts w:hint="eastAsia" w:cs="Times New Roman"/>
          <w:b w:val="0"/>
          <w:bCs w:val="0"/>
          <w:color w:val="000000"/>
          <w:kern w:val="2"/>
          <w:sz w:val="32"/>
          <w:szCs w:val="24"/>
          <w:lang w:val="en-US" w:eastAsia="zh-CN" w:bidi="ar-SA"/>
        </w:rPr>
        <w:tab/>
      </w:r>
      <w:r>
        <w:rPr>
          <w:rFonts w:hint="eastAsia" w:cs="Times New Roman"/>
          <w:b w:val="0"/>
          <w:bCs w:val="0"/>
          <w:color w:val="000000"/>
          <w:kern w:val="2"/>
          <w:sz w:val="32"/>
          <w:szCs w:val="24"/>
          <w:lang w:val="en-US" w:eastAsia="zh-CN" w:bidi="ar-SA"/>
        </w:rPr>
        <w:tab/>
      </w:r>
      <w:r>
        <w:rPr>
          <w:rFonts w:hint="eastAsia" w:cs="Times New Roman"/>
          <w:b w:val="0"/>
          <w:bCs w:val="0"/>
          <w:color w:val="000000"/>
          <w:kern w:val="2"/>
          <w:sz w:val="32"/>
          <w:szCs w:val="24"/>
          <w:lang w:val="en-US" w:eastAsia="zh-CN" w:bidi="ar-SA"/>
        </w:rPr>
        <w:t>22</w:t>
      </w:r>
    </w:p>
    <w:p w14:paraId="7BDEE222">
      <w:pPr>
        <w:pStyle w:val="12"/>
        <w:keepNext w:val="0"/>
        <w:keepLines w:val="0"/>
        <w:pageBreakBefore w:val="0"/>
        <w:widowControl w:val="0"/>
        <w:tabs>
          <w:tab w:val="right" w:leader="dot" w:pos="6720"/>
        </w:tabs>
        <w:kinsoku/>
        <w:wordWrap/>
        <w:overflowPunct/>
        <w:topLinePunct w:val="0"/>
        <w:autoSpaceDE/>
        <w:autoSpaceDN/>
        <w:bidi w:val="0"/>
        <w:adjustRightInd w:val="0"/>
        <w:snapToGrid w:val="0"/>
        <w:spacing w:before="0" w:line="440" w:lineRule="exact"/>
        <w:jc w:val="left"/>
        <w:textAlignment w:val="auto"/>
        <w:outlineLvl w:val="9"/>
        <w:rPr>
          <w:rFonts w:hint="eastAsia" w:ascii="仿宋" w:hAnsi="仿宋" w:eastAsia="仿宋" w:cs="Times New Roman"/>
          <w:b w:val="0"/>
          <w:bCs w:val="0"/>
          <w:color w:val="000000"/>
          <w:kern w:val="2"/>
          <w:sz w:val="32"/>
          <w:szCs w:val="24"/>
          <w:lang w:val="en-US" w:eastAsia="zh-CN" w:bidi="ar-SA"/>
        </w:rPr>
      </w:pPr>
      <w:r>
        <w:rPr>
          <w:rFonts w:hint="eastAsia" w:ascii="仿宋" w:hAnsi="仿宋" w:eastAsia="仿宋" w:cs="Times New Roman"/>
          <w:b w:val="0"/>
          <w:bCs w:val="0"/>
          <w:color w:val="000000"/>
          <w:kern w:val="2"/>
          <w:sz w:val="32"/>
          <w:szCs w:val="24"/>
          <w:lang w:val="en-US" w:eastAsia="zh-CN" w:bidi="ar-SA"/>
        </w:rPr>
        <w:t>第四部分 附件</w:t>
      </w:r>
      <w:r>
        <w:rPr>
          <w:rFonts w:hint="eastAsia" w:cs="Times New Roman"/>
          <w:b w:val="0"/>
          <w:bCs w:val="0"/>
          <w:color w:val="000000"/>
          <w:kern w:val="2"/>
          <w:sz w:val="32"/>
          <w:szCs w:val="24"/>
          <w:lang w:val="en-US" w:eastAsia="zh-CN" w:bidi="ar-SA"/>
        </w:rPr>
        <w:tab/>
      </w:r>
      <w:r>
        <w:rPr>
          <w:rFonts w:hint="eastAsia" w:cs="Times New Roman"/>
          <w:b w:val="0"/>
          <w:bCs w:val="0"/>
          <w:color w:val="000000"/>
          <w:kern w:val="2"/>
          <w:sz w:val="32"/>
          <w:szCs w:val="24"/>
          <w:lang w:val="en-US" w:eastAsia="zh-CN" w:bidi="ar-SA"/>
        </w:rPr>
        <w:tab/>
      </w:r>
      <w:r>
        <w:rPr>
          <w:rFonts w:hint="eastAsia" w:cs="Times New Roman"/>
          <w:b w:val="0"/>
          <w:bCs w:val="0"/>
          <w:color w:val="000000"/>
          <w:kern w:val="2"/>
          <w:sz w:val="32"/>
          <w:szCs w:val="24"/>
          <w:lang w:val="en-US" w:eastAsia="zh-CN" w:bidi="ar-SA"/>
        </w:rPr>
        <w:t>26</w:t>
      </w:r>
    </w:p>
    <w:p w14:paraId="20419080">
      <w:pPr>
        <w:pStyle w:val="12"/>
        <w:keepNext w:val="0"/>
        <w:keepLines w:val="0"/>
        <w:pageBreakBefore w:val="0"/>
        <w:widowControl w:val="0"/>
        <w:tabs>
          <w:tab w:val="right" w:leader="dot" w:pos="6720"/>
        </w:tabs>
        <w:kinsoku/>
        <w:wordWrap/>
        <w:overflowPunct/>
        <w:topLinePunct w:val="0"/>
        <w:autoSpaceDE/>
        <w:autoSpaceDN/>
        <w:bidi w:val="0"/>
        <w:adjustRightInd w:val="0"/>
        <w:snapToGrid w:val="0"/>
        <w:spacing w:before="0" w:line="440" w:lineRule="exact"/>
        <w:jc w:val="left"/>
        <w:textAlignment w:val="auto"/>
        <w:outlineLvl w:val="9"/>
        <w:rPr>
          <w:rFonts w:hint="eastAsia" w:ascii="仿宋" w:hAnsi="仿宋" w:eastAsia="仿宋" w:cs="Times New Roman"/>
          <w:b w:val="0"/>
          <w:bCs w:val="0"/>
          <w:color w:val="000000"/>
          <w:kern w:val="2"/>
          <w:sz w:val="32"/>
          <w:szCs w:val="24"/>
          <w:lang w:val="en-US" w:eastAsia="zh-CN" w:bidi="ar-SA"/>
        </w:rPr>
      </w:pPr>
      <w:r>
        <w:rPr>
          <w:rFonts w:hint="eastAsia" w:ascii="仿宋" w:hAnsi="仿宋" w:eastAsia="仿宋" w:cs="Times New Roman"/>
          <w:b w:val="0"/>
          <w:bCs w:val="0"/>
          <w:color w:val="000000"/>
          <w:kern w:val="2"/>
          <w:sz w:val="32"/>
          <w:szCs w:val="24"/>
          <w:lang w:val="en-US" w:eastAsia="zh-CN" w:bidi="ar-SA"/>
        </w:rPr>
        <w:t>第五部分 附表</w:t>
      </w:r>
      <w:r>
        <w:rPr>
          <w:rFonts w:hint="eastAsia" w:cs="Times New Roman"/>
          <w:b w:val="0"/>
          <w:bCs w:val="0"/>
          <w:color w:val="000000"/>
          <w:kern w:val="2"/>
          <w:sz w:val="32"/>
          <w:szCs w:val="24"/>
          <w:lang w:val="en-US" w:eastAsia="zh-CN" w:bidi="ar-SA"/>
        </w:rPr>
        <w:tab/>
      </w:r>
      <w:r>
        <w:rPr>
          <w:rFonts w:hint="eastAsia" w:cs="Times New Roman"/>
          <w:b w:val="0"/>
          <w:bCs w:val="0"/>
          <w:color w:val="000000"/>
          <w:kern w:val="2"/>
          <w:sz w:val="32"/>
          <w:szCs w:val="24"/>
          <w:lang w:val="en-US" w:eastAsia="zh-CN" w:bidi="ar-SA"/>
        </w:rPr>
        <w:tab/>
      </w:r>
      <w:r>
        <w:rPr>
          <w:rFonts w:hint="eastAsia" w:cs="Times New Roman"/>
          <w:b w:val="0"/>
          <w:bCs w:val="0"/>
          <w:color w:val="000000"/>
          <w:kern w:val="2"/>
          <w:sz w:val="32"/>
          <w:szCs w:val="24"/>
          <w:lang w:val="en-US" w:eastAsia="zh-CN" w:bidi="ar-SA"/>
        </w:rPr>
        <w:t>29</w:t>
      </w:r>
    </w:p>
    <w:p w14:paraId="43D7499D">
      <w:pPr>
        <w:pStyle w:val="13"/>
        <w:keepNext w:val="0"/>
        <w:keepLines w:val="0"/>
        <w:pageBreakBefore w:val="0"/>
        <w:widowControl w:val="0"/>
        <w:tabs>
          <w:tab w:val="right" w:leader="dot" w:pos="6720"/>
        </w:tabs>
        <w:kinsoku/>
        <w:wordWrap/>
        <w:overflowPunct/>
        <w:topLinePunct w:val="0"/>
        <w:autoSpaceDE/>
        <w:autoSpaceDN/>
        <w:bidi w:val="0"/>
        <w:adjustRightInd w:val="0"/>
        <w:snapToGrid w:val="0"/>
        <w:spacing w:line="440" w:lineRule="exact"/>
        <w:jc w:val="left"/>
        <w:textAlignment w:val="auto"/>
        <w:outlineLvl w:val="9"/>
        <w:rPr>
          <w:rFonts w:hint="eastAsia" w:ascii="仿宋" w:hAnsi="仿宋" w:eastAsia="仿宋" w:cs="Times New Roman"/>
          <w:b w:val="0"/>
          <w:bCs w:val="0"/>
          <w:color w:val="000000"/>
          <w:kern w:val="2"/>
          <w:sz w:val="32"/>
          <w:szCs w:val="24"/>
          <w:lang w:val="en-US" w:eastAsia="zh-CN" w:bidi="ar-SA"/>
        </w:rPr>
      </w:pPr>
      <w:r>
        <w:rPr>
          <w:rFonts w:hint="eastAsia" w:ascii="仿宋" w:hAnsi="仿宋" w:eastAsia="仿宋" w:cs="Times New Roman"/>
          <w:b w:val="0"/>
          <w:bCs w:val="0"/>
          <w:color w:val="000000"/>
          <w:kern w:val="2"/>
          <w:sz w:val="32"/>
          <w:szCs w:val="24"/>
          <w:lang w:val="en-US" w:eastAsia="zh-CN" w:bidi="ar-SA"/>
        </w:rPr>
        <w:t>一、收入支出决算总表</w:t>
      </w:r>
      <w:r>
        <w:rPr>
          <w:rFonts w:hint="eastAsia" w:ascii="仿宋" w:hAnsi="仿宋" w:eastAsia="仿宋" w:cs="Times New Roman"/>
          <w:b w:val="0"/>
          <w:bCs w:val="0"/>
          <w:color w:val="000000"/>
          <w:kern w:val="2"/>
          <w:sz w:val="32"/>
          <w:szCs w:val="24"/>
          <w:lang w:val="en-US" w:eastAsia="zh-CN" w:bidi="ar-SA"/>
        </w:rPr>
        <w:tab/>
      </w:r>
      <w:r>
        <w:rPr>
          <w:rFonts w:hint="eastAsia" w:ascii="仿宋" w:hAnsi="仿宋" w:eastAsia="仿宋" w:cs="Times New Roman"/>
          <w:b w:val="0"/>
          <w:bCs w:val="0"/>
          <w:color w:val="000000"/>
          <w:kern w:val="2"/>
          <w:sz w:val="32"/>
          <w:szCs w:val="24"/>
          <w:lang w:val="en-US" w:eastAsia="zh-CN" w:bidi="ar-SA"/>
        </w:rPr>
        <w:tab/>
      </w:r>
      <w:r>
        <w:rPr>
          <w:rFonts w:hint="eastAsia" w:ascii="仿宋" w:hAnsi="仿宋" w:eastAsia="仿宋" w:cs="Times New Roman"/>
          <w:b w:val="0"/>
          <w:bCs w:val="0"/>
          <w:color w:val="000000"/>
          <w:kern w:val="2"/>
          <w:sz w:val="32"/>
          <w:szCs w:val="24"/>
          <w:lang w:val="en-US" w:eastAsia="zh-CN" w:bidi="ar-SA"/>
        </w:rPr>
        <w:t>34</w:t>
      </w:r>
    </w:p>
    <w:p w14:paraId="6D5602FF">
      <w:pPr>
        <w:pStyle w:val="13"/>
        <w:keepNext w:val="0"/>
        <w:keepLines w:val="0"/>
        <w:pageBreakBefore w:val="0"/>
        <w:widowControl w:val="0"/>
        <w:tabs>
          <w:tab w:val="right" w:leader="dot" w:pos="6720"/>
        </w:tabs>
        <w:kinsoku/>
        <w:wordWrap/>
        <w:overflowPunct/>
        <w:topLinePunct w:val="0"/>
        <w:autoSpaceDE/>
        <w:autoSpaceDN/>
        <w:bidi w:val="0"/>
        <w:adjustRightInd w:val="0"/>
        <w:snapToGrid w:val="0"/>
        <w:spacing w:line="440" w:lineRule="exact"/>
        <w:jc w:val="left"/>
        <w:textAlignment w:val="auto"/>
        <w:outlineLvl w:val="9"/>
        <w:rPr>
          <w:rFonts w:hint="eastAsia" w:ascii="仿宋" w:hAnsi="仿宋" w:eastAsia="仿宋" w:cs="Times New Roman"/>
          <w:b w:val="0"/>
          <w:bCs w:val="0"/>
          <w:color w:val="000000"/>
          <w:kern w:val="2"/>
          <w:sz w:val="32"/>
          <w:szCs w:val="24"/>
          <w:lang w:val="en-US" w:eastAsia="zh-CN" w:bidi="ar-SA"/>
        </w:rPr>
      </w:pPr>
      <w:r>
        <w:rPr>
          <w:rFonts w:hint="eastAsia" w:ascii="仿宋" w:hAnsi="仿宋" w:eastAsia="仿宋" w:cs="Times New Roman"/>
          <w:b w:val="0"/>
          <w:bCs w:val="0"/>
          <w:color w:val="000000"/>
          <w:kern w:val="2"/>
          <w:sz w:val="32"/>
          <w:szCs w:val="24"/>
          <w:lang w:val="en-US" w:eastAsia="zh-CN" w:bidi="ar-SA"/>
        </w:rPr>
        <w:t>二、收入决算表</w:t>
      </w:r>
      <w:r>
        <w:rPr>
          <w:rFonts w:hint="eastAsia" w:ascii="仿宋" w:hAnsi="仿宋" w:eastAsia="仿宋" w:cs="Times New Roman"/>
          <w:b w:val="0"/>
          <w:bCs w:val="0"/>
          <w:color w:val="000000"/>
          <w:kern w:val="2"/>
          <w:sz w:val="32"/>
          <w:szCs w:val="24"/>
          <w:lang w:val="en-US" w:eastAsia="zh-CN" w:bidi="ar-SA"/>
        </w:rPr>
        <w:tab/>
      </w:r>
      <w:r>
        <w:rPr>
          <w:rFonts w:hint="eastAsia" w:ascii="仿宋" w:hAnsi="仿宋" w:eastAsia="仿宋" w:cs="Times New Roman"/>
          <w:b w:val="0"/>
          <w:bCs w:val="0"/>
          <w:color w:val="000000"/>
          <w:kern w:val="2"/>
          <w:sz w:val="32"/>
          <w:szCs w:val="24"/>
          <w:lang w:val="en-US" w:eastAsia="zh-CN" w:bidi="ar-SA"/>
        </w:rPr>
        <w:tab/>
      </w:r>
      <w:r>
        <w:rPr>
          <w:rFonts w:hint="eastAsia" w:ascii="仿宋" w:hAnsi="仿宋" w:eastAsia="仿宋" w:cs="Times New Roman"/>
          <w:b w:val="0"/>
          <w:bCs w:val="0"/>
          <w:color w:val="000000"/>
          <w:kern w:val="2"/>
          <w:sz w:val="32"/>
          <w:szCs w:val="24"/>
          <w:lang w:val="en-US" w:eastAsia="zh-CN" w:bidi="ar-SA"/>
        </w:rPr>
        <w:t>34</w:t>
      </w:r>
    </w:p>
    <w:p w14:paraId="2BD2DDAF">
      <w:pPr>
        <w:pStyle w:val="13"/>
        <w:keepNext w:val="0"/>
        <w:keepLines w:val="0"/>
        <w:pageBreakBefore w:val="0"/>
        <w:widowControl w:val="0"/>
        <w:tabs>
          <w:tab w:val="right" w:leader="dot" w:pos="6720"/>
        </w:tabs>
        <w:kinsoku/>
        <w:wordWrap/>
        <w:overflowPunct/>
        <w:topLinePunct w:val="0"/>
        <w:autoSpaceDE/>
        <w:autoSpaceDN/>
        <w:bidi w:val="0"/>
        <w:adjustRightInd w:val="0"/>
        <w:snapToGrid w:val="0"/>
        <w:spacing w:line="440" w:lineRule="exact"/>
        <w:jc w:val="left"/>
        <w:textAlignment w:val="auto"/>
        <w:outlineLvl w:val="9"/>
        <w:rPr>
          <w:rFonts w:hint="eastAsia" w:ascii="仿宋" w:hAnsi="仿宋" w:eastAsia="仿宋" w:cs="Times New Roman"/>
          <w:b w:val="0"/>
          <w:bCs w:val="0"/>
          <w:color w:val="000000"/>
          <w:kern w:val="2"/>
          <w:sz w:val="32"/>
          <w:szCs w:val="24"/>
          <w:lang w:val="en-US" w:eastAsia="zh-CN" w:bidi="ar-SA"/>
        </w:rPr>
      </w:pPr>
      <w:r>
        <w:rPr>
          <w:rFonts w:hint="eastAsia" w:ascii="仿宋" w:hAnsi="仿宋" w:eastAsia="仿宋" w:cs="Times New Roman"/>
          <w:b w:val="0"/>
          <w:bCs w:val="0"/>
          <w:color w:val="000000"/>
          <w:kern w:val="2"/>
          <w:sz w:val="32"/>
          <w:szCs w:val="24"/>
          <w:lang w:val="en-US" w:eastAsia="zh-CN" w:bidi="ar-SA"/>
        </w:rPr>
        <w:t>三、支出决算表</w:t>
      </w:r>
      <w:r>
        <w:rPr>
          <w:rFonts w:hint="eastAsia" w:ascii="仿宋" w:hAnsi="仿宋" w:eastAsia="仿宋" w:cs="Times New Roman"/>
          <w:b w:val="0"/>
          <w:bCs w:val="0"/>
          <w:color w:val="000000"/>
          <w:kern w:val="2"/>
          <w:sz w:val="32"/>
          <w:szCs w:val="24"/>
          <w:lang w:val="en-US" w:eastAsia="zh-CN" w:bidi="ar-SA"/>
        </w:rPr>
        <w:tab/>
      </w:r>
      <w:r>
        <w:rPr>
          <w:rFonts w:hint="eastAsia" w:ascii="仿宋" w:hAnsi="仿宋" w:eastAsia="仿宋" w:cs="Times New Roman"/>
          <w:b w:val="0"/>
          <w:bCs w:val="0"/>
          <w:color w:val="000000"/>
          <w:kern w:val="2"/>
          <w:sz w:val="32"/>
          <w:szCs w:val="24"/>
          <w:lang w:val="en-US" w:eastAsia="zh-CN" w:bidi="ar-SA"/>
        </w:rPr>
        <w:tab/>
      </w:r>
      <w:r>
        <w:rPr>
          <w:rFonts w:hint="eastAsia" w:ascii="仿宋" w:hAnsi="仿宋" w:eastAsia="仿宋" w:cs="Times New Roman"/>
          <w:b w:val="0"/>
          <w:bCs w:val="0"/>
          <w:color w:val="000000"/>
          <w:kern w:val="2"/>
          <w:sz w:val="32"/>
          <w:szCs w:val="24"/>
          <w:lang w:val="en-US" w:eastAsia="zh-CN" w:bidi="ar-SA"/>
        </w:rPr>
        <w:t>34</w:t>
      </w:r>
    </w:p>
    <w:p w14:paraId="16A244A4">
      <w:pPr>
        <w:pStyle w:val="13"/>
        <w:keepNext w:val="0"/>
        <w:keepLines w:val="0"/>
        <w:pageBreakBefore w:val="0"/>
        <w:widowControl w:val="0"/>
        <w:tabs>
          <w:tab w:val="right" w:leader="dot" w:pos="6720"/>
        </w:tabs>
        <w:kinsoku/>
        <w:wordWrap/>
        <w:overflowPunct/>
        <w:topLinePunct w:val="0"/>
        <w:autoSpaceDE/>
        <w:autoSpaceDN/>
        <w:bidi w:val="0"/>
        <w:adjustRightInd w:val="0"/>
        <w:snapToGrid w:val="0"/>
        <w:spacing w:line="440" w:lineRule="exact"/>
        <w:jc w:val="left"/>
        <w:textAlignment w:val="auto"/>
        <w:outlineLvl w:val="9"/>
        <w:rPr>
          <w:rFonts w:hint="eastAsia" w:ascii="仿宋" w:hAnsi="仿宋" w:eastAsia="仿宋" w:cs="Times New Roman"/>
          <w:b w:val="0"/>
          <w:bCs w:val="0"/>
          <w:color w:val="000000"/>
          <w:kern w:val="2"/>
          <w:sz w:val="32"/>
          <w:szCs w:val="24"/>
          <w:lang w:val="en-US" w:eastAsia="zh-CN" w:bidi="ar-SA"/>
        </w:rPr>
      </w:pPr>
      <w:r>
        <w:rPr>
          <w:rFonts w:hint="eastAsia" w:ascii="仿宋" w:hAnsi="仿宋" w:eastAsia="仿宋" w:cs="Times New Roman"/>
          <w:b w:val="0"/>
          <w:bCs w:val="0"/>
          <w:color w:val="000000"/>
          <w:kern w:val="2"/>
          <w:sz w:val="32"/>
          <w:szCs w:val="24"/>
          <w:lang w:val="en-US" w:eastAsia="zh-CN" w:bidi="ar-SA"/>
        </w:rPr>
        <w:t>四、财政拨款收入支出决算总表</w:t>
      </w:r>
      <w:r>
        <w:rPr>
          <w:rFonts w:hint="eastAsia" w:ascii="仿宋" w:hAnsi="仿宋" w:eastAsia="仿宋" w:cs="Times New Roman"/>
          <w:b w:val="0"/>
          <w:bCs w:val="0"/>
          <w:color w:val="000000"/>
          <w:kern w:val="2"/>
          <w:sz w:val="32"/>
          <w:szCs w:val="24"/>
          <w:lang w:val="en-US" w:eastAsia="zh-CN" w:bidi="ar-SA"/>
        </w:rPr>
        <w:tab/>
      </w:r>
      <w:r>
        <w:rPr>
          <w:rFonts w:hint="eastAsia" w:ascii="仿宋" w:hAnsi="仿宋" w:eastAsia="仿宋" w:cs="Times New Roman"/>
          <w:b w:val="0"/>
          <w:bCs w:val="0"/>
          <w:color w:val="000000"/>
          <w:kern w:val="2"/>
          <w:sz w:val="32"/>
          <w:szCs w:val="24"/>
          <w:lang w:val="en-US" w:eastAsia="zh-CN" w:bidi="ar-SA"/>
        </w:rPr>
        <w:tab/>
      </w:r>
      <w:r>
        <w:rPr>
          <w:rFonts w:hint="eastAsia" w:ascii="仿宋" w:hAnsi="仿宋" w:eastAsia="仿宋" w:cs="Times New Roman"/>
          <w:b w:val="0"/>
          <w:bCs w:val="0"/>
          <w:color w:val="000000"/>
          <w:kern w:val="2"/>
          <w:sz w:val="32"/>
          <w:szCs w:val="24"/>
          <w:lang w:val="en-US" w:eastAsia="zh-CN" w:bidi="ar-SA"/>
        </w:rPr>
        <w:t>34</w:t>
      </w:r>
    </w:p>
    <w:p w14:paraId="1873938D">
      <w:pPr>
        <w:pStyle w:val="13"/>
        <w:keepNext w:val="0"/>
        <w:keepLines w:val="0"/>
        <w:pageBreakBefore w:val="0"/>
        <w:widowControl w:val="0"/>
        <w:tabs>
          <w:tab w:val="right" w:leader="dot" w:pos="6720"/>
        </w:tabs>
        <w:kinsoku/>
        <w:wordWrap/>
        <w:overflowPunct/>
        <w:topLinePunct w:val="0"/>
        <w:autoSpaceDE/>
        <w:autoSpaceDN/>
        <w:bidi w:val="0"/>
        <w:adjustRightInd w:val="0"/>
        <w:snapToGrid w:val="0"/>
        <w:spacing w:line="440" w:lineRule="exact"/>
        <w:jc w:val="left"/>
        <w:textAlignment w:val="auto"/>
        <w:outlineLvl w:val="9"/>
        <w:rPr>
          <w:rFonts w:hint="eastAsia" w:ascii="仿宋" w:hAnsi="仿宋" w:eastAsia="仿宋" w:cs="Times New Roman"/>
          <w:b w:val="0"/>
          <w:bCs w:val="0"/>
          <w:color w:val="000000"/>
          <w:kern w:val="2"/>
          <w:sz w:val="32"/>
          <w:szCs w:val="24"/>
          <w:lang w:val="en-US" w:eastAsia="zh-CN" w:bidi="ar-SA"/>
        </w:rPr>
      </w:pPr>
      <w:r>
        <w:rPr>
          <w:rFonts w:hint="eastAsia" w:ascii="仿宋" w:hAnsi="仿宋" w:eastAsia="仿宋" w:cs="Times New Roman"/>
          <w:b w:val="0"/>
          <w:bCs w:val="0"/>
          <w:color w:val="000000"/>
          <w:kern w:val="2"/>
          <w:sz w:val="32"/>
          <w:szCs w:val="24"/>
          <w:lang w:val="en-US" w:eastAsia="zh-CN" w:bidi="ar-SA"/>
        </w:rPr>
        <w:t>五、财政拨款支出决算明细表</w:t>
      </w:r>
      <w:r>
        <w:rPr>
          <w:rFonts w:hint="eastAsia" w:ascii="仿宋" w:hAnsi="仿宋" w:eastAsia="仿宋" w:cs="Times New Roman"/>
          <w:b w:val="0"/>
          <w:bCs w:val="0"/>
          <w:color w:val="000000"/>
          <w:kern w:val="2"/>
          <w:sz w:val="32"/>
          <w:szCs w:val="24"/>
          <w:lang w:val="en-US" w:eastAsia="zh-CN" w:bidi="ar-SA"/>
        </w:rPr>
        <w:tab/>
      </w:r>
      <w:r>
        <w:rPr>
          <w:rFonts w:hint="eastAsia" w:ascii="仿宋" w:hAnsi="仿宋" w:eastAsia="仿宋" w:cs="Times New Roman"/>
          <w:b w:val="0"/>
          <w:bCs w:val="0"/>
          <w:color w:val="000000"/>
          <w:kern w:val="2"/>
          <w:sz w:val="32"/>
          <w:szCs w:val="24"/>
          <w:lang w:val="en-US" w:eastAsia="zh-CN" w:bidi="ar-SA"/>
        </w:rPr>
        <w:tab/>
      </w:r>
      <w:r>
        <w:rPr>
          <w:rFonts w:hint="eastAsia" w:ascii="仿宋" w:hAnsi="仿宋" w:eastAsia="仿宋" w:cs="Times New Roman"/>
          <w:b w:val="0"/>
          <w:bCs w:val="0"/>
          <w:color w:val="000000"/>
          <w:kern w:val="2"/>
          <w:sz w:val="32"/>
          <w:szCs w:val="24"/>
          <w:lang w:val="en-US" w:eastAsia="zh-CN" w:bidi="ar-SA"/>
        </w:rPr>
        <w:t>34</w:t>
      </w:r>
    </w:p>
    <w:p w14:paraId="62C8D9F3">
      <w:pPr>
        <w:pStyle w:val="13"/>
        <w:keepNext w:val="0"/>
        <w:keepLines w:val="0"/>
        <w:pageBreakBefore w:val="0"/>
        <w:widowControl w:val="0"/>
        <w:tabs>
          <w:tab w:val="right" w:leader="dot" w:pos="6720"/>
        </w:tabs>
        <w:kinsoku/>
        <w:wordWrap/>
        <w:overflowPunct/>
        <w:topLinePunct w:val="0"/>
        <w:autoSpaceDE/>
        <w:autoSpaceDN/>
        <w:bidi w:val="0"/>
        <w:adjustRightInd w:val="0"/>
        <w:snapToGrid w:val="0"/>
        <w:spacing w:line="440" w:lineRule="exact"/>
        <w:jc w:val="left"/>
        <w:textAlignment w:val="auto"/>
        <w:outlineLvl w:val="9"/>
        <w:rPr>
          <w:rFonts w:hint="eastAsia" w:ascii="仿宋" w:hAnsi="仿宋" w:eastAsia="仿宋" w:cs="Times New Roman"/>
          <w:b w:val="0"/>
          <w:bCs w:val="0"/>
          <w:color w:val="000000"/>
          <w:kern w:val="2"/>
          <w:sz w:val="32"/>
          <w:szCs w:val="24"/>
          <w:lang w:val="en-US" w:eastAsia="zh-CN" w:bidi="ar-SA"/>
        </w:rPr>
      </w:pPr>
      <w:r>
        <w:rPr>
          <w:rFonts w:hint="eastAsia" w:ascii="仿宋" w:hAnsi="仿宋" w:eastAsia="仿宋" w:cs="Times New Roman"/>
          <w:b w:val="0"/>
          <w:bCs w:val="0"/>
          <w:color w:val="000000"/>
          <w:kern w:val="2"/>
          <w:sz w:val="32"/>
          <w:szCs w:val="24"/>
          <w:lang w:val="en-US" w:eastAsia="zh-CN" w:bidi="ar-SA"/>
        </w:rPr>
        <w:t>六、一般公共预算财政拨款支出决算表</w:t>
      </w:r>
      <w:r>
        <w:rPr>
          <w:rFonts w:hint="eastAsia" w:ascii="仿宋" w:hAnsi="仿宋" w:eastAsia="仿宋" w:cs="Times New Roman"/>
          <w:b w:val="0"/>
          <w:bCs w:val="0"/>
          <w:color w:val="000000"/>
          <w:kern w:val="2"/>
          <w:sz w:val="32"/>
          <w:szCs w:val="24"/>
          <w:lang w:val="en-US" w:eastAsia="zh-CN" w:bidi="ar-SA"/>
        </w:rPr>
        <w:tab/>
      </w:r>
      <w:r>
        <w:rPr>
          <w:rFonts w:hint="eastAsia" w:ascii="仿宋" w:hAnsi="仿宋" w:eastAsia="仿宋" w:cs="Times New Roman"/>
          <w:b w:val="0"/>
          <w:bCs w:val="0"/>
          <w:color w:val="000000"/>
          <w:kern w:val="2"/>
          <w:sz w:val="32"/>
          <w:szCs w:val="24"/>
          <w:lang w:val="en-US" w:eastAsia="zh-CN" w:bidi="ar-SA"/>
        </w:rPr>
        <w:tab/>
      </w:r>
      <w:r>
        <w:rPr>
          <w:rFonts w:hint="eastAsia" w:ascii="仿宋" w:hAnsi="仿宋" w:eastAsia="仿宋" w:cs="Times New Roman"/>
          <w:b w:val="0"/>
          <w:bCs w:val="0"/>
          <w:color w:val="000000"/>
          <w:kern w:val="2"/>
          <w:sz w:val="32"/>
          <w:szCs w:val="24"/>
          <w:lang w:val="en-US" w:eastAsia="zh-CN" w:bidi="ar-SA"/>
        </w:rPr>
        <w:t>34</w:t>
      </w:r>
    </w:p>
    <w:p w14:paraId="2B04920F">
      <w:pPr>
        <w:pStyle w:val="13"/>
        <w:keepNext w:val="0"/>
        <w:keepLines w:val="0"/>
        <w:pageBreakBefore w:val="0"/>
        <w:widowControl w:val="0"/>
        <w:tabs>
          <w:tab w:val="right" w:leader="dot" w:pos="6720"/>
        </w:tabs>
        <w:kinsoku/>
        <w:wordWrap/>
        <w:overflowPunct/>
        <w:topLinePunct w:val="0"/>
        <w:autoSpaceDE/>
        <w:autoSpaceDN/>
        <w:bidi w:val="0"/>
        <w:adjustRightInd w:val="0"/>
        <w:snapToGrid w:val="0"/>
        <w:spacing w:line="440" w:lineRule="exact"/>
        <w:jc w:val="left"/>
        <w:textAlignment w:val="auto"/>
        <w:outlineLvl w:val="9"/>
        <w:rPr>
          <w:rFonts w:hint="eastAsia" w:ascii="仿宋" w:hAnsi="仿宋" w:eastAsia="仿宋" w:cs="Times New Roman"/>
          <w:b w:val="0"/>
          <w:bCs w:val="0"/>
          <w:color w:val="000000"/>
          <w:kern w:val="2"/>
          <w:sz w:val="32"/>
          <w:szCs w:val="24"/>
          <w:lang w:val="en-US" w:eastAsia="zh-CN" w:bidi="ar-SA"/>
        </w:rPr>
      </w:pPr>
      <w:r>
        <w:rPr>
          <w:rFonts w:hint="eastAsia" w:ascii="仿宋" w:hAnsi="仿宋" w:eastAsia="仿宋" w:cs="Times New Roman"/>
          <w:b w:val="0"/>
          <w:bCs w:val="0"/>
          <w:color w:val="000000"/>
          <w:kern w:val="2"/>
          <w:sz w:val="32"/>
          <w:szCs w:val="24"/>
          <w:lang w:val="en-US" w:eastAsia="zh-CN" w:bidi="ar-SA"/>
        </w:rPr>
        <w:t>七、一般公共预算财政拨款支出决算明细表</w:t>
      </w:r>
      <w:r>
        <w:rPr>
          <w:rFonts w:hint="eastAsia" w:ascii="仿宋" w:hAnsi="仿宋" w:eastAsia="仿宋" w:cs="Times New Roman"/>
          <w:b w:val="0"/>
          <w:bCs w:val="0"/>
          <w:color w:val="000000"/>
          <w:kern w:val="2"/>
          <w:sz w:val="32"/>
          <w:szCs w:val="24"/>
          <w:lang w:val="en-US" w:eastAsia="zh-CN" w:bidi="ar-SA"/>
        </w:rPr>
        <w:tab/>
      </w:r>
    </w:p>
    <w:p w14:paraId="58E21F3C">
      <w:pPr>
        <w:pStyle w:val="13"/>
        <w:keepNext w:val="0"/>
        <w:keepLines w:val="0"/>
        <w:pageBreakBefore w:val="0"/>
        <w:widowControl w:val="0"/>
        <w:tabs>
          <w:tab w:val="right" w:leader="dot" w:pos="6720"/>
        </w:tabs>
        <w:kinsoku/>
        <w:wordWrap/>
        <w:overflowPunct/>
        <w:topLinePunct w:val="0"/>
        <w:autoSpaceDE/>
        <w:autoSpaceDN/>
        <w:bidi w:val="0"/>
        <w:adjustRightInd w:val="0"/>
        <w:snapToGrid w:val="0"/>
        <w:spacing w:line="440" w:lineRule="exact"/>
        <w:jc w:val="left"/>
        <w:textAlignment w:val="auto"/>
        <w:outlineLvl w:val="9"/>
        <w:rPr>
          <w:rFonts w:hint="eastAsia" w:ascii="仿宋" w:hAnsi="仿宋" w:eastAsia="仿宋" w:cs="Times New Roman"/>
          <w:b w:val="0"/>
          <w:bCs w:val="0"/>
          <w:color w:val="000000"/>
          <w:kern w:val="2"/>
          <w:sz w:val="32"/>
          <w:szCs w:val="24"/>
          <w:lang w:val="en-US" w:eastAsia="zh-CN" w:bidi="ar-SA"/>
        </w:rPr>
      </w:pPr>
      <w:r>
        <w:rPr>
          <w:rFonts w:hint="eastAsia" w:ascii="仿宋" w:hAnsi="仿宋" w:eastAsia="仿宋" w:cs="Times New Roman"/>
          <w:b w:val="0"/>
          <w:bCs w:val="0"/>
          <w:color w:val="000000"/>
          <w:kern w:val="2"/>
          <w:sz w:val="32"/>
          <w:szCs w:val="24"/>
          <w:lang w:val="en-US" w:eastAsia="zh-CN" w:bidi="ar-SA"/>
        </w:rPr>
        <w:t>八、一般公共预算财政拨款基本支出决算明细表</w:t>
      </w:r>
      <w:r>
        <w:rPr>
          <w:rFonts w:hint="eastAsia" w:ascii="仿宋" w:hAnsi="仿宋" w:eastAsia="仿宋" w:cs="Times New Roman"/>
          <w:b w:val="0"/>
          <w:bCs w:val="0"/>
          <w:color w:val="000000"/>
          <w:kern w:val="2"/>
          <w:sz w:val="32"/>
          <w:szCs w:val="24"/>
          <w:lang w:val="en-US" w:eastAsia="zh-CN" w:bidi="ar-SA"/>
        </w:rPr>
        <w:tab/>
      </w:r>
      <w:r>
        <w:rPr>
          <w:rFonts w:hint="eastAsia" w:ascii="仿宋" w:hAnsi="仿宋" w:eastAsia="仿宋" w:cs="Times New Roman"/>
          <w:b w:val="0"/>
          <w:bCs w:val="0"/>
          <w:color w:val="000000"/>
          <w:kern w:val="2"/>
          <w:sz w:val="32"/>
          <w:szCs w:val="24"/>
          <w:lang w:val="en-US" w:eastAsia="zh-CN" w:bidi="ar-SA"/>
        </w:rPr>
        <w:t>34</w:t>
      </w:r>
    </w:p>
    <w:p w14:paraId="1E4D9F95">
      <w:pPr>
        <w:pStyle w:val="13"/>
        <w:keepNext w:val="0"/>
        <w:keepLines w:val="0"/>
        <w:pageBreakBefore w:val="0"/>
        <w:widowControl w:val="0"/>
        <w:tabs>
          <w:tab w:val="right" w:leader="dot" w:pos="6720"/>
        </w:tabs>
        <w:kinsoku/>
        <w:wordWrap/>
        <w:overflowPunct/>
        <w:topLinePunct w:val="0"/>
        <w:autoSpaceDE/>
        <w:autoSpaceDN/>
        <w:bidi w:val="0"/>
        <w:adjustRightInd w:val="0"/>
        <w:snapToGrid w:val="0"/>
        <w:spacing w:line="440" w:lineRule="exact"/>
        <w:jc w:val="left"/>
        <w:textAlignment w:val="auto"/>
        <w:outlineLvl w:val="9"/>
        <w:rPr>
          <w:rFonts w:hint="eastAsia" w:ascii="仿宋" w:hAnsi="仿宋" w:eastAsia="仿宋" w:cs="Times New Roman"/>
          <w:b w:val="0"/>
          <w:bCs w:val="0"/>
          <w:color w:val="000000"/>
          <w:kern w:val="2"/>
          <w:sz w:val="32"/>
          <w:szCs w:val="24"/>
          <w:lang w:val="en-US" w:eastAsia="zh-CN" w:bidi="ar-SA"/>
        </w:rPr>
      </w:pPr>
      <w:r>
        <w:rPr>
          <w:rFonts w:hint="eastAsia" w:ascii="仿宋" w:hAnsi="仿宋" w:eastAsia="仿宋" w:cs="Times New Roman"/>
          <w:b w:val="0"/>
          <w:bCs w:val="0"/>
          <w:color w:val="000000"/>
          <w:kern w:val="2"/>
          <w:sz w:val="32"/>
          <w:szCs w:val="24"/>
          <w:lang w:val="en-US" w:eastAsia="zh-CN" w:bidi="ar-SA"/>
        </w:rPr>
        <w:t>九、一般公共预算财政拨款项目支出决算表</w:t>
      </w:r>
      <w:r>
        <w:rPr>
          <w:rFonts w:hint="eastAsia" w:ascii="仿宋" w:hAnsi="仿宋" w:eastAsia="仿宋" w:cs="Times New Roman"/>
          <w:b w:val="0"/>
          <w:bCs w:val="0"/>
          <w:color w:val="000000"/>
          <w:kern w:val="2"/>
          <w:sz w:val="32"/>
          <w:szCs w:val="24"/>
          <w:lang w:val="en-US" w:eastAsia="zh-CN" w:bidi="ar-SA"/>
        </w:rPr>
        <w:tab/>
      </w:r>
      <w:r>
        <w:rPr>
          <w:rFonts w:hint="eastAsia" w:ascii="仿宋" w:hAnsi="仿宋" w:eastAsia="仿宋" w:cs="Times New Roman"/>
          <w:b w:val="0"/>
          <w:bCs w:val="0"/>
          <w:color w:val="000000"/>
          <w:kern w:val="2"/>
          <w:sz w:val="32"/>
          <w:szCs w:val="24"/>
          <w:lang w:val="en-US" w:eastAsia="zh-CN" w:bidi="ar-SA"/>
        </w:rPr>
        <w:tab/>
      </w:r>
      <w:r>
        <w:rPr>
          <w:rFonts w:hint="eastAsia" w:ascii="仿宋" w:hAnsi="仿宋" w:eastAsia="仿宋" w:cs="Times New Roman"/>
          <w:b w:val="0"/>
          <w:bCs w:val="0"/>
          <w:color w:val="000000"/>
          <w:kern w:val="2"/>
          <w:sz w:val="32"/>
          <w:szCs w:val="24"/>
          <w:lang w:val="en-US" w:eastAsia="zh-CN" w:bidi="ar-SA"/>
        </w:rPr>
        <w:t>35</w:t>
      </w:r>
    </w:p>
    <w:p w14:paraId="6FECC430">
      <w:pPr>
        <w:pStyle w:val="13"/>
        <w:keepNext w:val="0"/>
        <w:keepLines w:val="0"/>
        <w:pageBreakBefore w:val="0"/>
        <w:widowControl w:val="0"/>
        <w:tabs>
          <w:tab w:val="right" w:leader="dot" w:pos="6720"/>
        </w:tabs>
        <w:kinsoku/>
        <w:wordWrap/>
        <w:overflowPunct/>
        <w:topLinePunct w:val="0"/>
        <w:autoSpaceDE/>
        <w:autoSpaceDN/>
        <w:bidi w:val="0"/>
        <w:adjustRightInd w:val="0"/>
        <w:snapToGrid w:val="0"/>
        <w:spacing w:line="440" w:lineRule="exact"/>
        <w:jc w:val="left"/>
        <w:textAlignment w:val="auto"/>
        <w:outlineLvl w:val="9"/>
        <w:rPr>
          <w:rFonts w:hint="eastAsia" w:ascii="仿宋" w:hAnsi="仿宋" w:eastAsia="仿宋" w:cs="Times New Roman"/>
          <w:b w:val="0"/>
          <w:bCs w:val="0"/>
          <w:color w:val="000000"/>
          <w:kern w:val="2"/>
          <w:sz w:val="32"/>
          <w:szCs w:val="24"/>
          <w:lang w:val="en-US" w:eastAsia="zh-CN" w:bidi="ar-SA"/>
        </w:rPr>
      </w:pPr>
      <w:r>
        <w:rPr>
          <w:rFonts w:hint="eastAsia" w:ascii="仿宋" w:hAnsi="仿宋" w:eastAsia="仿宋" w:cs="Times New Roman"/>
          <w:b w:val="0"/>
          <w:bCs w:val="0"/>
          <w:color w:val="000000"/>
          <w:kern w:val="2"/>
          <w:sz w:val="32"/>
          <w:szCs w:val="24"/>
          <w:lang w:val="en-US" w:eastAsia="zh-CN" w:bidi="ar-SA"/>
        </w:rPr>
        <w:t>十、政府性基金预算财政拨款收入支出决算表</w:t>
      </w:r>
      <w:r>
        <w:rPr>
          <w:rFonts w:hint="eastAsia" w:ascii="仿宋" w:hAnsi="仿宋" w:eastAsia="仿宋" w:cs="Times New Roman"/>
          <w:b w:val="0"/>
          <w:bCs w:val="0"/>
          <w:color w:val="000000"/>
          <w:kern w:val="2"/>
          <w:sz w:val="32"/>
          <w:szCs w:val="24"/>
          <w:lang w:val="en-US" w:eastAsia="zh-CN" w:bidi="ar-SA"/>
        </w:rPr>
        <w:tab/>
      </w:r>
      <w:r>
        <w:rPr>
          <w:rFonts w:hint="eastAsia" w:ascii="仿宋" w:hAnsi="仿宋" w:eastAsia="仿宋" w:cs="Times New Roman"/>
          <w:b w:val="0"/>
          <w:bCs w:val="0"/>
          <w:color w:val="000000"/>
          <w:kern w:val="2"/>
          <w:sz w:val="32"/>
          <w:szCs w:val="24"/>
          <w:lang w:val="en-US" w:eastAsia="zh-CN" w:bidi="ar-SA"/>
        </w:rPr>
        <w:t>35</w:t>
      </w:r>
    </w:p>
    <w:p w14:paraId="37632ED5">
      <w:pPr>
        <w:pStyle w:val="13"/>
        <w:keepNext w:val="0"/>
        <w:keepLines w:val="0"/>
        <w:pageBreakBefore w:val="0"/>
        <w:widowControl w:val="0"/>
        <w:tabs>
          <w:tab w:val="right" w:leader="dot" w:pos="6720"/>
        </w:tabs>
        <w:kinsoku/>
        <w:wordWrap/>
        <w:overflowPunct/>
        <w:topLinePunct w:val="0"/>
        <w:autoSpaceDE/>
        <w:autoSpaceDN/>
        <w:bidi w:val="0"/>
        <w:adjustRightInd w:val="0"/>
        <w:snapToGrid w:val="0"/>
        <w:spacing w:line="440" w:lineRule="exact"/>
        <w:jc w:val="left"/>
        <w:textAlignment w:val="auto"/>
        <w:outlineLvl w:val="9"/>
        <w:rPr>
          <w:rFonts w:hint="eastAsia" w:ascii="仿宋" w:hAnsi="仿宋" w:eastAsia="仿宋" w:cs="Times New Roman"/>
          <w:b w:val="0"/>
          <w:bCs w:val="0"/>
          <w:color w:val="000000"/>
          <w:kern w:val="2"/>
          <w:sz w:val="32"/>
          <w:szCs w:val="24"/>
          <w:lang w:val="en-US" w:eastAsia="zh-CN" w:bidi="ar-SA"/>
        </w:rPr>
      </w:pPr>
      <w:r>
        <w:rPr>
          <w:rFonts w:hint="eastAsia" w:ascii="仿宋" w:hAnsi="仿宋" w:eastAsia="仿宋" w:cs="Times New Roman"/>
          <w:b w:val="0"/>
          <w:bCs w:val="0"/>
          <w:color w:val="000000"/>
          <w:kern w:val="2"/>
          <w:sz w:val="32"/>
          <w:szCs w:val="24"/>
          <w:lang w:val="en-US" w:eastAsia="zh-CN" w:bidi="ar-SA"/>
        </w:rPr>
        <w:t>十一、国有资本经营预算财政拨款收入支出决算表</w:t>
      </w:r>
      <w:r>
        <w:rPr>
          <w:rFonts w:hint="eastAsia" w:ascii="仿宋" w:hAnsi="仿宋" w:eastAsia="仿宋" w:cs="Times New Roman"/>
          <w:b w:val="0"/>
          <w:bCs w:val="0"/>
          <w:color w:val="000000"/>
          <w:kern w:val="2"/>
          <w:sz w:val="32"/>
          <w:szCs w:val="24"/>
          <w:lang w:val="en-US" w:eastAsia="zh-CN" w:bidi="ar-SA"/>
        </w:rPr>
        <w:tab/>
      </w:r>
      <w:r>
        <w:rPr>
          <w:rFonts w:hint="eastAsia" w:ascii="仿宋" w:hAnsi="仿宋" w:eastAsia="仿宋" w:cs="Times New Roman"/>
          <w:b w:val="0"/>
          <w:bCs w:val="0"/>
          <w:color w:val="000000"/>
          <w:kern w:val="2"/>
          <w:sz w:val="32"/>
          <w:szCs w:val="24"/>
          <w:lang w:val="en-US" w:eastAsia="zh-CN" w:bidi="ar-SA"/>
        </w:rPr>
        <w:t>35</w:t>
      </w:r>
    </w:p>
    <w:p w14:paraId="43F36717">
      <w:pPr>
        <w:pStyle w:val="13"/>
        <w:keepNext w:val="0"/>
        <w:keepLines w:val="0"/>
        <w:pageBreakBefore w:val="0"/>
        <w:widowControl w:val="0"/>
        <w:tabs>
          <w:tab w:val="right" w:leader="dot" w:pos="6720"/>
        </w:tabs>
        <w:kinsoku/>
        <w:wordWrap/>
        <w:overflowPunct/>
        <w:topLinePunct w:val="0"/>
        <w:autoSpaceDE/>
        <w:autoSpaceDN/>
        <w:bidi w:val="0"/>
        <w:adjustRightInd w:val="0"/>
        <w:snapToGrid w:val="0"/>
        <w:spacing w:line="440" w:lineRule="exact"/>
        <w:jc w:val="left"/>
        <w:textAlignment w:val="auto"/>
        <w:outlineLvl w:val="9"/>
        <w:rPr>
          <w:rFonts w:hint="eastAsia" w:ascii="仿宋" w:hAnsi="仿宋" w:eastAsia="仿宋" w:cs="Times New Roman"/>
          <w:b w:val="0"/>
          <w:bCs w:val="0"/>
          <w:color w:val="000000"/>
          <w:kern w:val="2"/>
          <w:sz w:val="32"/>
          <w:szCs w:val="24"/>
          <w:lang w:val="en-US" w:eastAsia="zh-CN" w:bidi="ar-SA"/>
        </w:rPr>
      </w:pPr>
      <w:r>
        <w:rPr>
          <w:rFonts w:hint="eastAsia" w:ascii="仿宋" w:hAnsi="仿宋" w:eastAsia="仿宋" w:cs="Times New Roman"/>
          <w:b w:val="0"/>
          <w:bCs w:val="0"/>
          <w:color w:val="000000"/>
          <w:kern w:val="2"/>
          <w:sz w:val="32"/>
          <w:szCs w:val="24"/>
          <w:lang w:val="en-US" w:eastAsia="zh-CN" w:bidi="ar-SA"/>
        </w:rPr>
        <w:t>十二、国有资本经营预算财政拨款支出决算表</w:t>
      </w:r>
      <w:r>
        <w:rPr>
          <w:rFonts w:hint="eastAsia" w:ascii="仿宋" w:hAnsi="仿宋" w:eastAsia="仿宋" w:cs="Times New Roman"/>
          <w:b w:val="0"/>
          <w:bCs w:val="0"/>
          <w:color w:val="000000"/>
          <w:kern w:val="2"/>
          <w:sz w:val="32"/>
          <w:szCs w:val="24"/>
          <w:lang w:val="en-US" w:eastAsia="zh-CN" w:bidi="ar-SA"/>
        </w:rPr>
        <w:tab/>
      </w:r>
      <w:r>
        <w:rPr>
          <w:rFonts w:hint="eastAsia" w:ascii="仿宋" w:hAnsi="仿宋" w:eastAsia="仿宋" w:cs="Times New Roman"/>
          <w:b w:val="0"/>
          <w:bCs w:val="0"/>
          <w:color w:val="000000"/>
          <w:kern w:val="2"/>
          <w:sz w:val="32"/>
          <w:szCs w:val="24"/>
          <w:lang w:val="en-US" w:eastAsia="zh-CN" w:bidi="ar-SA"/>
        </w:rPr>
        <w:t>35</w:t>
      </w:r>
    </w:p>
    <w:p w14:paraId="2CF92D59">
      <w:pPr>
        <w:pStyle w:val="13"/>
        <w:keepNext w:val="0"/>
        <w:keepLines w:val="0"/>
        <w:pageBreakBefore w:val="0"/>
        <w:widowControl w:val="0"/>
        <w:tabs>
          <w:tab w:val="right" w:leader="dot" w:pos="6720"/>
        </w:tabs>
        <w:kinsoku/>
        <w:wordWrap/>
        <w:overflowPunct/>
        <w:topLinePunct w:val="0"/>
        <w:autoSpaceDE/>
        <w:autoSpaceDN/>
        <w:bidi w:val="0"/>
        <w:adjustRightInd w:val="0"/>
        <w:snapToGrid w:val="0"/>
        <w:spacing w:line="440" w:lineRule="exact"/>
        <w:jc w:val="left"/>
        <w:textAlignment w:val="auto"/>
        <w:outlineLvl w:val="9"/>
        <w:rPr>
          <w:rFonts w:hint="eastAsia" w:ascii="仿宋" w:hAnsi="仿宋" w:eastAsia="仿宋" w:cs="Times New Roman"/>
          <w:b w:val="0"/>
          <w:bCs w:val="0"/>
          <w:color w:val="000000"/>
          <w:kern w:val="2"/>
          <w:sz w:val="32"/>
          <w:szCs w:val="24"/>
          <w:lang w:val="en-US" w:eastAsia="zh-CN" w:bidi="ar-SA"/>
        </w:rPr>
      </w:pPr>
      <w:r>
        <w:rPr>
          <w:rFonts w:hint="eastAsia" w:ascii="仿宋" w:hAnsi="仿宋" w:eastAsia="仿宋" w:cs="Times New Roman"/>
          <w:b w:val="0"/>
          <w:bCs w:val="0"/>
          <w:color w:val="000000"/>
          <w:kern w:val="2"/>
          <w:sz w:val="32"/>
          <w:szCs w:val="24"/>
          <w:lang w:val="en-US" w:eastAsia="zh-CN" w:bidi="ar-SA"/>
        </w:rPr>
        <w:t>十三、财政拨款“三公”经费支出决算表</w:t>
      </w:r>
      <w:r>
        <w:rPr>
          <w:rFonts w:hint="eastAsia" w:ascii="仿宋" w:hAnsi="仿宋" w:eastAsia="仿宋" w:cs="Times New Roman"/>
          <w:b w:val="0"/>
          <w:bCs w:val="0"/>
          <w:color w:val="000000"/>
          <w:kern w:val="2"/>
          <w:sz w:val="32"/>
          <w:szCs w:val="24"/>
          <w:lang w:val="en-US" w:eastAsia="zh-CN" w:bidi="ar-SA"/>
        </w:rPr>
        <w:tab/>
      </w:r>
      <w:r>
        <w:rPr>
          <w:rFonts w:hint="eastAsia" w:ascii="仿宋" w:hAnsi="仿宋" w:eastAsia="仿宋" w:cs="Times New Roman"/>
          <w:b w:val="0"/>
          <w:bCs w:val="0"/>
          <w:color w:val="000000"/>
          <w:kern w:val="2"/>
          <w:sz w:val="32"/>
          <w:szCs w:val="24"/>
          <w:lang w:val="en-US" w:eastAsia="zh-CN" w:bidi="ar-SA"/>
        </w:rPr>
        <w:tab/>
      </w:r>
      <w:r>
        <w:rPr>
          <w:rFonts w:hint="eastAsia" w:ascii="仿宋" w:hAnsi="仿宋" w:eastAsia="仿宋" w:cs="Times New Roman"/>
          <w:b w:val="0"/>
          <w:bCs w:val="0"/>
          <w:color w:val="000000"/>
          <w:kern w:val="2"/>
          <w:sz w:val="32"/>
          <w:szCs w:val="24"/>
          <w:lang w:val="en-US" w:eastAsia="zh-CN" w:bidi="ar-SA"/>
        </w:rPr>
        <w:t>35</w:t>
      </w:r>
    </w:p>
    <w:p w14:paraId="31E31ABC">
      <w:pPr>
        <w:widowControl/>
        <w:spacing w:line="440" w:lineRule="exact"/>
        <w:jc w:val="left"/>
        <w:rPr>
          <w:rFonts w:ascii="仿宋" w:hAnsi="仿宋" w:eastAsia="仿宋"/>
          <w:bCs/>
          <w:kern w:val="44"/>
          <w:sz w:val="24"/>
        </w:rPr>
      </w:pPr>
      <w:bookmarkStart w:id="12" w:name="_Toc15396599"/>
      <w:bookmarkStart w:id="13" w:name="_Toc15377196"/>
      <w:r>
        <w:rPr>
          <w:rFonts w:ascii="仿宋" w:hAnsi="仿宋" w:eastAsia="仿宋"/>
          <w:b/>
          <w:sz w:val="24"/>
        </w:rPr>
        <w:br w:type="page"/>
      </w:r>
    </w:p>
    <w:p w14:paraId="04872ED4">
      <w:pPr>
        <w:pStyle w:val="3"/>
      </w:pPr>
      <w:r>
        <w:rPr>
          <w:rFonts w:hint="eastAsia"/>
        </w:rPr>
        <w:t>第一部分 部门概况</w:t>
      </w:r>
      <w:bookmarkEnd w:id="12"/>
      <w:bookmarkEnd w:id="13"/>
    </w:p>
    <w:p w14:paraId="1B5574AD">
      <w:pPr>
        <w:widowControl/>
        <w:jc w:val="left"/>
        <w:rPr>
          <w:rFonts w:ascii="黑体" w:eastAsia="黑体"/>
          <w:sz w:val="32"/>
          <w:szCs w:val="32"/>
        </w:rPr>
      </w:pPr>
    </w:p>
    <w:p w14:paraId="2A87F809">
      <w:pPr>
        <w:pStyle w:val="4"/>
        <w:keepNext/>
        <w:keepLines/>
        <w:numPr>
          <w:ilvl w:val="0"/>
          <w:numId w:val="1"/>
        </w:numPr>
        <w:spacing w:beforeLines="0" w:afterLines="0" w:line="576" w:lineRule="exact"/>
        <w:ind w:firstLine="640"/>
        <w:jc w:val="both"/>
        <w:rPr>
          <w:rFonts w:hint="eastAsia" w:ascii="黑体" w:hAnsi="黑体" w:eastAsia="黑体"/>
          <w:b w:val="0"/>
        </w:rPr>
      </w:pPr>
      <w:r>
        <w:rPr>
          <w:rFonts w:hint="eastAsia" w:ascii="黑体" w:hAnsi="黑体" w:eastAsia="黑体"/>
          <w:b w:val="0"/>
        </w:rPr>
        <w:t>部门职责</w:t>
      </w:r>
    </w:p>
    <w:p w14:paraId="5E814ACC">
      <w:pPr>
        <w:pStyle w:val="4"/>
        <w:keepNext/>
        <w:keepLines/>
        <w:numPr>
          <w:ilvl w:val="0"/>
          <w:numId w:val="0"/>
        </w:numPr>
        <w:spacing w:beforeLines="0" w:afterLines="0" w:line="576" w:lineRule="exact"/>
        <w:ind w:firstLine="640" w:firstLineChars="200"/>
        <w:jc w:val="both"/>
        <w:rPr>
          <w:rFonts w:hint="eastAsia" w:ascii="仿宋" w:hAnsi="仿宋" w:eastAsia="仿宋" w:cs="Times New Roman"/>
          <w:b w:val="0"/>
          <w:bCs w:val="0"/>
          <w:color w:val="000000"/>
          <w:kern w:val="2"/>
          <w:sz w:val="32"/>
          <w:szCs w:val="24"/>
          <w:lang w:val="en-US" w:eastAsia="zh-CN" w:bidi="ar-SA"/>
        </w:rPr>
      </w:pPr>
      <w:r>
        <w:rPr>
          <w:rFonts w:hint="eastAsia" w:ascii="仿宋" w:hAnsi="仿宋" w:eastAsia="仿宋" w:cs="Times New Roman"/>
          <w:b w:val="0"/>
          <w:bCs w:val="0"/>
          <w:color w:val="000000"/>
          <w:kern w:val="2"/>
          <w:sz w:val="32"/>
          <w:szCs w:val="24"/>
          <w:lang w:val="en-US" w:eastAsia="zh-CN" w:bidi="ar-SA"/>
        </w:rPr>
        <w:t>（一）主要职能。</w:t>
      </w:r>
      <w:bookmarkStart w:id="14" w:name="_Toc15378446"/>
      <w:bookmarkStart w:id="15" w:name="_Toc15377199"/>
      <w:r>
        <w:rPr>
          <w:rFonts w:hint="eastAsia" w:ascii="仿宋" w:hAnsi="仿宋" w:eastAsia="仿宋" w:cs="Times New Roman"/>
          <w:b w:val="0"/>
          <w:bCs w:val="0"/>
          <w:color w:val="000000"/>
          <w:kern w:val="2"/>
          <w:sz w:val="32"/>
          <w:szCs w:val="24"/>
          <w:lang w:val="en-US" w:eastAsia="zh-CN" w:bidi="ar-SA"/>
        </w:rPr>
        <w:t>自治县人大常委会办公室为常委会依法行使民族立法权、重大事项决定权、监督权、人事任免权等做好服务工作；为代表视察、代表培训、代表议案、建议、批评和意见办理工作等做好服务。</w:t>
      </w:r>
    </w:p>
    <w:p w14:paraId="4F83C0F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Times New Roman"/>
          <w:b w:val="0"/>
          <w:bCs w:val="0"/>
          <w:color w:val="000000"/>
          <w:kern w:val="2"/>
          <w:sz w:val="32"/>
          <w:szCs w:val="24"/>
          <w:lang w:val="en-US" w:eastAsia="zh-CN" w:bidi="ar-SA"/>
        </w:rPr>
      </w:pPr>
      <w:r>
        <w:rPr>
          <w:rFonts w:hint="eastAsia" w:ascii="仿宋" w:hAnsi="仿宋" w:eastAsia="仿宋" w:cs="Times New Roman"/>
          <w:b w:val="0"/>
          <w:bCs w:val="0"/>
          <w:color w:val="000000"/>
          <w:kern w:val="2"/>
          <w:sz w:val="32"/>
          <w:szCs w:val="24"/>
          <w:lang w:val="en-US" w:eastAsia="zh-CN" w:bidi="ar-SA"/>
        </w:rPr>
        <w:t>（二）2023年重点工作完成情况。</w:t>
      </w:r>
      <w:bookmarkEnd w:id="14"/>
      <w:bookmarkEnd w:id="15"/>
      <w:r>
        <w:rPr>
          <w:rFonts w:hint="eastAsia" w:ascii="仿宋" w:hAnsi="仿宋" w:eastAsia="仿宋"/>
          <w:color w:val="000000"/>
          <w:sz w:val="32"/>
          <w:lang w:val="en-US" w:eastAsia="zh-CN"/>
        </w:rPr>
        <w:t>一</w:t>
      </w:r>
      <w:r>
        <w:rPr>
          <w:rFonts w:hint="eastAsia" w:ascii="仿宋" w:hAnsi="仿宋" w:eastAsia="仿宋" w:cs="Times New Roman"/>
          <w:b w:val="0"/>
          <w:bCs w:val="0"/>
          <w:color w:val="000000"/>
          <w:kern w:val="2"/>
          <w:sz w:val="32"/>
          <w:szCs w:val="24"/>
          <w:lang w:val="en-US" w:eastAsia="zh-CN" w:bidi="ar-SA"/>
        </w:rPr>
        <w:t>年来自治县人大常委会坚定以习近平新时代中国特色社会主义思想为指导，始终坚持党的领导、人民当家作主、依法治国有机统一，全面履行宪法和法律赋予的各项职责，圆满完成各项目标任务，为全县经济社会高质量发展作出了人大贡献。紧扣县委“党建引领、三区联动、城乡融合、全面振兴”发展思路，围绕“重大产业项目提升年”经济工作主基点，制定自治县人大常委会2023年“一要点三计划”（1）、民生实事代表票决项目推进监督方案，以“清单制+责任制+时限制”推进方式，不折不扣完成任务。紧扣事关全县经济社会和长远发展的重大事项，作出决议决定16项，依法任免地方国家机关工作人员68人次。紧紧抓住事关全县经济社会和长远发展的重大事项，加强调查研究，科学分析判断，依法、民主作出《关于开展第八个五年法治宣传教育的决议》《关于批准峨边彝族自治县2022年预算调整方案的决议》等11项决议决定，使县委的决策部署通过法定程序成为全县人民的共同意志和统一行动，助推全县重大项目加快建设，重点工作有力推进。全年依法任免国家机关工作人员34人（次），其中任命19人（次），免职15人（次），圆满实现了党管干部与人大依法任免干部有机统一。组织开展《四川省粮食安全保障条例》《乐山市扬尘污染防治条例》执法检查，针对问题提出整改建议意见21条，促进相关法律法规在我县全面有效实施。开展专题调研10项，《县域重点医疗机构发展情况的调研报告》受到县委主要领导肯定性批示；打好监督“组合拳”，跟踪督办审议意见62条，督促问题整改94个。</w:t>
      </w:r>
    </w:p>
    <w:p w14:paraId="49670E8B">
      <w:pPr>
        <w:pStyle w:val="4"/>
        <w:rPr>
          <w:rStyle w:val="29"/>
          <w:b w:val="0"/>
          <w:bCs w:val="0"/>
        </w:rPr>
      </w:pPr>
      <w:bookmarkStart w:id="16" w:name="_Toc15396601"/>
      <w:bookmarkStart w:id="17" w:name="_Toc15377200"/>
      <w:r>
        <w:rPr>
          <w:rFonts w:hint="eastAsia" w:ascii="黑体" w:eastAsia="黑体"/>
          <w:b w:val="0"/>
        </w:rPr>
        <w:t>二、</w:t>
      </w:r>
      <w:r>
        <w:rPr>
          <w:rFonts w:hint="eastAsia" w:ascii="黑体" w:hAnsi="黑体" w:eastAsia="黑体"/>
          <w:b w:val="0"/>
        </w:rPr>
        <w:t>机</w:t>
      </w:r>
      <w:r>
        <w:rPr>
          <w:rStyle w:val="29"/>
          <w:rFonts w:hint="eastAsia" w:ascii="黑体" w:hAnsi="黑体" w:eastAsia="黑体"/>
          <w:b w:val="0"/>
          <w:bCs w:val="0"/>
        </w:rPr>
        <w:t>构设置</w:t>
      </w:r>
      <w:bookmarkEnd w:id="16"/>
      <w:bookmarkEnd w:id="17"/>
    </w:p>
    <w:p w14:paraId="3D0F65B2">
      <w:pPr>
        <w:spacing w:beforeLines="0" w:afterLines="0" w:line="576" w:lineRule="exact"/>
        <w:ind w:firstLine="800"/>
        <w:jc w:val="both"/>
        <w:rPr>
          <w:rFonts w:hint="eastAsia" w:ascii="黑体" w:hAnsi="黑体" w:eastAsia="黑体"/>
          <w:color w:val="000000"/>
          <w:kern w:val="44"/>
          <w:sz w:val="44"/>
          <w:lang w:val="zh-CN"/>
        </w:rPr>
      </w:pPr>
      <w:r>
        <w:rPr>
          <w:rFonts w:hint="eastAsia" w:ascii="仿宋_GB2312" w:hAnsi="仿宋_GB2312" w:eastAsia="仿宋_GB2312"/>
          <w:color w:val="auto"/>
          <w:kern w:val="2"/>
          <w:sz w:val="32"/>
          <w:lang w:val="zh-CN"/>
        </w:rPr>
        <w:t>峨边彝族自治县人民代表大会常务委员会办公室</w:t>
      </w:r>
      <w:r>
        <w:rPr>
          <w:rFonts w:hint="eastAsia" w:ascii="仿宋" w:hAnsi="仿宋" w:eastAsia="仿宋"/>
          <w:color w:val="auto"/>
          <w:kern w:val="2"/>
          <w:sz w:val="32"/>
          <w:lang w:val="en-US"/>
        </w:rPr>
        <w:t>下属二级单位</w:t>
      </w:r>
      <w:r>
        <w:rPr>
          <w:rFonts w:hint="eastAsia" w:ascii="仿宋" w:hAnsi="仿宋" w:eastAsia="仿宋"/>
          <w:color w:val="auto"/>
          <w:kern w:val="2"/>
          <w:sz w:val="32"/>
          <w:lang w:val="en-US" w:eastAsia="zh-CN"/>
        </w:rPr>
        <w:t>0</w:t>
      </w:r>
      <w:r>
        <w:rPr>
          <w:rFonts w:hint="eastAsia" w:ascii="仿宋" w:hAnsi="仿宋" w:eastAsia="仿宋"/>
          <w:color w:val="auto"/>
          <w:kern w:val="2"/>
          <w:sz w:val="32"/>
          <w:lang w:val="en-US"/>
        </w:rPr>
        <w:t>个，其中行政单位</w:t>
      </w:r>
      <w:r>
        <w:rPr>
          <w:rFonts w:hint="eastAsia" w:ascii="仿宋" w:hAnsi="仿宋" w:eastAsia="仿宋"/>
          <w:color w:val="auto"/>
          <w:kern w:val="2"/>
          <w:sz w:val="32"/>
          <w:lang w:val="en-US" w:eastAsia="zh-CN"/>
        </w:rPr>
        <w:t>0</w:t>
      </w:r>
      <w:r>
        <w:rPr>
          <w:rFonts w:hint="eastAsia" w:ascii="仿宋" w:hAnsi="仿宋" w:eastAsia="仿宋"/>
          <w:color w:val="auto"/>
          <w:kern w:val="2"/>
          <w:sz w:val="32"/>
          <w:lang w:val="en-US"/>
        </w:rPr>
        <w:t>个，参照公务员法管理的事业单位</w:t>
      </w:r>
      <w:r>
        <w:rPr>
          <w:rFonts w:hint="eastAsia" w:ascii="仿宋" w:hAnsi="仿宋" w:eastAsia="仿宋"/>
          <w:color w:val="auto"/>
          <w:kern w:val="2"/>
          <w:sz w:val="32"/>
          <w:lang w:val="en-US" w:eastAsia="zh-CN"/>
        </w:rPr>
        <w:t>0</w:t>
      </w:r>
      <w:r>
        <w:rPr>
          <w:rFonts w:hint="eastAsia" w:ascii="仿宋" w:hAnsi="仿宋" w:eastAsia="仿宋"/>
          <w:color w:val="auto"/>
          <w:kern w:val="2"/>
          <w:sz w:val="32"/>
          <w:lang w:val="en-US"/>
        </w:rPr>
        <w:t>个，其他事业单位</w:t>
      </w:r>
      <w:r>
        <w:rPr>
          <w:rFonts w:hint="eastAsia" w:ascii="仿宋" w:hAnsi="仿宋" w:eastAsia="仿宋"/>
          <w:color w:val="auto"/>
          <w:kern w:val="2"/>
          <w:sz w:val="32"/>
          <w:lang w:val="en-US" w:eastAsia="zh-CN"/>
        </w:rPr>
        <w:t>0</w:t>
      </w:r>
      <w:r>
        <w:rPr>
          <w:rFonts w:hint="eastAsia" w:ascii="仿宋" w:hAnsi="仿宋" w:eastAsia="仿宋"/>
          <w:color w:val="auto"/>
          <w:kern w:val="2"/>
          <w:sz w:val="32"/>
          <w:lang w:val="en-US"/>
        </w:rPr>
        <w:t>个。</w:t>
      </w:r>
    </w:p>
    <w:p w14:paraId="77AA40C7">
      <w:pPr>
        <w:pStyle w:val="3"/>
        <w:ind w:right="440"/>
        <w:jc w:val="both"/>
        <w:rPr>
          <w:rFonts w:hint="eastAsia" w:ascii="黑体" w:hAnsi="黑体" w:eastAsia="黑体"/>
          <w:b w:val="0"/>
        </w:rPr>
      </w:pPr>
      <w:bookmarkStart w:id="18" w:name="_Toc15377204"/>
      <w:bookmarkStart w:id="19" w:name="_Toc15396602"/>
    </w:p>
    <w:p w14:paraId="089541A6">
      <w:pPr>
        <w:rPr>
          <w:rFonts w:hint="eastAsia" w:ascii="黑体" w:hAnsi="黑体" w:eastAsia="黑体"/>
          <w:b w:val="0"/>
        </w:rPr>
      </w:pPr>
    </w:p>
    <w:p w14:paraId="53292FE5">
      <w:pPr>
        <w:pStyle w:val="2"/>
        <w:rPr>
          <w:rFonts w:hint="eastAsia" w:ascii="黑体" w:hAnsi="黑体" w:eastAsia="黑体"/>
          <w:b w:val="0"/>
        </w:rPr>
      </w:pPr>
    </w:p>
    <w:p w14:paraId="63F9A5EE">
      <w:pPr>
        <w:rPr>
          <w:rFonts w:hint="eastAsia" w:ascii="黑体" w:hAnsi="黑体" w:eastAsia="黑体"/>
          <w:b w:val="0"/>
        </w:rPr>
      </w:pPr>
    </w:p>
    <w:p w14:paraId="3AF6F99F">
      <w:pPr>
        <w:pStyle w:val="2"/>
        <w:rPr>
          <w:rFonts w:hint="eastAsia" w:ascii="黑体" w:hAnsi="黑体" w:eastAsia="黑体"/>
          <w:b w:val="0"/>
        </w:rPr>
      </w:pPr>
    </w:p>
    <w:p w14:paraId="2DA14B16">
      <w:pPr>
        <w:rPr>
          <w:rFonts w:hint="eastAsia" w:ascii="黑体" w:hAnsi="黑体" w:eastAsia="黑体"/>
          <w:b w:val="0"/>
        </w:rPr>
      </w:pPr>
    </w:p>
    <w:p w14:paraId="6156FB59">
      <w:pPr>
        <w:pStyle w:val="2"/>
        <w:rPr>
          <w:rFonts w:hint="eastAsia" w:ascii="黑体" w:hAnsi="黑体" w:eastAsia="黑体"/>
          <w:b w:val="0"/>
        </w:rPr>
      </w:pPr>
    </w:p>
    <w:p w14:paraId="54DD1A43">
      <w:pPr>
        <w:rPr>
          <w:rFonts w:hint="eastAsia" w:ascii="黑体" w:hAnsi="黑体" w:eastAsia="黑体"/>
          <w:b w:val="0"/>
        </w:rPr>
      </w:pPr>
    </w:p>
    <w:p w14:paraId="3C53F25D">
      <w:pPr>
        <w:pStyle w:val="2"/>
        <w:rPr>
          <w:rFonts w:hint="eastAsia" w:ascii="黑体" w:hAnsi="黑体" w:eastAsia="黑体"/>
          <w:b w:val="0"/>
        </w:rPr>
      </w:pPr>
    </w:p>
    <w:p w14:paraId="3CC033E6">
      <w:pPr>
        <w:rPr>
          <w:rFonts w:hint="eastAsia" w:ascii="黑体" w:hAnsi="黑体" w:eastAsia="黑体"/>
          <w:b w:val="0"/>
        </w:rPr>
      </w:pPr>
    </w:p>
    <w:p w14:paraId="10DD8A78">
      <w:pPr>
        <w:pStyle w:val="3"/>
        <w:ind w:right="440"/>
        <w:jc w:val="both"/>
        <w:rPr>
          <w:rStyle w:val="28"/>
          <w:rFonts w:ascii="黑体" w:hAnsi="黑体" w:eastAsia="黑体"/>
          <w:b w:val="0"/>
          <w:bCs/>
        </w:rPr>
      </w:pPr>
      <w:r>
        <w:rPr>
          <w:rFonts w:hint="eastAsia" w:ascii="黑体" w:hAnsi="黑体" w:eastAsia="黑体"/>
          <w:b w:val="0"/>
        </w:rPr>
        <w:t>第二部分 2023年度</w:t>
      </w:r>
      <w:r>
        <w:rPr>
          <w:rStyle w:val="28"/>
          <w:rFonts w:hint="eastAsia" w:ascii="黑体" w:hAnsi="黑体" w:eastAsia="黑体"/>
          <w:b w:val="0"/>
          <w:bCs/>
        </w:rPr>
        <w:t>部门决算情况说明</w:t>
      </w:r>
      <w:bookmarkEnd w:id="18"/>
      <w:bookmarkEnd w:id="19"/>
    </w:p>
    <w:p w14:paraId="5878D23D"/>
    <w:p w14:paraId="77E59318">
      <w:pPr>
        <w:pStyle w:val="27"/>
        <w:numPr>
          <w:ilvl w:val="0"/>
          <w:numId w:val="2"/>
        </w:numPr>
        <w:spacing w:line="600" w:lineRule="exact"/>
        <w:ind w:firstLineChars="0"/>
        <w:outlineLvl w:val="1"/>
        <w:rPr>
          <w:rStyle w:val="29"/>
          <w:rFonts w:ascii="黑体" w:hAnsi="黑体" w:eastAsia="黑体"/>
          <w:b w:val="0"/>
        </w:rPr>
      </w:pPr>
      <w:bookmarkStart w:id="20" w:name="_Toc15396603"/>
      <w:bookmarkStart w:id="21" w:name="_Toc15377205"/>
      <w:r>
        <w:rPr>
          <w:rFonts w:hint="eastAsia" w:ascii="黑体" w:hAnsi="黑体" w:eastAsia="黑体"/>
          <w:sz w:val="32"/>
          <w:szCs w:val="32"/>
        </w:rPr>
        <w:t>收</w:t>
      </w:r>
      <w:r>
        <w:rPr>
          <w:rStyle w:val="29"/>
          <w:rFonts w:hint="eastAsia" w:ascii="黑体" w:hAnsi="黑体" w:eastAsia="黑体"/>
          <w:b w:val="0"/>
        </w:rPr>
        <w:t>入支出决算总体情况说明</w:t>
      </w:r>
      <w:bookmarkEnd w:id="20"/>
      <w:bookmarkEnd w:id="21"/>
    </w:p>
    <w:p w14:paraId="696EDE95">
      <w:pPr>
        <w:spacing w:line="600" w:lineRule="exact"/>
        <w:ind w:firstLine="640" w:firstLineChars="200"/>
        <w:jc w:val="left"/>
        <w:rPr>
          <w:rFonts w:ascii="仿宋" w:hAnsi="仿宋" w:eastAsia="仿宋"/>
          <w:sz w:val="32"/>
          <w:szCs w:val="32"/>
        </w:rPr>
      </w:pPr>
      <w:r>
        <w:rPr>
          <w:rFonts w:hint="eastAsia" w:ascii="仿宋" w:hAnsi="仿宋" w:eastAsia="仿宋"/>
          <w:sz w:val="32"/>
          <w:szCs w:val="32"/>
        </w:rPr>
        <w:t>2023年度收、支总计均为</w:t>
      </w:r>
      <w:r>
        <w:rPr>
          <w:rFonts w:hint="eastAsia"/>
          <w:sz w:val="32"/>
          <w:szCs w:val="32"/>
        </w:rPr>
        <w:t>1072.31</w:t>
      </w:r>
      <w:r>
        <w:rPr>
          <w:rFonts w:hint="eastAsia" w:ascii="仿宋" w:hAnsi="仿宋" w:eastAsia="仿宋"/>
          <w:sz w:val="32"/>
          <w:szCs w:val="32"/>
        </w:rPr>
        <w:t>万元</w:t>
      </w:r>
      <w:r>
        <w:rPr>
          <w:rFonts w:hint="eastAsia"/>
          <w:sz w:val="32"/>
          <w:szCs w:val="32"/>
        </w:rPr>
        <w:t>。</w:t>
      </w:r>
      <w:r>
        <w:rPr>
          <w:rFonts w:hint="eastAsia" w:ascii="仿宋" w:hAnsi="仿宋" w:eastAsia="仿宋"/>
          <w:sz w:val="32"/>
          <w:szCs w:val="32"/>
        </w:rPr>
        <w:t>与2022年度</w:t>
      </w:r>
      <w:r>
        <w:rPr>
          <w:rFonts w:hint="eastAsia" w:ascii="仿宋_GB2312" w:hAnsi="仿宋_GB2312" w:eastAsia="仿宋_GB2312"/>
          <w:color w:val="000000"/>
          <w:kern w:val="2"/>
          <w:sz w:val="32"/>
          <w:lang w:val="zh-CN"/>
        </w:rPr>
        <w:t>1</w:t>
      </w:r>
      <w:r>
        <w:rPr>
          <w:rFonts w:hint="eastAsia" w:ascii="仿宋" w:hAnsi="仿宋" w:eastAsia="仿宋"/>
          <w:sz w:val="32"/>
          <w:szCs w:val="32"/>
        </w:rPr>
        <w:t>相比，收、支总计各增加</w:t>
      </w:r>
      <w:r>
        <w:rPr>
          <w:rFonts w:hint="eastAsia" w:ascii="仿宋" w:hAnsi="仿宋" w:eastAsia="仿宋"/>
          <w:sz w:val="32"/>
          <w:szCs w:val="32"/>
          <w:lang w:val="en-US" w:eastAsia="zh-CN"/>
        </w:rPr>
        <w:t>53.55</w:t>
      </w:r>
      <w:r>
        <w:rPr>
          <w:rFonts w:hint="eastAsia" w:ascii="仿宋" w:hAnsi="仿宋" w:eastAsia="仿宋"/>
          <w:sz w:val="32"/>
          <w:szCs w:val="32"/>
        </w:rPr>
        <w:t>万元，增长</w:t>
      </w:r>
      <w:r>
        <w:rPr>
          <w:rFonts w:hint="eastAsia" w:ascii="仿宋" w:hAnsi="仿宋" w:eastAsia="仿宋"/>
          <w:sz w:val="32"/>
          <w:szCs w:val="32"/>
          <w:lang w:val="en-US" w:eastAsia="zh-CN"/>
        </w:rPr>
        <w:t>5.2%</w:t>
      </w:r>
      <w:r>
        <w:rPr>
          <w:rFonts w:hint="eastAsia" w:ascii="仿宋" w:hAnsi="仿宋" w:eastAsia="仿宋"/>
          <w:sz w:val="32"/>
          <w:szCs w:val="32"/>
        </w:rPr>
        <w:t>。主要变动原因是</w:t>
      </w:r>
      <w:r>
        <w:rPr>
          <w:rFonts w:hint="eastAsia" w:ascii="仿宋" w:hAnsi="仿宋" w:eastAsia="仿宋"/>
          <w:sz w:val="32"/>
          <w:szCs w:val="32"/>
          <w:lang w:val="en-US" w:eastAsia="zh-CN"/>
        </w:rPr>
        <w:t>人员增加、项目经费增加</w:t>
      </w:r>
      <w:r>
        <w:rPr>
          <w:rFonts w:hint="eastAsia" w:ascii="仿宋" w:hAnsi="仿宋" w:eastAsia="仿宋"/>
          <w:sz w:val="32"/>
          <w:szCs w:val="32"/>
        </w:rPr>
        <w:t>。</w:t>
      </w:r>
    </w:p>
    <w:p w14:paraId="6A3B19C6">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14:paraId="4DE843D7">
      <w:pPr>
        <w:pStyle w:val="2"/>
      </w:pPr>
      <w:r>
        <w:rPr>
          <w:rFonts w:hint="default"/>
          <w:sz w:val="24"/>
          <w:lang w:val="en-US" w:eastAsia="zh-CN"/>
        </w:rPr>
        <w:object>
          <v:shape id="_x0000_i1025" o:spt="75" type="#_x0000_t75" style="height:312pt;width:432.75pt;" o:ole="t" fillcolor="#FFFFFF" filled="t" o:preferrelative="t" stroked="f" coordsize="21600,21600">
            <v:path/>
            <v:fill on="t" focussize="0,0"/>
            <v:stroke on="f"/>
            <v:imagedata r:id="rId7" o:title=""/>
            <o:lock v:ext="edit" aspectratio="t"/>
            <w10:wrap type="none"/>
            <w10:anchorlock/>
          </v:shape>
          <o:OLEObject Type="Embed" ProgID="Excel.Sheet.8" ShapeID="_x0000_i1025" DrawAspect="Content" ObjectID="_1468075725" r:id="rId6">
            <o:LockedField>false</o:LockedField>
          </o:OLEObject>
        </w:object>
      </w:r>
    </w:p>
    <w:p w14:paraId="2BD1A002">
      <w:pPr>
        <w:spacing w:line="600" w:lineRule="exact"/>
        <w:ind w:firstLine="640" w:firstLineChars="200"/>
        <w:jc w:val="left"/>
        <w:rPr>
          <w:rFonts w:ascii="仿宋_GB2312" w:eastAsia="仿宋_GB2312"/>
          <w:sz w:val="32"/>
          <w:szCs w:val="32"/>
        </w:rPr>
      </w:pPr>
    </w:p>
    <w:p w14:paraId="664345D1">
      <w:pPr>
        <w:pStyle w:val="27"/>
        <w:numPr>
          <w:ilvl w:val="0"/>
          <w:numId w:val="2"/>
        </w:numPr>
        <w:spacing w:line="600" w:lineRule="exact"/>
        <w:ind w:firstLineChars="0"/>
        <w:outlineLvl w:val="1"/>
        <w:rPr>
          <w:rStyle w:val="29"/>
          <w:rFonts w:ascii="黑体" w:hAnsi="黑体" w:eastAsia="黑体"/>
          <w:b w:val="0"/>
        </w:rPr>
      </w:pPr>
      <w:bookmarkStart w:id="22" w:name="_Toc15396604"/>
      <w:bookmarkStart w:id="23" w:name="_Toc15377206"/>
      <w:r>
        <w:rPr>
          <w:rFonts w:hint="eastAsia" w:ascii="黑体" w:hAnsi="黑体" w:eastAsia="黑体"/>
          <w:sz w:val="32"/>
          <w:szCs w:val="32"/>
        </w:rPr>
        <w:t>收</w:t>
      </w:r>
      <w:r>
        <w:rPr>
          <w:rStyle w:val="29"/>
          <w:rFonts w:hint="eastAsia" w:ascii="黑体" w:hAnsi="黑体" w:eastAsia="黑体"/>
          <w:b w:val="0"/>
        </w:rPr>
        <w:t>入决算情况说明</w:t>
      </w:r>
      <w:bookmarkEnd w:id="22"/>
      <w:bookmarkEnd w:id="23"/>
    </w:p>
    <w:p w14:paraId="587F4083">
      <w:pPr>
        <w:spacing w:line="600" w:lineRule="exact"/>
        <w:ind w:firstLine="640" w:firstLineChars="200"/>
        <w:jc w:val="left"/>
        <w:outlineLvl w:val="1"/>
        <w:rPr>
          <w:rFonts w:ascii="仿宋" w:hAnsi="仿宋" w:eastAsia="仿宋"/>
          <w:sz w:val="32"/>
          <w:szCs w:val="32"/>
        </w:rPr>
      </w:pPr>
      <w:r>
        <w:rPr>
          <w:rFonts w:hint="eastAsia" w:ascii="仿宋" w:hAnsi="仿宋" w:eastAsia="仿宋"/>
          <w:sz w:val="32"/>
          <w:szCs w:val="32"/>
        </w:rPr>
        <w:t>2023年度本年收入合计</w:t>
      </w:r>
      <w:r>
        <w:rPr>
          <w:sz w:val="32"/>
          <w:szCs w:val="32"/>
        </w:rPr>
        <w:t>1072.31</w:t>
      </w:r>
      <w:r>
        <w:rPr>
          <w:rFonts w:hint="eastAsia" w:ascii="仿宋" w:hAnsi="仿宋" w:eastAsia="仿宋"/>
          <w:sz w:val="32"/>
          <w:szCs w:val="32"/>
        </w:rPr>
        <w:t>万元，其中：一般公共预算财政拨款收入</w:t>
      </w:r>
      <w:r>
        <w:rPr>
          <w:sz w:val="32"/>
          <w:szCs w:val="32"/>
        </w:rPr>
        <w:t>932.38</w:t>
      </w:r>
      <w:r>
        <w:rPr>
          <w:rFonts w:hint="eastAsia" w:ascii="仿宋" w:hAnsi="仿宋" w:eastAsia="仿宋"/>
          <w:sz w:val="32"/>
          <w:szCs w:val="32"/>
        </w:rPr>
        <w:t>万元，占</w:t>
      </w:r>
      <w:r>
        <w:rPr>
          <w:sz w:val="32"/>
          <w:szCs w:val="32"/>
        </w:rPr>
        <w:t>86.95</w:t>
      </w:r>
      <w:r>
        <w:rPr>
          <w:rFonts w:ascii="仿宋" w:hAnsi="仿宋" w:eastAsia="仿宋"/>
          <w:sz w:val="32"/>
          <w:szCs w:val="32"/>
        </w:rPr>
        <w:t>%</w:t>
      </w:r>
      <w:r>
        <w:rPr>
          <w:rFonts w:hint="eastAsia" w:ascii="仿宋" w:hAnsi="仿宋" w:eastAsia="仿宋"/>
          <w:sz w:val="32"/>
          <w:szCs w:val="32"/>
        </w:rPr>
        <w:t>；政府性基金预算财政拨款收入</w:t>
      </w:r>
      <w:r>
        <w:rPr>
          <w:sz w:val="32"/>
          <w:szCs w:val="32"/>
        </w:rPr>
        <w:t>139.93</w:t>
      </w:r>
      <w:r>
        <w:rPr>
          <w:rFonts w:hint="eastAsia" w:ascii="仿宋" w:hAnsi="仿宋" w:eastAsia="仿宋"/>
          <w:sz w:val="32"/>
          <w:szCs w:val="32"/>
        </w:rPr>
        <w:t>万元，占</w:t>
      </w:r>
      <w:r>
        <w:rPr>
          <w:sz w:val="32"/>
          <w:szCs w:val="32"/>
        </w:rPr>
        <w:t>13.04</w:t>
      </w:r>
      <w:r>
        <w:rPr>
          <w:rFonts w:ascii="仿宋" w:hAnsi="仿宋" w:eastAsia="仿宋"/>
          <w:sz w:val="32"/>
          <w:szCs w:val="32"/>
        </w:rPr>
        <w:t>%</w:t>
      </w:r>
      <w:r>
        <w:rPr>
          <w:rFonts w:hint="eastAsia" w:ascii="仿宋" w:hAnsi="仿宋" w:eastAsia="仿宋"/>
          <w:sz w:val="32"/>
          <w:szCs w:val="32"/>
        </w:rPr>
        <w:t>；国有资本经营预算财政拨款收入</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；上级补助收入</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；事业收入</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；经营收入</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；附属单位上缴收入</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；其他收入</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w:t>
      </w:r>
    </w:p>
    <w:p w14:paraId="2BCB4056">
      <w:pPr>
        <w:spacing w:line="600" w:lineRule="exact"/>
        <w:ind w:firstLine="643" w:firstLineChars="200"/>
        <w:outlineLvl w:val="1"/>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01表</w:t>
      </w:r>
      <w:r>
        <w:rPr>
          <w:rFonts w:hint="eastAsia" w:ascii="仿宋" w:hAnsi="仿宋" w:eastAsia="仿宋"/>
          <w:b/>
          <w:sz w:val="32"/>
          <w:szCs w:val="32"/>
        </w:rPr>
        <w:t>，仅罗列本部门涉及的收入</w:t>
      </w:r>
      <w:r>
        <w:rPr>
          <w:rFonts w:ascii="仿宋" w:hAnsi="仿宋" w:eastAsia="仿宋"/>
          <w:b/>
          <w:sz w:val="32"/>
          <w:szCs w:val="32"/>
        </w:rPr>
        <w:t>）</w:t>
      </w:r>
    </w:p>
    <w:p w14:paraId="502B8982">
      <w:pPr>
        <w:spacing w:line="600" w:lineRule="exact"/>
        <w:ind w:firstLine="640" w:firstLineChars="200"/>
        <w:outlineLvl w:val="1"/>
        <w:rPr>
          <w:rFonts w:ascii="仿宋" w:hAnsi="仿宋" w:eastAsia="仿宋"/>
          <w:sz w:val="32"/>
          <w:szCs w:val="32"/>
        </w:rPr>
      </w:pPr>
      <w:r>
        <w:rPr>
          <w:rFonts w:hint="default" w:ascii="仿宋" w:hAnsi="仿宋" w:eastAsia="仿宋"/>
          <w:color w:val="auto"/>
          <w:sz w:val="32"/>
          <w:lang w:eastAsia="zh-CN"/>
        </w:rPr>
        <w:pict>
          <v:shape id="_x0000_s1027" o:spid="_x0000_s1027" o:spt="75" type="#_x0000_t75" style="position:absolute;left:0pt;margin-left:14pt;margin-top:1.5pt;height:312pt;width:432.75pt;mso-wrap-distance-left:9pt;mso-wrap-distance-right:9pt;z-index:-251657216;mso-width-relative:page;mso-height-relative:page;" o:ole="t" fillcolor="#4F81BD" filled="t" o:preferrelative="t" stroked="f" coordsize="21600,21600" wrapcoords="21592 -2 0 0 0 21599 21592 21601 8 21601 21600 21599 21600 0 8 -2 21592 -2">
            <v:path/>
            <v:fill on="t" color2="#FFFFFF" focussize="0,0"/>
            <v:stroke on="f"/>
            <v:imagedata r:id="rId9" o:title=""/>
            <o:lock v:ext="edit" aspectratio="f"/>
            <w10:wrap type="tight"/>
          </v:shape>
          <o:OLEObject Type="Embed" ProgID="Excel.Sheet.8" ShapeID="_x0000_s1027" DrawAspect="Content" ObjectID="_1468075726" r:id="rId8">
            <o:LockedField>false</o:LockedField>
          </o:OLEObject>
        </w:pict>
      </w:r>
    </w:p>
    <w:p w14:paraId="1AEC4FE5">
      <w:pPr>
        <w:spacing w:line="600" w:lineRule="exact"/>
        <w:rPr>
          <w:rFonts w:ascii="仿宋" w:hAnsi="仿宋" w:eastAsia="仿宋"/>
          <w:sz w:val="32"/>
          <w:szCs w:val="32"/>
        </w:rPr>
      </w:pPr>
      <w:r>
        <w:rPr>
          <w:rFonts w:hint="eastAsia" w:ascii="仿宋" w:hAnsi="仿宋" w:eastAsia="仿宋"/>
          <w:sz w:val="32"/>
          <w:szCs w:val="32"/>
        </w:rPr>
        <w:t>（图2：收入决算结构图）（饼状图）</w:t>
      </w:r>
    </w:p>
    <w:p w14:paraId="04FA6B75">
      <w:pPr>
        <w:spacing w:line="600" w:lineRule="exact"/>
        <w:ind w:firstLine="640" w:firstLineChars="200"/>
        <w:rPr>
          <w:rFonts w:ascii="仿宋_GB2312" w:eastAsia="仿宋_GB2312"/>
          <w:sz w:val="32"/>
          <w:szCs w:val="32"/>
        </w:rPr>
      </w:pPr>
    </w:p>
    <w:p w14:paraId="7FA4A48F">
      <w:pPr>
        <w:pStyle w:val="27"/>
        <w:numPr>
          <w:ilvl w:val="0"/>
          <w:numId w:val="2"/>
        </w:numPr>
        <w:spacing w:line="600" w:lineRule="exact"/>
        <w:ind w:firstLineChars="0"/>
        <w:outlineLvl w:val="1"/>
        <w:rPr>
          <w:rStyle w:val="29"/>
          <w:rFonts w:ascii="黑体" w:hAnsi="黑体" w:eastAsia="黑体"/>
          <w:b w:val="0"/>
        </w:rPr>
      </w:pPr>
      <w:bookmarkStart w:id="24" w:name="_Toc15396605"/>
      <w:bookmarkStart w:id="25" w:name="_Toc15377207"/>
      <w:r>
        <w:rPr>
          <w:rFonts w:hint="eastAsia" w:ascii="黑体" w:hAnsi="黑体" w:eastAsia="黑体"/>
          <w:sz w:val="32"/>
          <w:szCs w:val="32"/>
        </w:rPr>
        <w:t>支</w:t>
      </w:r>
      <w:r>
        <w:rPr>
          <w:rStyle w:val="29"/>
          <w:rFonts w:hint="eastAsia" w:ascii="黑体" w:hAnsi="黑体" w:eastAsia="黑体"/>
          <w:b w:val="0"/>
        </w:rPr>
        <w:t>出决算情况说明</w:t>
      </w:r>
      <w:bookmarkEnd w:id="24"/>
      <w:bookmarkEnd w:id="25"/>
    </w:p>
    <w:p w14:paraId="4FEF0117">
      <w:pPr>
        <w:spacing w:line="600" w:lineRule="exact"/>
        <w:ind w:firstLine="640" w:firstLineChars="200"/>
        <w:outlineLvl w:val="1"/>
        <w:rPr>
          <w:rFonts w:ascii="仿宋" w:hAnsi="仿宋" w:eastAsia="仿宋"/>
          <w:sz w:val="32"/>
          <w:szCs w:val="32"/>
        </w:rPr>
      </w:pPr>
      <w:r>
        <w:rPr>
          <w:rFonts w:hint="eastAsia" w:ascii="仿宋" w:hAnsi="仿宋" w:eastAsia="仿宋"/>
          <w:sz w:val="32"/>
          <w:szCs w:val="32"/>
        </w:rPr>
        <w:t>2023年度本年支出合计</w:t>
      </w:r>
      <w:r>
        <w:rPr>
          <w:sz w:val="32"/>
          <w:szCs w:val="32"/>
        </w:rPr>
        <w:t>1072.31</w:t>
      </w:r>
      <w:r>
        <w:rPr>
          <w:rFonts w:hint="eastAsia" w:ascii="仿宋" w:hAnsi="仿宋" w:eastAsia="仿宋"/>
          <w:sz w:val="32"/>
          <w:szCs w:val="32"/>
        </w:rPr>
        <w:t>万元，其中：基本支出</w:t>
      </w:r>
      <w:r>
        <w:rPr>
          <w:sz w:val="32"/>
          <w:szCs w:val="32"/>
        </w:rPr>
        <w:t>848.74</w:t>
      </w:r>
      <w:r>
        <w:rPr>
          <w:rFonts w:hint="eastAsia" w:ascii="仿宋" w:hAnsi="仿宋" w:eastAsia="仿宋"/>
          <w:sz w:val="32"/>
          <w:szCs w:val="32"/>
        </w:rPr>
        <w:t>万元，占</w:t>
      </w:r>
      <w:r>
        <w:rPr>
          <w:sz w:val="32"/>
          <w:szCs w:val="32"/>
        </w:rPr>
        <w:t>79.15</w:t>
      </w:r>
      <w:r>
        <w:rPr>
          <w:rFonts w:ascii="仿宋" w:hAnsi="仿宋" w:eastAsia="仿宋"/>
          <w:sz w:val="32"/>
          <w:szCs w:val="32"/>
        </w:rPr>
        <w:t>%</w:t>
      </w:r>
      <w:r>
        <w:rPr>
          <w:rFonts w:hint="eastAsia" w:ascii="仿宋" w:hAnsi="仿宋" w:eastAsia="仿宋"/>
          <w:sz w:val="32"/>
          <w:szCs w:val="32"/>
        </w:rPr>
        <w:t>；项目支出</w:t>
      </w:r>
      <w:r>
        <w:rPr>
          <w:sz w:val="32"/>
          <w:szCs w:val="32"/>
        </w:rPr>
        <w:t>223.57</w:t>
      </w:r>
      <w:r>
        <w:rPr>
          <w:rFonts w:hint="eastAsia" w:ascii="仿宋" w:hAnsi="仿宋" w:eastAsia="仿宋"/>
          <w:sz w:val="32"/>
          <w:szCs w:val="32"/>
        </w:rPr>
        <w:t>万元，占</w:t>
      </w:r>
      <w:r>
        <w:rPr>
          <w:sz w:val="32"/>
          <w:szCs w:val="32"/>
        </w:rPr>
        <w:t>20.84</w:t>
      </w:r>
      <w:r>
        <w:rPr>
          <w:rFonts w:ascii="仿宋" w:hAnsi="仿宋" w:eastAsia="仿宋"/>
          <w:sz w:val="32"/>
          <w:szCs w:val="32"/>
        </w:rPr>
        <w:t>%</w:t>
      </w:r>
      <w:r>
        <w:rPr>
          <w:rFonts w:hint="eastAsia" w:ascii="仿宋" w:hAnsi="仿宋" w:eastAsia="仿宋"/>
          <w:sz w:val="32"/>
          <w:szCs w:val="32"/>
        </w:rPr>
        <w:t>；上缴上级支出</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；经营支出</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；对附属单位补助支出</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w:t>
      </w:r>
    </w:p>
    <w:p w14:paraId="0492080A">
      <w:pPr>
        <w:spacing w:line="600" w:lineRule="exact"/>
        <w:ind w:firstLine="643" w:firstLineChars="200"/>
        <w:outlineLvl w:val="1"/>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04</w:t>
      </w:r>
      <w:r>
        <w:rPr>
          <w:rFonts w:hint="eastAsia" w:ascii="仿宋" w:hAnsi="仿宋" w:eastAsia="仿宋"/>
          <w:b/>
          <w:sz w:val="32"/>
          <w:szCs w:val="32"/>
        </w:rPr>
        <w:t>表，仅罗列本部门涉及的支出）</w:t>
      </w:r>
    </w:p>
    <w:p w14:paraId="23F0944D">
      <w:pPr>
        <w:spacing w:line="600" w:lineRule="exact"/>
        <w:ind w:firstLine="640"/>
        <w:rPr>
          <w:rFonts w:ascii="仿宋" w:hAnsi="仿宋" w:eastAsia="仿宋"/>
          <w:sz w:val="32"/>
          <w:szCs w:val="32"/>
        </w:rPr>
      </w:pPr>
      <w:r>
        <w:rPr>
          <w:rFonts w:hint="default" w:ascii="仿宋" w:hAnsi="仿宋" w:eastAsia="仿宋"/>
          <w:color w:val="auto"/>
          <w:sz w:val="32"/>
          <w:shd w:val="pct10" w:color="auto" w:fill="FFFFFF"/>
          <w:lang w:eastAsia="zh-CN"/>
        </w:rPr>
        <w:pict>
          <v:shape id="_x0000_s1028" o:spid="_x0000_s1028" o:spt="75" type="#_x0000_t75" style="position:absolute;left:0pt;margin-left:14pt;margin-top:9.4pt;height:301.5pt;width:402pt;mso-wrap-distance-left:9pt;mso-wrap-distance-right:9pt;z-index:-251656192;mso-width-relative:page;mso-height-relative:page;" o:ole="t" filled="f" o:preferrelative="t" stroked="f" coordsize="21600,21600" wrapcoords="21592 -2 0 0 0 21600 21592 21602 8 21602 21600 21600 21600 0 8 -2 21592 -2">
            <v:path/>
            <v:fill on="f" focussize="0,0"/>
            <v:stroke on="f"/>
            <v:imagedata r:id="rId11" o:title=""/>
            <o:lock v:ext="edit" aspectratio="t"/>
            <w10:wrap type="tight"/>
          </v:shape>
          <o:OLEObject Type="Embed" ProgID="Excel.Sheet.8" ShapeID="_x0000_s1028" DrawAspect="Content" ObjectID="_1468075727" r:id="rId10">
            <o:LockedField>false</o:LockedField>
          </o:OLEObject>
        </w:pict>
      </w:r>
      <w:r>
        <w:rPr>
          <w:rFonts w:hint="eastAsia" w:ascii="仿宋" w:hAnsi="仿宋" w:eastAsia="仿宋"/>
          <w:sz w:val="32"/>
          <w:szCs w:val="32"/>
        </w:rPr>
        <w:t>（图3：支出决算结构图）（饼状图）</w:t>
      </w:r>
    </w:p>
    <w:p w14:paraId="16D8377B">
      <w:pPr>
        <w:spacing w:line="600" w:lineRule="exact"/>
        <w:ind w:firstLine="640" w:firstLineChars="200"/>
        <w:rPr>
          <w:rFonts w:ascii="仿宋_GB2312" w:eastAsia="仿宋_GB2312"/>
          <w:sz w:val="32"/>
          <w:szCs w:val="32"/>
        </w:rPr>
      </w:pPr>
    </w:p>
    <w:p w14:paraId="7C1F4D14">
      <w:pPr>
        <w:spacing w:line="600" w:lineRule="exact"/>
        <w:ind w:firstLine="640" w:firstLineChars="200"/>
        <w:outlineLvl w:val="1"/>
        <w:rPr>
          <w:rStyle w:val="29"/>
          <w:rFonts w:ascii="黑体" w:hAnsi="黑体" w:eastAsia="黑体"/>
          <w:b w:val="0"/>
        </w:rPr>
      </w:pPr>
      <w:bookmarkStart w:id="26" w:name="_Toc15396606"/>
      <w:bookmarkStart w:id="27" w:name="_Toc15377208"/>
      <w:r>
        <w:rPr>
          <w:rFonts w:hint="eastAsia" w:ascii="黑体" w:hAnsi="黑体" w:eastAsia="黑体"/>
          <w:sz w:val="32"/>
          <w:szCs w:val="32"/>
        </w:rPr>
        <w:t>四、财</w:t>
      </w:r>
      <w:r>
        <w:rPr>
          <w:rStyle w:val="29"/>
          <w:rFonts w:hint="eastAsia" w:ascii="黑体" w:hAnsi="黑体" w:eastAsia="黑体"/>
          <w:b w:val="0"/>
        </w:rPr>
        <w:t>政拨款收入支出决算总体情况说明</w:t>
      </w:r>
      <w:bookmarkEnd w:id="26"/>
      <w:bookmarkEnd w:id="27"/>
    </w:p>
    <w:p w14:paraId="79530FE1">
      <w:pPr>
        <w:spacing w:line="600" w:lineRule="exact"/>
        <w:ind w:firstLine="640"/>
        <w:rPr>
          <w:rFonts w:ascii="仿宋" w:hAnsi="仿宋" w:eastAsia="仿宋"/>
          <w:b/>
          <w:sz w:val="32"/>
          <w:szCs w:val="32"/>
        </w:rPr>
      </w:pPr>
      <w:r>
        <w:rPr>
          <w:rFonts w:hint="eastAsia" w:ascii="仿宋" w:hAnsi="仿宋" w:eastAsia="仿宋"/>
          <w:sz w:val="32"/>
          <w:szCs w:val="32"/>
        </w:rPr>
        <w:t>2023年度财政拨款收、支总计均为</w:t>
      </w:r>
      <w:r>
        <w:rPr>
          <w:sz w:val="32"/>
          <w:szCs w:val="32"/>
        </w:rPr>
        <w:t>1072.31</w:t>
      </w:r>
      <w:r>
        <w:rPr>
          <w:rFonts w:hint="eastAsia" w:ascii="仿宋" w:hAnsi="仿宋" w:eastAsia="仿宋"/>
          <w:sz w:val="32"/>
          <w:szCs w:val="32"/>
        </w:rPr>
        <w:t>万元。与2022年度相比，财政拨款收、支总计各增加</w:t>
      </w:r>
      <w:r>
        <w:rPr>
          <w:rFonts w:hint="eastAsia" w:ascii="仿宋" w:hAnsi="仿宋" w:eastAsia="仿宋"/>
          <w:sz w:val="32"/>
          <w:szCs w:val="32"/>
          <w:lang w:val="en-US" w:eastAsia="zh-CN"/>
        </w:rPr>
        <w:t>53.55</w:t>
      </w:r>
      <w:r>
        <w:rPr>
          <w:rFonts w:hint="eastAsia" w:ascii="仿宋" w:hAnsi="仿宋" w:eastAsia="仿宋"/>
          <w:sz w:val="32"/>
          <w:szCs w:val="32"/>
        </w:rPr>
        <w:t>万元，增长</w:t>
      </w:r>
      <w:r>
        <w:rPr>
          <w:rFonts w:hint="eastAsia" w:ascii="仿宋" w:hAnsi="仿宋" w:eastAsia="仿宋"/>
          <w:sz w:val="32"/>
          <w:szCs w:val="32"/>
          <w:lang w:val="en-US" w:eastAsia="zh-CN"/>
        </w:rPr>
        <w:t>5.2</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val="en-US" w:eastAsia="zh-CN"/>
        </w:rPr>
        <w:t>人员增加，项目经费增加</w:t>
      </w:r>
      <w:r>
        <w:rPr>
          <w:rFonts w:hint="eastAsia" w:ascii="仿宋" w:hAnsi="仿宋" w:eastAsia="仿宋"/>
          <w:b/>
          <w:sz w:val="32"/>
          <w:szCs w:val="32"/>
        </w:rPr>
        <w:t>（注：数据来源于财决</w:t>
      </w:r>
      <w:r>
        <w:rPr>
          <w:rFonts w:ascii="仿宋" w:hAnsi="仿宋" w:eastAsia="仿宋"/>
          <w:b/>
          <w:sz w:val="32"/>
          <w:szCs w:val="32"/>
        </w:rPr>
        <w:t>01-1</w:t>
      </w:r>
      <w:r>
        <w:rPr>
          <w:rFonts w:hint="eastAsia" w:ascii="仿宋" w:hAnsi="仿宋" w:eastAsia="仿宋"/>
          <w:b/>
          <w:sz w:val="32"/>
          <w:szCs w:val="32"/>
        </w:rPr>
        <w:t>表</w:t>
      </w:r>
      <w:r>
        <w:rPr>
          <w:rFonts w:ascii="仿宋" w:hAnsi="仿宋" w:eastAsia="仿宋"/>
          <w:b/>
          <w:sz w:val="32"/>
          <w:szCs w:val="32"/>
        </w:rPr>
        <w:t>）</w:t>
      </w:r>
    </w:p>
    <w:p w14:paraId="66D16544">
      <w:pPr>
        <w:spacing w:line="600" w:lineRule="exact"/>
        <w:rPr>
          <w:rFonts w:ascii="仿宋" w:hAnsi="仿宋" w:eastAsia="仿宋"/>
          <w:sz w:val="32"/>
          <w:szCs w:val="32"/>
        </w:rPr>
      </w:pPr>
      <w:r>
        <w:rPr>
          <w:rFonts w:hint="default" w:eastAsia="仿宋"/>
          <w:sz w:val="24"/>
          <w:lang w:eastAsia="zh-CN"/>
        </w:rPr>
        <w:pict>
          <v:shape id="_x0000_s1032" o:spid="_x0000_s1032" o:spt="75" type="#_x0000_t75" style="position:absolute;left:0pt;margin-left:24.75pt;margin-top:-684.6pt;height:260.05pt;width:432.75pt;mso-wrap-distance-left:9pt;mso-wrap-distance-right:9pt;z-index:-251654144;mso-width-relative:page;mso-height-relative:page;" o:ole="t" filled="f" o:preferrelative="t" stroked="f" coordsize="21600,21600" wrapcoords="21592 -2 0 0 0 21600 21592 21602 8 21602 21600 21600 21600 0 8 -2 21592 -2">
            <v:path/>
            <v:fill on="f" focussize="0,0"/>
            <v:stroke on="f"/>
            <v:imagedata r:id="rId13" o:title=""/>
            <o:lock v:ext="edit" aspectratio="t"/>
            <w10:wrap type="tight"/>
          </v:shape>
          <o:OLEObject Type="Embed" ProgID="Excel.Sheet.8" ShapeID="_x0000_s1032" DrawAspect="Content" ObjectID="_1468075728" r:id="rId12">
            <o:LockedField>false</o:LockedField>
          </o:OLEObject>
        </w:pict>
      </w:r>
      <w:r>
        <w:rPr>
          <w:rFonts w:hint="eastAsia" w:ascii="仿宋" w:hAnsi="仿宋" w:eastAsia="仿宋"/>
          <w:sz w:val="32"/>
          <w:szCs w:val="32"/>
        </w:rPr>
        <w:t>（图4：财政拨款收、支决算总计变动情况）（柱状图）</w:t>
      </w:r>
    </w:p>
    <w:p w14:paraId="487B7376">
      <w:pPr>
        <w:spacing w:line="600" w:lineRule="exact"/>
        <w:ind w:firstLine="640"/>
        <w:rPr>
          <w:rFonts w:ascii="仿宋" w:hAnsi="仿宋" w:eastAsia="仿宋"/>
          <w:b/>
          <w:sz w:val="32"/>
          <w:szCs w:val="32"/>
        </w:rPr>
      </w:pPr>
    </w:p>
    <w:p w14:paraId="7DAE1523">
      <w:pPr>
        <w:spacing w:line="600" w:lineRule="exact"/>
        <w:ind w:firstLine="640" w:firstLineChars="200"/>
        <w:outlineLvl w:val="1"/>
        <w:rPr>
          <w:rStyle w:val="29"/>
          <w:rFonts w:ascii="黑体" w:hAnsi="黑体" w:eastAsia="黑体"/>
          <w:b w:val="0"/>
        </w:rPr>
      </w:pPr>
      <w:bookmarkStart w:id="28" w:name="_Toc15377209"/>
      <w:bookmarkStart w:id="29" w:name="_Toc15396607"/>
      <w:r>
        <w:rPr>
          <w:rFonts w:hint="eastAsia" w:ascii="黑体" w:hAnsi="黑体" w:eastAsia="黑体"/>
          <w:sz w:val="32"/>
          <w:szCs w:val="32"/>
        </w:rPr>
        <w:t>五、</w:t>
      </w:r>
      <w:r>
        <w:rPr>
          <w:rFonts w:hint="eastAsia" w:ascii="黑体" w:hAnsi="黑体" w:eastAsia="黑体"/>
          <w:b/>
          <w:sz w:val="32"/>
          <w:szCs w:val="32"/>
        </w:rPr>
        <w:t>一</w:t>
      </w:r>
      <w:r>
        <w:rPr>
          <w:rStyle w:val="29"/>
          <w:rFonts w:hint="eastAsia" w:ascii="黑体" w:hAnsi="黑体" w:eastAsia="黑体"/>
          <w:b w:val="0"/>
        </w:rPr>
        <w:t>般公共预算财政拨款支出决算情况说明</w:t>
      </w:r>
      <w:bookmarkEnd w:id="28"/>
      <w:bookmarkEnd w:id="29"/>
    </w:p>
    <w:p w14:paraId="6A5EE7AB">
      <w:pPr>
        <w:spacing w:line="600" w:lineRule="exact"/>
        <w:ind w:firstLine="643" w:firstLineChars="200"/>
        <w:outlineLvl w:val="2"/>
        <w:rPr>
          <w:rFonts w:ascii="仿宋" w:hAnsi="仿宋" w:eastAsia="仿宋"/>
          <w:b/>
          <w:sz w:val="32"/>
          <w:szCs w:val="32"/>
        </w:rPr>
      </w:pPr>
      <w:bookmarkStart w:id="30" w:name="_Toc15377210"/>
      <w:r>
        <w:rPr>
          <w:rFonts w:hint="eastAsia" w:ascii="仿宋" w:hAnsi="仿宋" w:eastAsia="仿宋"/>
          <w:b/>
          <w:sz w:val="32"/>
          <w:szCs w:val="32"/>
        </w:rPr>
        <w:t>（一）一般公共预算财政拨款支出决算总体情况</w:t>
      </w:r>
      <w:bookmarkEnd w:id="30"/>
    </w:p>
    <w:p w14:paraId="5E975FC3">
      <w:pPr>
        <w:spacing w:line="60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rPr>
        <w:t>2023年度一般公共预算财政拨款支出</w:t>
      </w:r>
      <w:r>
        <w:rPr>
          <w:sz w:val="32"/>
          <w:szCs w:val="32"/>
        </w:rPr>
        <w:t>932.38</w:t>
      </w:r>
      <w:r>
        <w:rPr>
          <w:rFonts w:hint="eastAsia" w:ascii="仿宋" w:hAnsi="仿宋" w:eastAsia="仿宋"/>
          <w:sz w:val="32"/>
          <w:szCs w:val="32"/>
        </w:rPr>
        <w:t>万元，与2022年度相比，一般公共预算财政拨款支出</w:t>
      </w:r>
      <w:r>
        <w:rPr>
          <w:rFonts w:hint="eastAsia" w:ascii="仿宋" w:hAnsi="仿宋" w:eastAsia="仿宋"/>
          <w:sz w:val="32"/>
          <w:szCs w:val="32"/>
          <w:lang w:val="en-US" w:eastAsia="zh-CN"/>
        </w:rPr>
        <w:t>减少86.38</w:t>
      </w:r>
      <w:r>
        <w:rPr>
          <w:rFonts w:hint="eastAsia" w:ascii="仿宋" w:hAnsi="仿宋" w:eastAsia="仿宋"/>
          <w:sz w:val="32"/>
          <w:szCs w:val="32"/>
        </w:rPr>
        <w:t>万元，下降</w:t>
      </w:r>
      <w:r>
        <w:rPr>
          <w:rFonts w:hint="eastAsia" w:ascii="仿宋" w:hAnsi="仿宋" w:eastAsia="仿宋"/>
          <w:sz w:val="32"/>
          <w:szCs w:val="32"/>
          <w:lang w:val="en-US" w:eastAsia="zh-CN"/>
        </w:rPr>
        <w:t>9.3</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val="en-US" w:eastAsia="zh-CN"/>
        </w:rPr>
        <w:t>增加了政府性基金拨款。</w:t>
      </w:r>
    </w:p>
    <w:p w14:paraId="428D3845">
      <w:pPr>
        <w:pStyle w:val="2"/>
        <w:rPr>
          <w:rFonts w:hint="eastAsia" w:ascii="仿宋" w:hAnsi="仿宋" w:eastAsia="仿宋"/>
          <w:sz w:val="32"/>
          <w:szCs w:val="32"/>
          <w:lang w:val="en-US" w:eastAsia="zh-CN"/>
        </w:rPr>
      </w:pPr>
    </w:p>
    <w:p w14:paraId="72A8B9BC">
      <w:pPr>
        <w:rPr>
          <w:rFonts w:ascii="仿宋" w:hAnsi="仿宋" w:eastAsia="仿宋"/>
          <w:sz w:val="32"/>
          <w:szCs w:val="32"/>
        </w:rPr>
      </w:pPr>
      <w:r>
        <w:rPr>
          <w:rFonts w:hint="default" w:eastAsia="仿宋"/>
          <w:sz w:val="24"/>
          <w:lang w:eastAsia="zh-CN"/>
        </w:rPr>
        <w:object>
          <v:shape id="_x0000_i1026" o:spt="75" type="#_x0000_t75" style="height:212.35pt;width:432.75pt;" o:ole="t" filled="f" o:preferrelative="t" stroked="f" coordsize="21600,21600">
            <v:path/>
            <v:fill on="f" focussize="0,0"/>
            <v:stroke on="f"/>
            <v:imagedata r:id="rId15" o:title=""/>
            <o:lock v:ext="edit" aspectratio="f"/>
            <w10:wrap type="none"/>
            <w10:anchorlock/>
          </v:shape>
          <o:OLEObject Type="Embed" ProgID="Excel.Sheet.8" ShapeID="_x0000_i1026" DrawAspect="Content" ObjectID="_1468075729" r:id="rId14">
            <o:LockedField>false</o:LockedField>
          </o:OLEObject>
        </w:object>
      </w:r>
      <w:r>
        <w:rPr>
          <w:rFonts w:hint="eastAsia" w:ascii="仿宋" w:hAnsi="仿宋" w:eastAsia="仿宋"/>
          <w:sz w:val="32"/>
          <w:szCs w:val="32"/>
        </w:rPr>
        <w:t>（图5：一般公共预算财政拨款支出决算变动情况）（柱状图）</w:t>
      </w:r>
    </w:p>
    <w:p w14:paraId="78116906">
      <w:pPr>
        <w:spacing w:line="600" w:lineRule="exact"/>
        <w:ind w:firstLine="640" w:firstLineChars="200"/>
        <w:rPr>
          <w:rFonts w:ascii="仿宋" w:hAnsi="仿宋" w:eastAsia="仿宋"/>
          <w:sz w:val="32"/>
          <w:szCs w:val="32"/>
        </w:rPr>
      </w:pPr>
    </w:p>
    <w:p w14:paraId="05DB93C6">
      <w:pPr>
        <w:spacing w:line="600" w:lineRule="exact"/>
        <w:ind w:firstLine="643" w:firstLineChars="200"/>
        <w:outlineLvl w:val="2"/>
        <w:rPr>
          <w:rFonts w:ascii="仿宋" w:hAnsi="仿宋" w:eastAsia="仿宋"/>
          <w:b/>
          <w:sz w:val="32"/>
          <w:szCs w:val="32"/>
        </w:rPr>
      </w:pPr>
      <w:bookmarkStart w:id="31" w:name="_Toc15377211"/>
      <w:r>
        <w:rPr>
          <w:rFonts w:hint="eastAsia" w:ascii="仿宋" w:hAnsi="仿宋" w:eastAsia="仿宋"/>
          <w:b/>
          <w:sz w:val="32"/>
          <w:szCs w:val="32"/>
        </w:rPr>
        <w:t>（二）一般公共预算财政拨款支出决算结构情况</w:t>
      </w:r>
      <w:bookmarkEnd w:id="31"/>
    </w:p>
    <w:p w14:paraId="2C745693">
      <w:pPr>
        <w:spacing w:line="600" w:lineRule="exact"/>
        <w:ind w:firstLine="640"/>
        <w:rPr>
          <w:rFonts w:ascii="仿宋" w:hAnsi="仿宋" w:eastAsia="仿宋"/>
          <w:sz w:val="32"/>
          <w:szCs w:val="32"/>
        </w:rPr>
      </w:pPr>
      <w:r>
        <w:rPr>
          <w:rFonts w:hint="eastAsia" w:ascii="仿宋" w:hAnsi="仿宋" w:eastAsia="仿宋"/>
          <w:sz w:val="32"/>
          <w:szCs w:val="32"/>
        </w:rPr>
        <w:t>2023年度一般公共预算财政拨款支出</w:t>
      </w:r>
      <w:r>
        <w:rPr>
          <w:sz w:val="32"/>
          <w:szCs w:val="32"/>
        </w:rPr>
        <w:t>932.38</w:t>
      </w:r>
      <w:r>
        <w:rPr>
          <w:rFonts w:hint="eastAsia" w:ascii="仿宋" w:hAnsi="仿宋" w:eastAsia="仿宋"/>
          <w:sz w:val="32"/>
          <w:szCs w:val="32"/>
        </w:rPr>
        <w:t>万元，主要用于以下方面</w:t>
      </w:r>
      <w:r>
        <w:rPr>
          <w:rFonts w:hint="eastAsia" w:ascii="仿宋" w:hAnsi="仿宋" w:eastAsia="仿宋"/>
          <w:sz w:val="32"/>
          <w:szCs w:val="32"/>
          <w:lang w:eastAsia="zh-CN"/>
        </w:rPr>
        <w:t>：</w:t>
      </w:r>
      <w:r>
        <w:rPr>
          <w:rFonts w:hint="eastAsia" w:ascii="仿宋" w:hAnsi="仿宋" w:eastAsia="仿宋"/>
          <w:b/>
          <w:sz w:val="32"/>
          <w:szCs w:val="32"/>
        </w:rPr>
        <w:t>一般公共服务</w:t>
      </w:r>
      <w:r>
        <w:rPr>
          <w:rFonts w:hint="eastAsia" w:ascii="仿宋" w:hAnsi="仿宋" w:eastAsia="仿宋"/>
          <w:b/>
          <w:bCs/>
          <w:sz w:val="32"/>
          <w:szCs w:val="32"/>
        </w:rPr>
        <w:t>支出</w:t>
      </w:r>
      <w:r>
        <w:rPr>
          <w:rFonts w:hint="eastAsia" w:ascii="仿宋" w:hAnsi="仿宋" w:eastAsia="仿宋"/>
          <w:sz w:val="32"/>
          <w:szCs w:val="32"/>
          <w:lang w:val="en-US" w:eastAsia="zh-CN"/>
        </w:rPr>
        <w:t>609.18</w:t>
      </w:r>
      <w:r>
        <w:rPr>
          <w:rFonts w:hint="eastAsia" w:ascii="仿宋" w:hAnsi="仿宋" w:eastAsia="仿宋"/>
          <w:sz w:val="32"/>
          <w:szCs w:val="32"/>
        </w:rPr>
        <w:t>万元，占</w:t>
      </w:r>
      <w:r>
        <w:rPr>
          <w:rFonts w:hint="eastAsia" w:ascii="仿宋" w:hAnsi="仿宋" w:eastAsia="仿宋"/>
          <w:sz w:val="32"/>
          <w:szCs w:val="32"/>
          <w:lang w:val="en-US" w:eastAsia="zh-CN"/>
        </w:rPr>
        <w:t>65</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b/>
          <w:bCs/>
          <w:sz w:val="32"/>
          <w:szCs w:val="32"/>
          <w:lang w:val="en-US" w:eastAsia="zh-CN"/>
        </w:rPr>
        <w:t>180.56</w:t>
      </w:r>
      <w:r>
        <w:rPr>
          <w:rFonts w:hint="eastAsia" w:ascii="仿宋" w:hAnsi="仿宋" w:eastAsia="仿宋"/>
          <w:sz w:val="32"/>
          <w:szCs w:val="32"/>
        </w:rPr>
        <w:t>万元，占</w:t>
      </w:r>
      <w:r>
        <w:rPr>
          <w:rFonts w:hint="eastAsia" w:ascii="仿宋" w:hAnsi="仿宋" w:eastAsia="仿宋"/>
          <w:sz w:val="32"/>
          <w:szCs w:val="32"/>
          <w:lang w:val="en-US" w:eastAsia="zh-CN"/>
        </w:rPr>
        <w:t>19</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lang w:val="en-US" w:eastAsia="zh-CN"/>
        </w:rPr>
        <w:t>18.89</w:t>
      </w:r>
      <w:r>
        <w:rPr>
          <w:rFonts w:hint="eastAsia" w:ascii="仿宋" w:hAnsi="仿宋" w:eastAsia="仿宋"/>
          <w:sz w:val="32"/>
          <w:szCs w:val="32"/>
        </w:rPr>
        <w:t>万元，占</w:t>
      </w:r>
      <w:r>
        <w:rPr>
          <w:rFonts w:hint="eastAsia" w:ascii="仿宋" w:hAnsi="仿宋" w:eastAsia="仿宋"/>
          <w:sz w:val="32"/>
          <w:szCs w:val="32"/>
          <w:lang w:val="en-US" w:eastAsia="zh-CN"/>
        </w:rPr>
        <w:t>2</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cs="Times New Roman"/>
          <w:b/>
          <w:bCs/>
          <w:sz w:val="32"/>
          <w:szCs w:val="32"/>
          <w:lang w:val="en-US" w:eastAsia="zh-CN"/>
        </w:rPr>
        <w:t>农林水支出</w:t>
      </w:r>
      <w:r>
        <w:rPr>
          <w:rFonts w:hint="eastAsia" w:ascii="仿宋" w:hAnsi="仿宋" w:eastAsia="仿宋" w:cs="Times New Roman"/>
          <w:sz w:val="32"/>
          <w:szCs w:val="32"/>
          <w:lang w:val="en-US" w:eastAsia="zh-CN"/>
        </w:rPr>
        <w:t>80万元，</w:t>
      </w:r>
      <w:r>
        <w:rPr>
          <w:rFonts w:hint="eastAsia" w:ascii="仿宋" w:hAnsi="仿宋" w:eastAsia="仿宋"/>
          <w:sz w:val="32"/>
          <w:szCs w:val="32"/>
        </w:rPr>
        <w:t>占</w:t>
      </w:r>
      <w:r>
        <w:rPr>
          <w:rFonts w:hint="eastAsia" w:ascii="仿宋" w:hAnsi="仿宋" w:eastAsia="仿宋"/>
          <w:sz w:val="32"/>
          <w:szCs w:val="32"/>
          <w:lang w:val="en-US" w:eastAsia="zh-CN"/>
        </w:rPr>
        <w:t>8</w:t>
      </w:r>
      <w:r>
        <w:rPr>
          <w:rFonts w:ascii="仿宋" w:hAnsi="仿宋" w:eastAsia="仿宋"/>
          <w:sz w:val="32"/>
          <w:szCs w:val="32"/>
        </w:rPr>
        <w:t>%</w:t>
      </w:r>
      <w:r>
        <w:rPr>
          <w:rFonts w:hint="eastAsia" w:ascii="仿宋" w:hAnsi="仿宋" w:eastAsia="仿宋"/>
          <w:b/>
          <w:bCs/>
          <w:sz w:val="32"/>
          <w:szCs w:val="32"/>
        </w:rPr>
        <w:t>住房保障支出</w:t>
      </w:r>
      <w:r>
        <w:rPr>
          <w:rFonts w:hint="eastAsia" w:ascii="仿宋" w:hAnsi="仿宋" w:eastAsia="仿宋"/>
          <w:b/>
          <w:bCs/>
          <w:sz w:val="32"/>
          <w:szCs w:val="32"/>
          <w:lang w:val="en-US" w:eastAsia="zh-CN"/>
        </w:rPr>
        <w:t>43.75</w:t>
      </w:r>
      <w:r>
        <w:rPr>
          <w:rFonts w:hint="eastAsia" w:ascii="仿宋" w:hAnsi="仿宋" w:eastAsia="仿宋"/>
          <w:sz w:val="32"/>
          <w:szCs w:val="32"/>
        </w:rPr>
        <w:t>万元，占</w:t>
      </w:r>
      <w:r>
        <w:rPr>
          <w:rFonts w:hint="eastAsia" w:ascii="仿宋" w:hAnsi="仿宋" w:eastAsia="仿宋"/>
          <w:sz w:val="32"/>
          <w:szCs w:val="32"/>
          <w:lang w:val="en-US" w:eastAsia="zh-CN"/>
        </w:rPr>
        <w:t>5</w:t>
      </w:r>
      <w:r>
        <w:rPr>
          <w:rFonts w:ascii="仿宋" w:hAnsi="仿宋" w:eastAsia="仿宋"/>
          <w:sz w:val="32"/>
          <w:szCs w:val="32"/>
        </w:rPr>
        <w:t>%</w:t>
      </w:r>
      <w:r>
        <w:rPr>
          <w:rFonts w:hint="eastAsia" w:ascii="仿宋" w:hAnsi="仿宋" w:eastAsia="仿宋"/>
          <w:sz w:val="32"/>
          <w:szCs w:val="32"/>
        </w:rPr>
        <w:t>。</w:t>
      </w:r>
    </w:p>
    <w:p w14:paraId="1322D2C1">
      <w:pPr>
        <w:spacing w:line="600" w:lineRule="exact"/>
        <w:ind w:firstLine="640"/>
        <w:rPr>
          <w:rFonts w:hint="eastAsia" w:ascii="仿宋" w:hAnsi="仿宋" w:eastAsia="仿宋"/>
          <w:b/>
          <w:sz w:val="32"/>
          <w:szCs w:val="32"/>
        </w:rPr>
      </w:pPr>
      <w:r>
        <w:rPr>
          <w:rFonts w:hint="eastAsia" w:ascii="仿宋" w:hAnsi="仿宋" w:eastAsia="仿宋"/>
          <w:b/>
          <w:sz w:val="32"/>
          <w:szCs w:val="32"/>
        </w:rPr>
        <w:t>（注：数据来源于财决01-1表，仅罗列本部门涉及的全部功能分类科目，至类级）</w:t>
      </w:r>
    </w:p>
    <w:p w14:paraId="1E04634A">
      <w:pPr>
        <w:pStyle w:val="2"/>
        <w:rPr>
          <w:rFonts w:hint="eastAsia" w:ascii="仿宋" w:hAnsi="仿宋" w:eastAsia="仿宋"/>
          <w:b/>
          <w:sz w:val="32"/>
          <w:szCs w:val="32"/>
        </w:rPr>
      </w:pPr>
      <w:r>
        <w:rPr>
          <w:rFonts w:hint="default"/>
          <w:sz w:val="24"/>
          <w:lang w:eastAsia="zh-CN"/>
        </w:rPr>
        <w:pict>
          <v:shape id="_x0000_s1031" o:spid="_x0000_s1031" o:spt="75" type="#_x0000_t75" style="position:absolute;left:0pt;margin-left:11.9pt;margin-top:9pt;height:254.95pt;width:384pt;mso-wrap-distance-bottom:0pt;mso-wrap-distance-left:9pt;mso-wrap-distance-right:9pt;mso-wrap-distance-top:0pt;z-index:251661312;mso-width-relative:page;mso-height-relative:page;" o:ole="t" filled="f" o:preferrelative="t" stroked="f" coordsize="21600,21600">
            <v:path/>
            <v:fill on="f" focussize="0,0"/>
            <v:stroke on="f"/>
            <v:imagedata r:id="rId17" o:title=""/>
            <o:lock v:ext="edit" aspectratio="t"/>
            <w10:wrap type="square"/>
          </v:shape>
          <o:OLEObject Type="Embed" ProgID="Excel.Sheet.8" ShapeID="_x0000_s1031" DrawAspect="Content" ObjectID="_1468075730" r:id="rId16">
            <o:LockedField>false</o:LockedField>
          </o:OLEObject>
        </w:pict>
      </w:r>
    </w:p>
    <w:p w14:paraId="02AB555D">
      <w:pPr>
        <w:spacing w:line="600" w:lineRule="exact"/>
        <w:rPr>
          <w:rFonts w:ascii="仿宋" w:hAnsi="仿宋" w:eastAsia="仿宋"/>
          <w:sz w:val="32"/>
          <w:szCs w:val="32"/>
        </w:rPr>
      </w:pPr>
      <w:r>
        <w:rPr>
          <w:rFonts w:hint="eastAsia" w:ascii="仿宋" w:hAnsi="仿宋" w:eastAsia="仿宋"/>
          <w:sz w:val="32"/>
          <w:szCs w:val="32"/>
        </w:rPr>
        <w:t>（图6：一般公共预算财政拨款支出决算结构）（饼状图）</w:t>
      </w:r>
    </w:p>
    <w:p w14:paraId="77B2C08F">
      <w:pPr>
        <w:spacing w:line="600" w:lineRule="exact"/>
        <w:ind w:firstLine="640" w:firstLineChars="200"/>
        <w:rPr>
          <w:rFonts w:ascii="仿宋" w:hAnsi="仿宋" w:eastAsia="仿宋"/>
          <w:sz w:val="32"/>
          <w:szCs w:val="32"/>
        </w:rPr>
      </w:pPr>
    </w:p>
    <w:p w14:paraId="3C751C13">
      <w:pPr>
        <w:spacing w:line="600" w:lineRule="exact"/>
        <w:ind w:firstLine="643" w:firstLineChars="200"/>
        <w:outlineLvl w:val="2"/>
        <w:rPr>
          <w:rFonts w:ascii="仿宋" w:hAnsi="仿宋" w:eastAsia="仿宋"/>
          <w:b/>
          <w:sz w:val="32"/>
          <w:szCs w:val="32"/>
        </w:rPr>
      </w:pPr>
      <w:bookmarkStart w:id="32" w:name="_Toc15377212"/>
      <w:r>
        <w:rPr>
          <w:rFonts w:hint="eastAsia" w:ascii="仿宋" w:hAnsi="仿宋" w:eastAsia="仿宋"/>
          <w:b/>
          <w:sz w:val="32"/>
          <w:szCs w:val="32"/>
        </w:rPr>
        <w:t>（三）一般公共预算财政拨款支出决算具体情况</w:t>
      </w:r>
      <w:bookmarkEnd w:id="32"/>
    </w:p>
    <w:p w14:paraId="327AA4A2">
      <w:pPr>
        <w:spacing w:line="600" w:lineRule="exact"/>
        <w:ind w:firstLine="643" w:firstLineChars="200"/>
        <w:outlineLvl w:val="2"/>
        <w:rPr>
          <w:rFonts w:ascii="仿宋" w:hAnsi="仿宋" w:eastAsia="仿宋"/>
          <w:sz w:val="32"/>
          <w:szCs w:val="32"/>
        </w:rPr>
      </w:pPr>
      <w:bookmarkStart w:id="33" w:name="_Toc15377444"/>
      <w:bookmarkStart w:id="34" w:name="_Toc15378460"/>
      <w:bookmarkStart w:id="35" w:name="_Toc15377213"/>
      <w:r>
        <w:rPr>
          <w:rFonts w:hint="eastAsia" w:ascii="仿宋" w:hAnsi="仿宋" w:eastAsia="仿宋"/>
          <w:b/>
          <w:sz w:val="32"/>
          <w:szCs w:val="32"/>
        </w:rPr>
        <w:t>2023年度一般公共预算支出决算数为</w:t>
      </w:r>
      <w:r>
        <w:rPr>
          <w:sz w:val="32"/>
          <w:szCs w:val="32"/>
        </w:rPr>
        <w:t>932.38</w:t>
      </w:r>
      <w:r>
        <w:rPr>
          <w:rFonts w:hint="eastAsia"/>
          <w:sz w:val="32"/>
          <w:szCs w:val="32"/>
          <w:lang w:eastAsia="zh-CN"/>
        </w:rPr>
        <w:t>万元</w:t>
      </w:r>
      <w:r>
        <w:rPr>
          <w:rFonts w:hint="eastAsia" w:ascii="仿宋" w:hAnsi="仿宋" w:eastAsia="仿宋"/>
          <w:sz w:val="32"/>
          <w:szCs w:val="32"/>
        </w:rPr>
        <w:t>，</w:t>
      </w:r>
      <w:r>
        <w:rPr>
          <w:rStyle w:val="17"/>
          <w:rFonts w:hint="eastAsia" w:ascii="仿宋" w:hAnsi="仿宋" w:eastAsia="仿宋"/>
          <w:bCs/>
          <w:sz w:val="32"/>
          <w:szCs w:val="32"/>
        </w:rPr>
        <w:t>完成预算</w:t>
      </w:r>
      <w:r>
        <w:rPr>
          <w:rStyle w:val="17"/>
          <w:rFonts w:hint="eastAsia" w:ascii="仿宋" w:hAnsi="仿宋" w:eastAsia="仿宋"/>
          <w:bCs/>
          <w:sz w:val="32"/>
          <w:szCs w:val="32"/>
          <w:lang w:val="en-US" w:eastAsia="zh-CN"/>
        </w:rPr>
        <w:t>100</w:t>
      </w:r>
      <w:r>
        <w:rPr>
          <w:rStyle w:val="17"/>
          <w:rFonts w:ascii="仿宋" w:hAnsi="仿宋" w:eastAsia="仿宋"/>
          <w:bCs/>
          <w:sz w:val="32"/>
          <w:szCs w:val="32"/>
        </w:rPr>
        <w:t>%</w:t>
      </w:r>
      <w:r>
        <w:rPr>
          <w:rStyle w:val="17"/>
          <w:rFonts w:hint="eastAsia" w:ascii="仿宋" w:hAnsi="仿宋" w:eastAsia="仿宋"/>
          <w:bCs/>
          <w:sz w:val="32"/>
          <w:szCs w:val="32"/>
        </w:rPr>
        <w:t>。其中：</w:t>
      </w:r>
      <w:bookmarkEnd w:id="33"/>
      <w:bookmarkEnd w:id="34"/>
      <w:bookmarkEnd w:id="35"/>
    </w:p>
    <w:p w14:paraId="0A93EA3B">
      <w:pPr>
        <w:numPr>
          <w:ilvl w:val="0"/>
          <w:numId w:val="3"/>
        </w:numPr>
        <w:spacing w:line="600" w:lineRule="exact"/>
        <w:ind w:firstLine="643" w:firstLineChars="200"/>
        <w:rPr>
          <w:rStyle w:val="17"/>
          <w:rFonts w:hint="eastAsia" w:ascii="仿宋" w:hAnsi="仿宋" w:eastAsia="仿宋"/>
          <w:b w:val="0"/>
          <w:color w:val="auto"/>
          <w:sz w:val="32"/>
        </w:rPr>
      </w:pPr>
      <w:r>
        <w:rPr>
          <w:rStyle w:val="17"/>
          <w:rFonts w:hint="eastAsia" w:ascii="仿宋" w:hAnsi="仿宋" w:eastAsia="仿宋"/>
          <w:bCs/>
          <w:sz w:val="32"/>
          <w:szCs w:val="32"/>
        </w:rPr>
        <w:t>一般公共服务（类）</w:t>
      </w:r>
      <w:r>
        <w:rPr>
          <w:rStyle w:val="17"/>
          <w:rFonts w:hint="eastAsia" w:ascii="仿宋" w:hAnsi="仿宋" w:eastAsia="仿宋"/>
          <w:color w:val="auto"/>
          <w:sz w:val="32"/>
          <w:lang w:val="en-US" w:eastAsia="zh-CN"/>
        </w:rPr>
        <w:t>人大事务</w:t>
      </w:r>
      <w:r>
        <w:rPr>
          <w:rStyle w:val="17"/>
          <w:rFonts w:hint="eastAsia" w:ascii="仿宋" w:hAnsi="仿宋" w:eastAsia="仿宋"/>
          <w:color w:val="auto"/>
          <w:sz w:val="32"/>
        </w:rPr>
        <w:t>（款）</w:t>
      </w:r>
      <w:r>
        <w:rPr>
          <w:rStyle w:val="17"/>
          <w:rFonts w:hint="eastAsia" w:ascii="仿宋" w:hAnsi="仿宋" w:eastAsia="仿宋"/>
          <w:color w:val="auto"/>
          <w:sz w:val="32"/>
          <w:lang w:val="en-US" w:eastAsia="zh-CN"/>
        </w:rPr>
        <w:t>行政运行</w:t>
      </w:r>
      <w:r>
        <w:rPr>
          <w:rStyle w:val="17"/>
          <w:rFonts w:hint="eastAsia" w:ascii="仿宋" w:hAnsi="仿宋" w:eastAsia="仿宋"/>
          <w:color w:val="auto"/>
          <w:sz w:val="32"/>
        </w:rPr>
        <w:t>（项）</w:t>
      </w:r>
      <w:r>
        <w:rPr>
          <w:rStyle w:val="17"/>
          <w:rFonts w:hint="eastAsia" w:ascii="仿宋" w:hAnsi="仿宋" w:eastAsia="仿宋"/>
          <w:color w:val="auto"/>
          <w:sz w:val="32"/>
          <w:lang w:eastAsia="zh-CN"/>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支出决算为474.06万元，完成预算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rPr>
        <w:t>，</w:t>
      </w:r>
      <w:r>
        <w:rPr>
          <w:rStyle w:val="17"/>
          <w:rFonts w:hint="eastAsia" w:ascii="仿宋" w:hAnsi="仿宋" w:eastAsia="仿宋"/>
          <w:b w:val="0"/>
          <w:color w:val="auto"/>
          <w:sz w:val="32"/>
        </w:rPr>
        <w:t>决算数等于预算数。</w:t>
      </w:r>
    </w:p>
    <w:p w14:paraId="6E46D4E2">
      <w:pPr>
        <w:numPr>
          <w:ilvl w:val="0"/>
          <w:numId w:val="0"/>
        </w:numPr>
        <w:spacing w:beforeLines="0" w:afterLines="0" w:line="600" w:lineRule="exact"/>
        <w:ind w:firstLine="643" w:firstLineChars="200"/>
        <w:rPr>
          <w:rStyle w:val="17"/>
          <w:rFonts w:hint="eastAsia" w:ascii="仿宋" w:hAnsi="仿宋" w:eastAsia="仿宋"/>
          <w:b w:val="0"/>
          <w:color w:val="000000"/>
          <w:sz w:val="32"/>
          <w:lang w:val="en-US" w:eastAsia="zh-CN"/>
        </w:rPr>
      </w:pPr>
      <w:r>
        <w:rPr>
          <w:rStyle w:val="17"/>
          <w:rFonts w:hint="eastAsia" w:ascii="仿宋_GB2312" w:hAnsi="Times New Roman" w:eastAsia="仿宋_GB2312"/>
          <w:color w:val="auto"/>
          <w:sz w:val="32"/>
          <w:lang w:val="en-US" w:eastAsia="zh-CN"/>
        </w:rPr>
        <w:t>2.</w:t>
      </w:r>
      <w:r>
        <w:rPr>
          <w:rStyle w:val="17"/>
          <w:rFonts w:hint="eastAsia" w:ascii="仿宋_GB2312" w:hAnsi="Times New Roman" w:eastAsia="仿宋_GB2312"/>
          <w:color w:val="auto"/>
          <w:sz w:val="32"/>
        </w:rPr>
        <w:t>一般公共服务（类）人大事务（款）</w:t>
      </w:r>
      <w:r>
        <w:rPr>
          <w:rStyle w:val="17"/>
          <w:rFonts w:hint="eastAsia" w:ascii="仿宋_GB2312" w:hAnsi="Times New Roman" w:eastAsia="仿宋_GB2312"/>
          <w:color w:val="auto"/>
          <w:sz w:val="32"/>
          <w:lang w:eastAsia="zh-CN"/>
        </w:rPr>
        <w:t>事业运行</w:t>
      </w:r>
      <w:r>
        <w:rPr>
          <w:rStyle w:val="17"/>
          <w:rFonts w:hint="eastAsia" w:ascii="仿宋_GB2312" w:hAnsi="Times New Roman" w:eastAsia="仿宋_GB2312"/>
          <w:color w:val="auto"/>
          <w:sz w:val="32"/>
        </w:rPr>
        <w:t>（项）</w:t>
      </w:r>
      <w:r>
        <w:rPr>
          <w:rStyle w:val="17"/>
          <w:rFonts w:hint="eastAsia" w:ascii="仿宋_GB2312" w:hAnsi="Times New Roman" w:eastAsia="仿宋_GB2312"/>
          <w:color w:val="auto"/>
          <w:sz w:val="32"/>
          <w:lang w:eastAsia="zh-CN"/>
        </w:rPr>
        <w:t>：</w:t>
      </w:r>
      <w:r>
        <w:rPr>
          <w:rStyle w:val="17"/>
          <w:rFonts w:hint="eastAsia" w:ascii="仿宋_GB2312" w:hAnsi="Times New Roman" w:eastAsia="仿宋_GB2312"/>
          <w:b w:val="0"/>
          <w:color w:val="auto"/>
          <w:sz w:val="32"/>
        </w:rPr>
        <w:t>支出决算为</w:t>
      </w:r>
      <w:r>
        <w:rPr>
          <w:rStyle w:val="17"/>
          <w:rFonts w:hint="eastAsia" w:ascii="仿宋_GB2312" w:hAnsi="Times New Roman" w:eastAsia="仿宋_GB2312"/>
          <w:b w:val="0"/>
          <w:color w:val="auto"/>
          <w:sz w:val="32"/>
          <w:lang w:val="en-US" w:eastAsia="zh-CN"/>
        </w:rPr>
        <w:t>131.48</w:t>
      </w:r>
      <w:r>
        <w:rPr>
          <w:rStyle w:val="17"/>
          <w:rFonts w:hint="eastAsia" w:ascii="仿宋_GB2312" w:hAnsi="Times New Roman" w:eastAsia="仿宋_GB2312"/>
          <w:b w:val="0"/>
          <w:color w:val="auto"/>
          <w:sz w:val="32"/>
        </w:rPr>
        <w:t>万元，完成预算</w:t>
      </w:r>
      <w:r>
        <w:rPr>
          <w:rStyle w:val="17"/>
          <w:rFonts w:hint="eastAsia" w:ascii="仿宋_GB2312" w:hAnsi="Times New Roman" w:eastAsia="仿宋_GB2312"/>
          <w:b w:val="0"/>
          <w:color w:val="auto"/>
          <w:sz w:val="32"/>
          <w:lang w:val="en-US" w:eastAsia="zh-CN"/>
        </w:rPr>
        <w:t>100</w:t>
      </w:r>
      <w:r>
        <w:rPr>
          <w:rStyle w:val="17"/>
          <w:rFonts w:hint="eastAsia" w:ascii="仿宋_GB2312" w:hAnsi="Times New Roman" w:eastAsia="仿宋_GB2312"/>
          <w:b w:val="0"/>
          <w:color w:val="auto"/>
          <w:sz w:val="32"/>
        </w:rPr>
        <w:t>%</w:t>
      </w:r>
      <w:r>
        <w:rPr>
          <w:rStyle w:val="17"/>
          <w:rFonts w:hint="eastAsia" w:ascii="仿宋" w:hAnsi="仿宋" w:eastAsia="仿宋"/>
          <w:b w:val="0"/>
          <w:color w:val="000000"/>
          <w:sz w:val="32"/>
          <w:lang w:eastAsia="zh-CN"/>
        </w:rPr>
        <w:t>，</w:t>
      </w:r>
      <w:r>
        <w:rPr>
          <w:rStyle w:val="17"/>
          <w:rFonts w:hint="eastAsia" w:ascii="仿宋" w:hAnsi="仿宋" w:eastAsia="仿宋"/>
          <w:b w:val="0"/>
          <w:color w:val="000000"/>
          <w:sz w:val="32"/>
          <w:lang w:val="en-US" w:eastAsia="zh-CN"/>
        </w:rPr>
        <w:t>决算数与预算数持平。</w:t>
      </w:r>
    </w:p>
    <w:p w14:paraId="6C7C09EB">
      <w:pPr>
        <w:spacing w:line="600" w:lineRule="exact"/>
        <w:ind w:firstLine="643" w:firstLineChars="200"/>
        <w:rPr>
          <w:rStyle w:val="17"/>
          <w:rFonts w:hint="eastAsia" w:ascii="仿宋" w:hAnsi="仿宋" w:eastAsia="仿宋"/>
          <w:b w:val="0"/>
          <w:color w:val="000000"/>
          <w:sz w:val="32"/>
          <w:lang w:val="en-US" w:eastAsia="zh-CN"/>
        </w:rPr>
      </w:pPr>
      <w:r>
        <w:rPr>
          <w:rStyle w:val="17"/>
          <w:rFonts w:ascii="仿宋" w:hAnsi="仿宋" w:eastAsia="仿宋"/>
          <w:bCs/>
          <w:sz w:val="32"/>
          <w:szCs w:val="32"/>
        </w:rPr>
        <w:t>3.</w:t>
      </w:r>
      <w:r>
        <w:rPr>
          <w:rStyle w:val="17"/>
          <w:rFonts w:hint="eastAsia" w:ascii="仿宋_GB2312" w:hAnsi="Times New Roman" w:eastAsia="仿宋_GB2312"/>
          <w:color w:val="auto"/>
          <w:sz w:val="32"/>
        </w:rPr>
        <w:t>一般公共服务（类）人大事务（款）</w:t>
      </w:r>
      <w:r>
        <w:rPr>
          <w:rStyle w:val="17"/>
          <w:rFonts w:hint="eastAsia" w:ascii="仿宋_GB2312" w:hAnsi="Times New Roman" w:eastAsia="仿宋_GB2312"/>
          <w:color w:val="auto"/>
          <w:sz w:val="32"/>
          <w:lang w:val="en-US" w:eastAsia="zh-CN"/>
        </w:rPr>
        <w:t>代表工作</w:t>
      </w:r>
      <w:r>
        <w:rPr>
          <w:rStyle w:val="17"/>
          <w:rFonts w:hint="eastAsia" w:ascii="仿宋_GB2312" w:hAnsi="Times New Roman" w:eastAsia="仿宋_GB2312"/>
          <w:color w:val="auto"/>
          <w:sz w:val="32"/>
          <w:lang w:eastAsia="zh-CN"/>
        </w:rPr>
        <w:t>（项）：</w:t>
      </w:r>
      <w:r>
        <w:rPr>
          <w:rStyle w:val="17"/>
          <w:rFonts w:hint="eastAsia" w:ascii="仿宋_GB2312" w:hAnsi="Times New Roman" w:eastAsia="仿宋_GB2312"/>
          <w:b w:val="0"/>
          <w:color w:val="auto"/>
          <w:sz w:val="32"/>
        </w:rPr>
        <w:t>支出决算为</w:t>
      </w:r>
      <w:r>
        <w:rPr>
          <w:rStyle w:val="17"/>
          <w:rFonts w:hint="eastAsia" w:ascii="仿宋_GB2312" w:hAnsi="Times New Roman" w:eastAsia="仿宋_GB2312"/>
          <w:b w:val="0"/>
          <w:color w:val="auto"/>
          <w:sz w:val="32"/>
          <w:lang w:val="en-US" w:eastAsia="zh-CN"/>
        </w:rPr>
        <w:t>3.64</w:t>
      </w:r>
      <w:r>
        <w:rPr>
          <w:rStyle w:val="17"/>
          <w:rFonts w:hint="eastAsia" w:ascii="仿宋_GB2312" w:hAnsi="Times New Roman" w:eastAsia="仿宋_GB2312"/>
          <w:b w:val="0"/>
          <w:color w:val="auto"/>
          <w:sz w:val="32"/>
        </w:rPr>
        <w:t>万元，完成预算</w:t>
      </w:r>
      <w:r>
        <w:rPr>
          <w:rStyle w:val="17"/>
          <w:rFonts w:hint="eastAsia" w:ascii="仿宋_GB2312" w:hAnsi="Times New Roman" w:eastAsia="仿宋_GB2312"/>
          <w:b w:val="0"/>
          <w:color w:val="auto"/>
          <w:sz w:val="32"/>
          <w:lang w:val="en-US" w:eastAsia="zh-CN"/>
        </w:rPr>
        <w:t>100</w:t>
      </w:r>
      <w:r>
        <w:rPr>
          <w:rStyle w:val="17"/>
          <w:rFonts w:hint="eastAsia" w:ascii="仿宋_GB2312" w:hAnsi="Times New Roman" w:eastAsia="仿宋_GB2312"/>
          <w:b w:val="0"/>
          <w:color w:val="auto"/>
          <w:sz w:val="32"/>
        </w:rPr>
        <w:t>%</w:t>
      </w:r>
      <w:r>
        <w:rPr>
          <w:rStyle w:val="17"/>
          <w:rFonts w:hint="eastAsia" w:ascii="仿宋" w:hAnsi="仿宋" w:eastAsia="仿宋"/>
          <w:b w:val="0"/>
          <w:color w:val="000000"/>
          <w:sz w:val="32"/>
          <w:lang w:eastAsia="zh-CN"/>
        </w:rPr>
        <w:t>，</w:t>
      </w:r>
      <w:r>
        <w:rPr>
          <w:rStyle w:val="17"/>
          <w:rFonts w:hint="eastAsia" w:ascii="仿宋" w:hAnsi="仿宋" w:eastAsia="仿宋"/>
          <w:b w:val="0"/>
          <w:color w:val="000000"/>
          <w:sz w:val="32"/>
          <w:lang w:val="en-US" w:eastAsia="zh-CN"/>
        </w:rPr>
        <w:t>决算数与预算数持平。</w:t>
      </w:r>
    </w:p>
    <w:p w14:paraId="47C88301">
      <w:pPr>
        <w:numPr>
          <w:ilvl w:val="0"/>
          <w:numId w:val="0"/>
        </w:numPr>
        <w:spacing w:beforeLines="0" w:afterLines="0" w:line="600" w:lineRule="exact"/>
        <w:ind w:firstLine="643" w:firstLineChars="200"/>
        <w:rPr>
          <w:rStyle w:val="17"/>
          <w:rFonts w:hint="eastAsia" w:ascii="仿宋" w:hAnsi="仿宋" w:eastAsia="仿宋"/>
          <w:b w:val="0"/>
          <w:color w:val="auto"/>
          <w:sz w:val="32"/>
          <w:lang w:eastAsia="zh-CN"/>
        </w:rPr>
      </w:pPr>
      <w:r>
        <w:rPr>
          <w:rStyle w:val="17"/>
          <w:rFonts w:hint="eastAsia" w:ascii="仿宋" w:hAnsi="仿宋" w:eastAsia="仿宋"/>
          <w:color w:val="auto"/>
          <w:sz w:val="32"/>
          <w:lang w:val="en-US" w:eastAsia="zh-CN"/>
        </w:rPr>
        <w:t>4.</w:t>
      </w:r>
      <w:r>
        <w:rPr>
          <w:rStyle w:val="17"/>
          <w:rFonts w:hint="eastAsia" w:ascii="仿宋" w:hAnsi="仿宋" w:eastAsia="仿宋"/>
          <w:color w:val="auto"/>
          <w:sz w:val="32"/>
        </w:rPr>
        <w:t>社会保障和就业（类）</w:t>
      </w:r>
      <w:r>
        <w:rPr>
          <w:rStyle w:val="17"/>
          <w:rFonts w:hint="eastAsia" w:ascii="仿宋" w:hAnsi="仿宋" w:eastAsia="仿宋"/>
          <w:color w:val="auto"/>
          <w:sz w:val="32"/>
          <w:lang w:val="en-US" w:eastAsia="zh-CN"/>
        </w:rPr>
        <w:t>行政事业单位养老支出</w:t>
      </w:r>
      <w:r>
        <w:rPr>
          <w:rStyle w:val="17"/>
          <w:rFonts w:hint="eastAsia" w:ascii="仿宋" w:hAnsi="仿宋" w:eastAsia="仿宋"/>
          <w:color w:val="auto"/>
          <w:sz w:val="32"/>
        </w:rPr>
        <w:t>（款）</w:t>
      </w:r>
      <w:r>
        <w:rPr>
          <w:rStyle w:val="17"/>
          <w:rFonts w:hint="eastAsia" w:ascii="仿宋" w:hAnsi="仿宋" w:eastAsia="仿宋"/>
          <w:color w:val="auto"/>
          <w:sz w:val="32"/>
          <w:lang w:val="en-US" w:eastAsia="zh-CN"/>
        </w:rPr>
        <w:t>机关事业单位基本养老保险缴费支出</w:t>
      </w:r>
      <w:r>
        <w:rPr>
          <w:rStyle w:val="17"/>
          <w:rFonts w:hint="eastAsia" w:ascii="仿宋" w:hAnsi="仿宋" w:eastAsia="仿宋"/>
          <w:color w:val="auto"/>
          <w:sz w:val="32"/>
        </w:rPr>
        <w:t>（项）</w:t>
      </w:r>
      <w:r>
        <w:rPr>
          <w:rStyle w:val="17"/>
          <w:rFonts w:hint="eastAsia" w:ascii="仿宋" w:hAnsi="仿宋" w:eastAsia="仿宋"/>
          <w:color w:val="auto"/>
          <w:sz w:val="32"/>
          <w:lang w:eastAsia="zh-CN"/>
        </w:rPr>
        <w:t>：</w:t>
      </w:r>
      <w:r>
        <w:rPr>
          <w:rStyle w:val="17"/>
          <w:rFonts w:hint="eastAsia" w:ascii="仿宋" w:hAnsi="仿宋" w:eastAsia="仿宋"/>
          <w:b w:val="0"/>
          <w:color w:val="auto"/>
          <w:sz w:val="32"/>
        </w:rPr>
        <w:t xml:space="preserve"> 支出决算为</w:t>
      </w:r>
      <w:r>
        <w:rPr>
          <w:rStyle w:val="17"/>
          <w:rFonts w:hint="eastAsia" w:ascii="仿宋" w:hAnsi="仿宋" w:eastAsia="仿宋"/>
          <w:b w:val="0"/>
          <w:color w:val="auto"/>
          <w:sz w:val="32"/>
          <w:lang w:val="en-US" w:eastAsia="zh-CN"/>
        </w:rPr>
        <w:t>61.25</w:t>
      </w:r>
      <w:r>
        <w:rPr>
          <w:rStyle w:val="17"/>
          <w:rFonts w:hint="eastAsia" w:ascii="仿宋" w:hAnsi="仿宋" w:eastAsia="仿宋"/>
          <w:b w:val="0"/>
          <w:color w:val="auto"/>
          <w:sz w:val="32"/>
        </w:rPr>
        <w:t>万元，完成预算</w:t>
      </w:r>
      <w:r>
        <w:rPr>
          <w:rStyle w:val="17"/>
          <w:rFonts w:hint="eastAsia" w:ascii="仿宋" w:hAnsi="仿宋" w:eastAsia="仿宋"/>
          <w:b w:val="0"/>
          <w:color w:val="auto"/>
          <w:sz w:val="32"/>
          <w:lang w:val="en-US" w:eastAsia="zh-CN"/>
        </w:rPr>
        <w:t>100</w:t>
      </w:r>
      <w:r>
        <w:rPr>
          <w:rStyle w:val="17"/>
          <w:rFonts w:hint="eastAsia" w:ascii="仿宋" w:hAnsi="仿宋" w:eastAsia="仿宋"/>
          <w:b w:val="0"/>
          <w:color w:val="auto"/>
          <w:sz w:val="32"/>
        </w:rPr>
        <w:t>%，决算数</w:t>
      </w:r>
      <w:r>
        <w:rPr>
          <w:rStyle w:val="17"/>
          <w:rFonts w:hint="eastAsia" w:ascii="仿宋" w:hAnsi="仿宋" w:eastAsia="仿宋"/>
          <w:b w:val="0"/>
          <w:color w:val="auto"/>
          <w:sz w:val="32"/>
          <w:lang w:eastAsia="zh-CN"/>
        </w:rPr>
        <w:t>与</w:t>
      </w:r>
      <w:r>
        <w:rPr>
          <w:rStyle w:val="17"/>
          <w:rFonts w:hint="eastAsia" w:ascii="仿宋" w:hAnsi="仿宋" w:eastAsia="仿宋"/>
          <w:b w:val="0"/>
          <w:color w:val="auto"/>
          <w:sz w:val="32"/>
        </w:rPr>
        <w:t>预算数</w:t>
      </w:r>
      <w:r>
        <w:rPr>
          <w:rStyle w:val="17"/>
          <w:rFonts w:hint="eastAsia" w:ascii="仿宋" w:hAnsi="仿宋" w:eastAsia="仿宋"/>
          <w:b w:val="0"/>
          <w:color w:val="auto"/>
          <w:sz w:val="32"/>
          <w:lang w:eastAsia="zh-CN"/>
        </w:rPr>
        <w:t>持平。</w:t>
      </w:r>
    </w:p>
    <w:p w14:paraId="11A6DE87">
      <w:pPr>
        <w:numPr>
          <w:ilvl w:val="0"/>
          <w:numId w:val="0"/>
        </w:numPr>
        <w:spacing w:beforeLines="0" w:afterLines="0" w:line="600" w:lineRule="exact"/>
        <w:ind w:firstLine="643" w:firstLineChars="200"/>
        <w:rPr>
          <w:rStyle w:val="17"/>
          <w:rFonts w:hint="eastAsia" w:ascii="仿宋" w:hAnsi="仿宋" w:eastAsia="仿宋"/>
          <w:b w:val="0"/>
          <w:color w:val="auto"/>
          <w:sz w:val="32"/>
          <w:lang w:eastAsia="zh-CN"/>
        </w:rPr>
      </w:pPr>
      <w:r>
        <w:rPr>
          <w:rStyle w:val="17"/>
          <w:rFonts w:hint="eastAsia" w:ascii="仿宋" w:hAnsi="仿宋" w:eastAsia="仿宋"/>
          <w:color w:val="auto"/>
          <w:sz w:val="32"/>
          <w:lang w:val="en-US" w:eastAsia="zh-CN"/>
        </w:rPr>
        <w:t>5.</w:t>
      </w:r>
      <w:r>
        <w:rPr>
          <w:rStyle w:val="17"/>
          <w:rFonts w:hint="eastAsia" w:ascii="仿宋" w:hAnsi="仿宋" w:eastAsia="仿宋"/>
          <w:color w:val="auto"/>
          <w:sz w:val="32"/>
        </w:rPr>
        <w:t>社会保障和就业</w:t>
      </w:r>
      <w:r>
        <w:rPr>
          <w:rStyle w:val="17"/>
          <w:rFonts w:hint="eastAsia" w:ascii="仿宋" w:hAnsi="仿宋" w:eastAsia="仿宋"/>
          <w:color w:val="auto"/>
          <w:sz w:val="32"/>
          <w:lang w:val="en-US" w:eastAsia="zh-CN"/>
        </w:rPr>
        <w:t>支出</w:t>
      </w:r>
      <w:r>
        <w:rPr>
          <w:rStyle w:val="17"/>
          <w:rFonts w:hint="eastAsia" w:ascii="仿宋" w:hAnsi="仿宋" w:eastAsia="仿宋"/>
          <w:color w:val="auto"/>
          <w:sz w:val="32"/>
        </w:rPr>
        <w:t>（类）</w:t>
      </w:r>
      <w:r>
        <w:rPr>
          <w:rStyle w:val="17"/>
          <w:rFonts w:hint="eastAsia" w:ascii="仿宋" w:hAnsi="仿宋" w:eastAsia="仿宋"/>
          <w:color w:val="auto"/>
          <w:sz w:val="32"/>
          <w:lang w:val="en-US" w:eastAsia="zh-CN"/>
        </w:rPr>
        <w:t>行政事业单位养老支出</w:t>
      </w:r>
      <w:r>
        <w:rPr>
          <w:rStyle w:val="17"/>
          <w:rFonts w:hint="eastAsia" w:ascii="仿宋" w:hAnsi="仿宋" w:eastAsia="仿宋"/>
          <w:color w:val="auto"/>
          <w:sz w:val="32"/>
        </w:rPr>
        <w:t>（款）</w:t>
      </w:r>
      <w:r>
        <w:rPr>
          <w:rStyle w:val="17"/>
          <w:rFonts w:hint="eastAsia" w:ascii="仿宋" w:hAnsi="仿宋" w:eastAsia="仿宋"/>
          <w:color w:val="auto"/>
          <w:sz w:val="32"/>
          <w:lang w:val="en-US" w:eastAsia="zh-CN"/>
        </w:rPr>
        <w:t>机关事业单位职业年金缴费支出</w:t>
      </w:r>
      <w:r>
        <w:rPr>
          <w:rStyle w:val="17"/>
          <w:rFonts w:hint="eastAsia" w:ascii="仿宋" w:hAnsi="仿宋" w:eastAsia="仿宋"/>
          <w:color w:val="auto"/>
          <w:sz w:val="32"/>
        </w:rPr>
        <w:t>（项）</w:t>
      </w:r>
      <w:r>
        <w:rPr>
          <w:rStyle w:val="17"/>
          <w:rFonts w:hint="eastAsia" w:ascii="仿宋" w:hAnsi="仿宋" w:eastAsia="仿宋"/>
          <w:color w:val="auto"/>
          <w:sz w:val="32"/>
          <w:lang w:eastAsia="zh-CN"/>
        </w:rPr>
        <w:t>：</w:t>
      </w:r>
      <w:r>
        <w:rPr>
          <w:rStyle w:val="17"/>
          <w:rFonts w:hint="eastAsia" w:ascii="仿宋" w:hAnsi="仿宋" w:eastAsia="仿宋"/>
          <w:b w:val="0"/>
          <w:color w:val="auto"/>
          <w:sz w:val="32"/>
        </w:rPr>
        <w:t xml:space="preserve"> 支出决算为</w:t>
      </w:r>
      <w:r>
        <w:rPr>
          <w:rStyle w:val="17"/>
          <w:rFonts w:hint="eastAsia" w:ascii="仿宋" w:hAnsi="仿宋" w:eastAsia="仿宋"/>
          <w:b w:val="0"/>
          <w:color w:val="auto"/>
          <w:sz w:val="32"/>
          <w:lang w:val="en-US" w:eastAsia="zh-CN"/>
        </w:rPr>
        <w:t>25.91</w:t>
      </w:r>
      <w:r>
        <w:rPr>
          <w:rStyle w:val="17"/>
          <w:rFonts w:hint="eastAsia" w:ascii="仿宋" w:hAnsi="仿宋" w:eastAsia="仿宋"/>
          <w:b w:val="0"/>
          <w:color w:val="auto"/>
          <w:sz w:val="32"/>
        </w:rPr>
        <w:t>万元，完成预算</w:t>
      </w:r>
      <w:r>
        <w:rPr>
          <w:rStyle w:val="17"/>
          <w:rFonts w:hint="eastAsia" w:ascii="仿宋" w:hAnsi="仿宋" w:eastAsia="仿宋"/>
          <w:b w:val="0"/>
          <w:color w:val="auto"/>
          <w:sz w:val="32"/>
          <w:lang w:val="en-US" w:eastAsia="zh-CN"/>
        </w:rPr>
        <w:t>100</w:t>
      </w:r>
      <w:r>
        <w:rPr>
          <w:rStyle w:val="17"/>
          <w:rFonts w:hint="eastAsia" w:ascii="仿宋" w:hAnsi="仿宋" w:eastAsia="仿宋"/>
          <w:b w:val="0"/>
          <w:color w:val="auto"/>
          <w:sz w:val="32"/>
        </w:rPr>
        <w:t>%，决算数</w:t>
      </w:r>
      <w:r>
        <w:rPr>
          <w:rStyle w:val="17"/>
          <w:rFonts w:hint="eastAsia" w:ascii="仿宋" w:hAnsi="仿宋" w:eastAsia="仿宋"/>
          <w:b w:val="0"/>
          <w:color w:val="auto"/>
          <w:sz w:val="32"/>
          <w:lang w:eastAsia="zh-CN"/>
        </w:rPr>
        <w:t>与</w:t>
      </w:r>
      <w:r>
        <w:rPr>
          <w:rStyle w:val="17"/>
          <w:rFonts w:hint="eastAsia" w:ascii="仿宋" w:hAnsi="仿宋" w:eastAsia="仿宋"/>
          <w:b w:val="0"/>
          <w:color w:val="auto"/>
          <w:sz w:val="32"/>
        </w:rPr>
        <w:t>预算数</w:t>
      </w:r>
      <w:r>
        <w:rPr>
          <w:rStyle w:val="17"/>
          <w:rFonts w:hint="eastAsia" w:ascii="仿宋" w:hAnsi="仿宋" w:eastAsia="仿宋"/>
          <w:b w:val="0"/>
          <w:color w:val="auto"/>
          <w:sz w:val="32"/>
          <w:lang w:eastAsia="zh-CN"/>
        </w:rPr>
        <w:t>持平。</w:t>
      </w:r>
    </w:p>
    <w:p w14:paraId="4AF79A79">
      <w:pPr>
        <w:numPr>
          <w:ilvl w:val="0"/>
          <w:numId w:val="0"/>
        </w:numPr>
        <w:spacing w:beforeLines="0" w:afterLines="0" w:line="600" w:lineRule="exact"/>
        <w:ind w:firstLine="643" w:firstLineChars="200"/>
      </w:pPr>
      <w:r>
        <w:rPr>
          <w:rStyle w:val="17"/>
          <w:rFonts w:hint="eastAsia" w:ascii="仿宋" w:hAnsi="仿宋" w:eastAsia="仿宋"/>
          <w:color w:val="auto"/>
          <w:sz w:val="32"/>
          <w:lang w:val="en-US" w:eastAsia="zh-CN"/>
        </w:rPr>
        <w:t>6.</w:t>
      </w:r>
      <w:r>
        <w:rPr>
          <w:rStyle w:val="17"/>
          <w:rFonts w:hint="eastAsia" w:ascii="仿宋" w:hAnsi="仿宋" w:eastAsia="仿宋"/>
          <w:color w:val="auto"/>
          <w:sz w:val="32"/>
        </w:rPr>
        <w:t>社会保障和就业（类）</w:t>
      </w:r>
      <w:r>
        <w:rPr>
          <w:rStyle w:val="17"/>
          <w:rFonts w:hint="eastAsia" w:ascii="仿宋" w:hAnsi="仿宋" w:eastAsia="仿宋"/>
          <w:color w:val="auto"/>
          <w:sz w:val="32"/>
          <w:lang w:val="en-US" w:eastAsia="zh-CN"/>
        </w:rPr>
        <w:t xml:space="preserve"> 抚恤支出</w:t>
      </w:r>
      <w:r>
        <w:rPr>
          <w:rStyle w:val="17"/>
          <w:rFonts w:hint="eastAsia" w:ascii="仿宋" w:hAnsi="仿宋" w:eastAsia="仿宋"/>
          <w:color w:val="auto"/>
          <w:sz w:val="32"/>
        </w:rPr>
        <w:t>（款）</w:t>
      </w:r>
      <w:r>
        <w:rPr>
          <w:rStyle w:val="17"/>
          <w:rFonts w:hint="eastAsia" w:ascii="仿宋" w:hAnsi="仿宋" w:eastAsia="仿宋"/>
          <w:color w:val="auto"/>
          <w:sz w:val="32"/>
          <w:lang w:val="en-US" w:eastAsia="zh-CN"/>
        </w:rPr>
        <w:t xml:space="preserve"> 死亡抚恤</w:t>
      </w:r>
      <w:r>
        <w:rPr>
          <w:rStyle w:val="17"/>
          <w:rFonts w:hint="eastAsia" w:ascii="仿宋" w:hAnsi="仿宋" w:eastAsia="仿宋"/>
          <w:color w:val="auto"/>
          <w:sz w:val="32"/>
        </w:rPr>
        <w:t>（项）</w:t>
      </w:r>
      <w:r>
        <w:rPr>
          <w:rStyle w:val="17"/>
          <w:rFonts w:hint="eastAsia" w:ascii="仿宋" w:hAnsi="仿宋" w:eastAsia="仿宋"/>
          <w:color w:val="auto"/>
          <w:sz w:val="32"/>
          <w:lang w:eastAsia="zh-CN"/>
        </w:rPr>
        <w:t>：</w:t>
      </w:r>
      <w:r>
        <w:rPr>
          <w:rStyle w:val="17"/>
          <w:rFonts w:hint="eastAsia" w:ascii="仿宋" w:hAnsi="仿宋" w:eastAsia="仿宋"/>
          <w:b w:val="0"/>
          <w:color w:val="auto"/>
          <w:sz w:val="32"/>
        </w:rPr>
        <w:t xml:space="preserve"> 支出决算</w:t>
      </w:r>
      <w:r>
        <w:rPr>
          <w:rStyle w:val="17"/>
          <w:rFonts w:hint="eastAsia" w:ascii="仿宋" w:hAnsi="仿宋" w:eastAsia="仿宋"/>
          <w:b w:val="0"/>
          <w:color w:val="auto"/>
          <w:sz w:val="32"/>
          <w:lang w:val="en-US" w:eastAsia="zh-CN"/>
        </w:rPr>
        <w:t>76.26</w:t>
      </w:r>
      <w:r>
        <w:rPr>
          <w:rStyle w:val="17"/>
          <w:rFonts w:hint="eastAsia" w:ascii="仿宋" w:hAnsi="仿宋" w:eastAsia="仿宋"/>
          <w:b w:val="0"/>
          <w:color w:val="auto"/>
          <w:sz w:val="32"/>
        </w:rPr>
        <w:t>万元，完成预算</w:t>
      </w:r>
      <w:r>
        <w:rPr>
          <w:rStyle w:val="17"/>
          <w:rFonts w:hint="eastAsia" w:ascii="仿宋" w:hAnsi="仿宋" w:eastAsia="仿宋"/>
          <w:b w:val="0"/>
          <w:color w:val="auto"/>
          <w:sz w:val="32"/>
          <w:lang w:val="en-US" w:eastAsia="zh-CN"/>
        </w:rPr>
        <w:t>100</w:t>
      </w:r>
      <w:r>
        <w:rPr>
          <w:rStyle w:val="17"/>
          <w:rFonts w:hint="eastAsia" w:ascii="仿宋" w:hAnsi="仿宋" w:eastAsia="仿宋"/>
          <w:b w:val="0"/>
          <w:color w:val="auto"/>
          <w:sz w:val="32"/>
        </w:rPr>
        <w:t>%，决算数</w:t>
      </w:r>
      <w:r>
        <w:rPr>
          <w:rStyle w:val="17"/>
          <w:rFonts w:hint="eastAsia" w:ascii="仿宋" w:hAnsi="仿宋" w:eastAsia="仿宋"/>
          <w:b w:val="0"/>
          <w:color w:val="auto"/>
          <w:sz w:val="32"/>
          <w:lang w:eastAsia="zh-CN"/>
        </w:rPr>
        <w:t>与</w:t>
      </w:r>
      <w:r>
        <w:rPr>
          <w:rStyle w:val="17"/>
          <w:rFonts w:hint="eastAsia" w:ascii="仿宋" w:hAnsi="仿宋" w:eastAsia="仿宋"/>
          <w:b w:val="0"/>
          <w:color w:val="auto"/>
          <w:sz w:val="32"/>
        </w:rPr>
        <w:t>预算数</w:t>
      </w:r>
      <w:r>
        <w:rPr>
          <w:rStyle w:val="17"/>
          <w:rFonts w:hint="eastAsia" w:ascii="仿宋" w:hAnsi="仿宋" w:eastAsia="仿宋"/>
          <w:b w:val="0"/>
          <w:color w:val="auto"/>
          <w:sz w:val="32"/>
          <w:lang w:eastAsia="zh-CN"/>
        </w:rPr>
        <w:t>持平。</w:t>
      </w:r>
      <w:r>
        <w:rPr>
          <w:rStyle w:val="17"/>
          <w:rFonts w:hint="eastAsia" w:ascii="仿宋" w:hAnsi="仿宋" w:eastAsia="仿宋"/>
          <w:color w:val="auto"/>
          <w:sz w:val="32"/>
        </w:rPr>
        <w:t>社会保障和就业</w:t>
      </w:r>
      <w:r>
        <w:rPr>
          <w:rStyle w:val="17"/>
          <w:rFonts w:hint="eastAsia" w:ascii="仿宋" w:hAnsi="仿宋" w:eastAsia="仿宋"/>
          <w:color w:val="auto"/>
          <w:sz w:val="32"/>
          <w:lang w:val="en-US" w:eastAsia="zh-CN"/>
        </w:rPr>
        <w:t>支出</w:t>
      </w:r>
      <w:r>
        <w:rPr>
          <w:rStyle w:val="17"/>
          <w:rFonts w:hint="eastAsia" w:ascii="仿宋" w:hAnsi="仿宋" w:eastAsia="仿宋"/>
          <w:color w:val="auto"/>
          <w:sz w:val="32"/>
        </w:rPr>
        <w:t>（类）</w:t>
      </w:r>
      <w:r>
        <w:rPr>
          <w:rStyle w:val="17"/>
          <w:rFonts w:hint="eastAsia" w:ascii="仿宋" w:hAnsi="仿宋" w:eastAsia="仿宋"/>
          <w:color w:val="auto"/>
          <w:sz w:val="32"/>
          <w:lang w:val="en-US" w:eastAsia="zh-CN"/>
        </w:rPr>
        <w:t xml:space="preserve"> 抚恤支出</w:t>
      </w:r>
      <w:r>
        <w:rPr>
          <w:rStyle w:val="17"/>
          <w:rFonts w:hint="eastAsia" w:ascii="仿宋" w:hAnsi="仿宋" w:eastAsia="仿宋"/>
          <w:color w:val="auto"/>
          <w:sz w:val="32"/>
        </w:rPr>
        <w:t>（款）</w:t>
      </w:r>
      <w:r>
        <w:rPr>
          <w:rStyle w:val="17"/>
          <w:rFonts w:hint="eastAsia" w:ascii="仿宋" w:hAnsi="仿宋" w:eastAsia="仿宋"/>
          <w:color w:val="auto"/>
          <w:sz w:val="32"/>
          <w:lang w:val="en-US" w:eastAsia="zh-CN"/>
        </w:rPr>
        <w:t xml:space="preserve"> 其他社会保障和就业支出</w:t>
      </w:r>
      <w:r>
        <w:rPr>
          <w:rStyle w:val="17"/>
          <w:rFonts w:hint="eastAsia" w:ascii="仿宋" w:hAnsi="仿宋" w:eastAsia="仿宋"/>
          <w:color w:val="auto"/>
          <w:sz w:val="32"/>
        </w:rPr>
        <w:t>（项）</w:t>
      </w:r>
      <w:r>
        <w:rPr>
          <w:rStyle w:val="17"/>
          <w:rFonts w:hint="eastAsia" w:ascii="仿宋" w:hAnsi="仿宋" w:eastAsia="仿宋"/>
          <w:color w:val="auto"/>
          <w:sz w:val="32"/>
          <w:lang w:eastAsia="zh-CN"/>
        </w:rPr>
        <w:t>：</w:t>
      </w:r>
      <w:r>
        <w:rPr>
          <w:rStyle w:val="17"/>
          <w:rFonts w:hint="eastAsia" w:ascii="仿宋" w:hAnsi="仿宋" w:eastAsia="仿宋"/>
          <w:b w:val="0"/>
          <w:color w:val="auto"/>
          <w:sz w:val="32"/>
        </w:rPr>
        <w:t xml:space="preserve"> 支出决算</w:t>
      </w:r>
      <w:r>
        <w:rPr>
          <w:rStyle w:val="17"/>
          <w:rFonts w:hint="eastAsia" w:ascii="仿宋" w:hAnsi="仿宋" w:eastAsia="仿宋"/>
          <w:b w:val="0"/>
          <w:color w:val="auto"/>
          <w:sz w:val="32"/>
          <w:lang w:val="en-US" w:eastAsia="zh-CN"/>
        </w:rPr>
        <w:t>17.15</w:t>
      </w:r>
      <w:r>
        <w:rPr>
          <w:rStyle w:val="17"/>
          <w:rFonts w:hint="eastAsia" w:ascii="仿宋" w:hAnsi="仿宋" w:eastAsia="仿宋"/>
          <w:b w:val="0"/>
          <w:color w:val="auto"/>
          <w:sz w:val="32"/>
        </w:rPr>
        <w:t>万元，完成预算</w:t>
      </w:r>
      <w:r>
        <w:rPr>
          <w:rStyle w:val="17"/>
          <w:rFonts w:hint="eastAsia" w:ascii="仿宋" w:hAnsi="仿宋" w:eastAsia="仿宋"/>
          <w:b w:val="0"/>
          <w:color w:val="auto"/>
          <w:sz w:val="32"/>
          <w:lang w:val="en-US" w:eastAsia="zh-CN"/>
        </w:rPr>
        <w:t>100</w:t>
      </w:r>
      <w:r>
        <w:rPr>
          <w:rStyle w:val="17"/>
          <w:rFonts w:hint="eastAsia" w:ascii="仿宋" w:hAnsi="仿宋" w:eastAsia="仿宋"/>
          <w:b w:val="0"/>
          <w:color w:val="auto"/>
          <w:sz w:val="32"/>
        </w:rPr>
        <w:t>%，决算数</w:t>
      </w:r>
      <w:r>
        <w:rPr>
          <w:rStyle w:val="17"/>
          <w:rFonts w:hint="eastAsia" w:ascii="仿宋" w:hAnsi="仿宋" w:eastAsia="仿宋"/>
          <w:b w:val="0"/>
          <w:color w:val="auto"/>
          <w:sz w:val="32"/>
          <w:lang w:eastAsia="zh-CN"/>
        </w:rPr>
        <w:t>与</w:t>
      </w:r>
      <w:r>
        <w:rPr>
          <w:rStyle w:val="17"/>
          <w:rFonts w:hint="eastAsia" w:ascii="仿宋" w:hAnsi="仿宋" w:eastAsia="仿宋"/>
          <w:b w:val="0"/>
          <w:color w:val="auto"/>
          <w:sz w:val="32"/>
        </w:rPr>
        <w:t>预算数</w:t>
      </w:r>
      <w:r>
        <w:rPr>
          <w:rStyle w:val="17"/>
          <w:rFonts w:hint="eastAsia" w:ascii="仿宋" w:hAnsi="仿宋" w:eastAsia="仿宋"/>
          <w:b w:val="0"/>
          <w:color w:val="auto"/>
          <w:sz w:val="32"/>
          <w:lang w:eastAsia="zh-CN"/>
        </w:rPr>
        <w:t>持平。</w:t>
      </w:r>
    </w:p>
    <w:p w14:paraId="71D2D9B2">
      <w:pPr>
        <w:numPr>
          <w:ilvl w:val="0"/>
          <w:numId w:val="0"/>
        </w:numPr>
        <w:spacing w:beforeLines="0" w:afterLines="0" w:line="600" w:lineRule="exact"/>
        <w:ind w:firstLine="643" w:firstLineChars="200"/>
        <w:rPr>
          <w:rStyle w:val="17"/>
          <w:rFonts w:hint="eastAsia" w:ascii="仿宋" w:hAnsi="仿宋" w:eastAsia="仿宋"/>
          <w:b w:val="0"/>
          <w:color w:val="auto"/>
          <w:sz w:val="32"/>
          <w:lang w:eastAsia="zh-CN"/>
        </w:rPr>
      </w:pPr>
      <w:r>
        <w:rPr>
          <w:rStyle w:val="17"/>
          <w:rFonts w:hint="eastAsia" w:ascii="仿宋" w:hAnsi="仿宋" w:eastAsia="仿宋"/>
          <w:color w:val="auto"/>
          <w:sz w:val="32"/>
          <w:lang w:val="en-US" w:eastAsia="zh-CN"/>
        </w:rPr>
        <w:t>7.</w:t>
      </w:r>
      <w:r>
        <w:rPr>
          <w:rStyle w:val="17"/>
          <w:rFonts w:hint="eastAsia" w:ascii="仿宋" w:hAnsi="仿宋" w:eastAsia="仿宋"/>
          <w:color w:val="auto"/>
          <w:sz w:val="32"/>
        </w:rPr>
        <w:t>卫生健康</w:t>
      </w:r>
      <w:r>
        <w:rPr>
          <w:rStyle w:val="17"/>
          <w:rFonts w:hint="eastAsia" w:ascii="仿宋" w:hAnsi="仿宋" w:eastAsia="仿宋"/>
          <w:color w:val="auto"/>
          <w:sz w:val="32"/>
          <w:lang w:val="en-US" w:eastAsia="zh-CN"/>
        </w:rPr>
        <w:t>支出</w:t>
      </w:r>
      <w:r>
        <w:rPr>
          <w:rStyle w:val="17"/>
          <w:rFonts w:hint="eastAsia" w:ascii="仿宋" w:hAnsi="仿宋" w:eastAsia="仿宋"/>
          <w:color w:val="auto"/>
          <w:sz w:val="32"/>
        </w:rPr>
        <w:t>（类）</w:t>
      </w:r>
      <w:r>
        <w:rPr>
          <w:rStyle w:val="17"/>
          <w:rFonts w:hint="eastAsia" w:ascii="仿宋" w:hAnsi="仿宋" w:eastAsia="仿宋"/>
          <w:color w:val="auto"/>
          <w:sz w:val="32"/>
          <w:lang w:val="en-US" w:eastAsia="zh-CN"/>
        </w:rPr>
        <w:t>行政事业单位医疗</w:t>
      </w:r>
      <w:r>
        <w:rPr>
          <w:rStyle w:val="17"/>
          <w:rFonts w:hint="eastAsia" w:ascii="仿宋" w:hAnsi="仿宋" w:eastAsia="仿宋"/>
          <w:color w:val="auto"/>
          <w:sz w:val="32"/>
        </w:rPr>
        <w:t>（款）</w:t>
      </w:r>
      <w:r>
        <w:rPr>
          <w:rStyle w:val="17"/>
          <w:rFonts w:hint="eastAsia" w:ascii="仿宋" w:hAnsi="仿宋" w:eastAsia="仿宋"/>
          <w:color w:val="auto"/>
          <w:sz w:val="32"/>
          <w:lang w:val="en-US" w:eastAsia="zh-CN"/>
        </w:rPr>
        <w:t>行政单位医疗</w:t>
      </w:r>
      <w:r>
        <w:rPr>
          <w:rStyle w:val="17"/>
          <w:rFonts w:hint="eastAsia" w:ascii="仿宋" w:hAnsi="仿宋" w:eastAsia="仿宋"/>
          <w:color w:val="auto"/>
          <w:sz w:val="32"/>
        </w:rPr>
        <w:t>（项）</w:t>
      </w:r>
      <w:r>
        <w:rPr>
          <w:rStyle w:val="17"/>
          <w:rFonts w:hint="eastAsia" w:ascii="仿宋" w:hAnsi="仿宋" w:eastAsia="仿宋"/>
          <w:color w:val="auto"/>
          <w:sz w:val="32"/>
          <w:lang w:eastAsia="zh-CN"/>
        </w:rPr>
        <w:t>：</w:t>
      </w:r>
      <w:r>
        <w:rPr>
          <w:rStyle w:val="17"/>
          <w:rFonts w:hint="eastAsia" w:ascii="仿宋" w:hAnsi="仿宋" w:eastAsia="仿宋"/>
          <w:b w:val="0"/>
          <w:color w:val="auto"/>
          <w:sz w:val="32"/>
        </w:rPr>
        <w:t>支出决算为</w:t>
      </w:r>
      <w:r>
        <w:rPr>
          <w:rStyle w:val="17"/>
          <w:rFonts w:hint="eastAsia" w:ascii="仿宋" w:hAnsi="仿宋" w:eastAsia="仿宋"/>
          <w:b w:val="0"/>
          <w:color w:val="auto"/>
          <w:sz w:val="32"/>
          <w:lang w:val="en-US" w:eastAsia="zh-CN"/>
        </w:rPr>
        <w:t>15.29</w:t>
      </w:r>
      <w:r>
        <w:rPr>
          <w:rStyle w:val="17"/>
          <w:rFonts w:hint="eastAsia" w:ascii="仿宋" w:hAnsi="仿宋" w:eastAsia="仿宋"/>
          <w:b w:val="0"/>
          <w:color w:val="auto"/>
          <w:sz w:val="32"/>
        </w:rPr>
        <w:t>万元，完成预算</w:t>
      </w:r>
      <w:r>
        <w:rPr>
          <w:rStyle w:val="17"/>
          <w:rFonts w:hint="eastAsia" w:ascii="仿宋" w:hAnsi="仿宋" w:eastAsia="仿宋"/>
          <w:b w:val="0"/>
          <w:color w:val="auto"/>
          <w:sz w:val="32"/>
          <w:lang w:val="en-US" w:eastAsia="zh-CN"/>
        </w:rPr>
        <w:t>100</w:t>
      </w:r>
      <w:r>
        <w:rPr>
          <w:rStyle w:val="17"/>
          <w:rFonts w:hint="eastAsia" w:ascii="仿宋" w:hAnsi="仿宋" w:eastAsia="仿宋"/>
          <w:b w:val="0"/>
          <w:color w:val="auto"/>
          <w:sz w:val="32"/>
        </w:rPr>
        <w:t>%，决算数</w:t>
      </w:r>
      <w:r>
        <w:rPr>
          <w:rStyle w:val="17"/>
          <w:rFonts w:hint="eastAsia" w:ascii="仿宋" w:hAnsi="仿宋" w:eastAsia="仿宋"/>
          <w:b w:val="0"/>
          <w:color w:val="auto"/>
          <w:sz w:val="32"/>
          <w:lang w:eastAsia="zh-CN"/>
        </w:rPr>
        <w:t>与</w:t>
      </w:r>
      <w:r>
        <w:rPr>
          <w:rStyle w:val="17"/>
          <w:rFonts w:hint="eastAsia" w:ascii="仿宋" w:hAnsi="仿宋" w:eastAsia="仿宋"/>
          <w:b w:val="0"/>
          <w:color w:val="auto"/>
          <w:sz w:val="32"/>
        </w:rPr>
        <w:t>预算数</w:t>
      </w:r>
      <w:r>
        <w:rPr>
          <w:rStyle w:val="17"/>
          <w:rFonts w:hint="eastAsia" w:ascii="仿宋" w:hAnsi="仿宋" w:eastAsia="仿宋"/>
          <w:b w:val="0"/>
          <w:color w:val="auto"/>
          <w:sz w:val="32"/>
          <w:lang w:eastAsia="zh-CN"/>
        </w:rPr>
        <w:t>持平。</w:t>
      </w:r>
      <w:r>
        <w:rPr>
          <w:rStyle w:val="17"/>
          <w:rFonts w:hint="eastAsia" w:ascii="仿宋" w:hAnsi="仿宋" w:eastAsia="仿宋"/>
          <w:color w:val="auto"/>
          <w:sz w:val="32"/>
        </w:rPr>
        <w:t>卫生健康（类）</w:t>
      </w:r>
      <w:r>
        <w:rPr>
          <w:rStyle w:val="17"/>
          <w:rFonts w:hint="eastAsia" w:ascii="仿宋" w:hAnsi="仿宋" w:eastAsia="仿宋"/>
          <w:color w:val="auto"/>
          <w:sz w:val="32"/>
          <w:lang w:val="en-US" w:eastAsia="zh-CN"/>
        </w:rPr>
        <w:t>行政事业单位医疗</w:t>
      </w:r>
      <w:r>
        <w:rPr>
          <w:rStyle w:val="17"/>
          <w:rFonts w:hint="eastAsia" w:ascii="仿宋" w:hAnsi="仿宋" w:eastAsia="仿宋"/>
          <w:color w:val="auto"/>
          <w:sz w:val="32"/>
        </w:rPr>
        <w:t>（款）</w:t>
      </w:r>
      <w:r>
        <w:rPr>
          <w:rStyle w:val="17"/>
          <w:rFonts w:hint="eastAsia" w:ascii="仿宋" w:hAnsi="仿宋" w:eastAsia="仿宋"/>
          <w:color w:val="auto"/>
          <w:sz w:val="32"/>
          <w:lang w:val="en-US" w:eastAsia="zh-CN"/>
        </w:rPr>
        <w:t>公务员医疗补助</w:t>
      </w:r>
      <w:r>
        <w:rPr>
          <w:rStyle w:val="17"/>
          <w:rFonts w:hint="eastAsia" w:ascii="仿宋" w:hAnsi="仿宋" w:eastAsia="仿宋"/>
          <w:color w:val="auto"/>
          <w:sz w:val="32"/>
        </w:rPr>
        <w:t>（项）</w:t>
      </w:r>
      <w:r>
        <w:rPr>
          <w:rStyle w:val="17"/>
          <w:rFonts w:hint="eastAsia" w:ascii="仿宋" w:hAnsi="仿宋" w:eastAsia="仿宋"/>
          <w:color w:val="auto"/>
          <w:sz w:val="32"/>
          <w:lang w:eastAsia="zh-CN"/>
        </w:rPr>
        <w:t>：</w:t>
      </w:r>
      <w:r>
        <w:rPr>
          <w:rStyle w:val="17"/>
          <w:rFonts w:hint="eastAsia" w:ascii="仿宋" w:hAnsi="仿宋" w:eastAsia="仿宋"/>
          <w:b w:val="0"/>
          <w:color w:val="auto"/>
          <w:sz w:val="32"/>
        </w:rPr>
        <w:t>支出决算为</w:t>
      </w:r>
      <w:r>
        <w:rPr>
          <w:rStyle w:val="17"/>
          <w:rFonts w:hint="eastAsia" w:ascii="仿宋" w:hAnsi="仿宋" w:eastAsia="仿宋"/>
          <w:b w:val="0"/>
          <w:color w:val="auto"/>
          <w:sz w:val="32"/>
          <w:lang w:val="en-US" w:eastAsia="zh-CN"/>
        </w:rPr>
        <w:t>3.60</w:t>
      </w:r>
      <w:r>
        <w:rPr>
          <w:rStyle w:val="17"/>
          <w:rFonts w:hint="eastAsia" w:ascii="仿宋" w:hAnsi="仿宋" w:eastAsia="仿宋"/>
          <w:b w:val="0"/>
          <w:color w:val="auto"/>
          <w:sz w:val="32"/>
        </w:rPr>
        <w:t>万元，完成预算</w:t>
      </w:r>
      <w:r>
        <w:rPr>
          <w:rStyle w:val="17"/>
          <w:rFonts w:hint="eastAsia" w:ascii="仿宋" w:hAnsi="仿宋" w:eastAsia="仿宋"/>
          <w:b w:val="0"/>
          <w:color w:val="auto"/>
          <w:sz w:val="32"/>
          <w:lang w:val="en-US" w:eastAsia="zh-CN"/>
        </w:rPr>
        <w:t>100</w:t>
      </w:r>
      <w:r>
        <w:rPr>
          <w:rStyle w:val="17"/>
          <w:rFonts w:hint="eastAsia" w:ascii="仿宋" w:hAnsi="仿宋" w:eastAsia="仿宋"/>
          <w:b w:val="0"/>
          <w:color w:val="auto"/>
          <w:sz w:val="32"/>
        </w:rPr>
        <w:t>%，决算数</w:t>
      </w:r>
      <w:r>
        <w:rPr>
          <w:rStyle w:val="17"/>
          <w:rFonts w:hint="eastAsia" w:ascii="仿宋" w:hAnsi="仿宋" w:eastAsia="仿宋"/>
          <w:b w:val="0"/>
          <w:color w:val="auto"/>
          <w:sz w:val="32"/>
          <w:lang w:eastAsia="zh-CN"/>
        </w:rPr>
        <w:t>与</w:t>
      </w:r>
      <w:r>
        <w:rPr>
          <w:rStyle w:val="17"/>
          <w:rFonts w:hint="eastAsia" w:ascii="仿宋" w:hAnsi="仿宋" w:eastAsia="仿宋"/>
          <w:b w:val="0"/>
          <w:color w:val="auto"/>
          <w:sz w:val="32"/>
        </w:rPr>
        <w:t>预算数</w:t>
      </w:r>
      <w:r>
        <w:rPr>
          <w:rStyle w:val="17"/>
          <w:rFonts w:hint="eastAsia" w:ascii="仿宋" w:hAnsi="仿宋" w:eastAsia="仿宋"/>
          <w:b w:val="0"/>
          <w:color w:val="auto"/>
          <w:sz w:val="32"/>
          <w:lang w:eastAsia="zh-CN"/>
        </w:rPr>
        <w:t>持平。</w:t>
      </w:r>
    </w:p>
    <w:p w14:paraId="20F188F1">
      <w:pPr>
        <w:ind w:firstLine="643" w:firstLineChars="200"/>
        <w:rPr>
          <w:rFonts w:hint="eastAsia"/>
          <w:lang w:val="en-US" w:eastAsia="zh-CN"/>
        </w:rPr>
      </w:pPr>
      <w:r>
        <w:rPr>
          <w:rStyle w:val="17"/>
          <w:rFonts w:hint="eastAsia" w:ascii="仿宋" w:hAnsi="仿宋" w:eastAsia="仿宋" w:cs="Times New Roman"/>
          <w:color w:val="000000"/>
          <w:sz w:val="32"/>
          <w:szCs w:val="22"/>
          <w:lang w:val="en-US" w:eastAsia="zh-CN"/>
        </w:rPr>
        <w:t>8.农林水支出（类）巩固脱贫攻坚成果衔接乡村振兴（款）其他巩固脱贫攻坚成果衔接乡村振兴支出（项）：</w:t>
      </w:r>
      <w:r>
        <w:rPr>
          <w:rFonts w:hint="eastAsia" w:ascii="仿宋_GB2312" w:hAnsi="Times New Roman" w:eastAsia="仿宋_GB2312"/>
          <w:color w:val="000000"/>
          <w:sz w:val="32"/>
        </w:rPr>
        <w:t>支出</w:t>
      </w:r>
      <w:r>
        <w:rPr>
          <w:rFonts w:hint="eastAsia" w:ascii="仿宋_GB2312" w:hAnsi="Times New Roman" w:eastAsia="仿宋_GB2312"/>
          <w:color w:val="000000"/>
          <w:sz w:val="32"/>
          <w:lang w:val="en-US" w:eastAsia="zh-CN"/>
        </w:rPr>
        <w:t>决算80</w:t>
      </w:r>
      <w:r>
        <w:rPr>
          <w:rFonts w:hint="eastAsia" w:ascii="仿宋_GB2312" w:hAnsi="Times New Roman" w:eastAsia="仿宋_GB2312"/>
          <w:color w:val="000000"/>
          <w:sz w:val="32"/>
        </w:rPr>
        <w:t>万元，</w:t>
      </w:r>
      <w:r>
        <w:rPr>
          <w:rStyle w:val="17"/>
          <w:rFonts w:hint="eastAsia" w:ascii="仿宋_GB2312" w:hAnsi="仿宋_GB2312" w:eastAsia="仿宋_GB2312"/>
          <w:b w:val="0"/>
          <w:color w:val="000000"/>
          <w:sz w:val="32"/>
        </w:rPr>
        <w:t>完成预算</w:t>
      </w:r>
      <w:r>
        <w:rPr>
          <w:rStyle w:val="17"/>
          <w:rFonts w:hint="eastAsia" w:ascii="仿宋_GB2312" w:hAnsi="仿宋_GB2312" w:eastAsia="仿宋_GB2312"/>
          <w:b w:val="0"/>
          <w:color w:val="000000"/>
          <w:sz w:val="32"/>
          <w:lang w:val="en-US" w:eastAsia="zh-CN"/>
        </w:rPr>
        <w:t>100</w:t>
      </w:r>
      <w:r>
        <w:rPr>
          <w:rStyle w:val="17"/>
          <w:rFonts w:hint="eastAsia" w:ascii="仿宋_GB2312" w:hAnsi="仿宋_GB2312" w:eastAsia="仿宋_GB2312"/>
          <w:b w:val="0"/>
          <w:color w:val="000000"/>
          <w:sz w:val="32"/>
        </w:rPr>
        <w:t>%</w:t>
      </w:r>
      <w:r>
        <w:rPr>
          <w:rStyle w:val="17"/>
          <w:rFonts w:hint="eastAsia" w:ascii="仿宋" w:hAnsi="仿宋" w:eastAsia="仿宋"/>
          <w:b w:val="0"/>
          <w:color w:val="000000"/>
          <w:sz w:val="32"/>
          <w:lang w:eastAsia="zh-CN"/>
        </w:rPr>
        <w:t>，</w:t>
      </w:r>
      <w:r>
        <w:rPr>
          <w:rStyle w:val="17"/>
          <w:rFonts w:hint="eastAsia" w:ascii="仿宋" w:hAnsi="仿宋" w:eastAsia="仿宋"/>
          <w:b w:val="0"/>
          <w:color w:val="000000"/>
          <w:sz w:val="32"/>
          <w:lang w:val="en-US" w:eastAsia="zh-CN"/>
        </w:rPr>
        <w:t>决算数与预算数持平。</w:t>
      </w:r>
    </w:p>
    <w:p w14:paraId="168685A4">
      <w:pPr>
        <w:spacing w:beforeLines="0" w:afterLines="0" w:line="600" w:lineRule="exact"/>
        <w:ind w:firstLine="643" w:firstLineChars="200"/>
        <w:rPr>
          <w:rFonts w:hint="eastAsia"/>
        </w:rPr>
      </w:pPr>
      <w:r>
        <w:rPr>
          <w:rStyle w:val="17"/>
          <w:rFonts w:hint="eastAsia" w:ascii="仿宋" w:hAnsi="仿宋" w:eastAsia="仿宋"/>
          <w:color w:val="000000"/>
          <w:sz w:val="32"/>
          <w:lang w:val="en-US" w:eastAsia="zh-CN"/>
        </w:rPr>
        <w:t>9、</w:t>
      </w:r>
      <w:r>
        <w:rPr>
          <w:rStyle w:val="17"/>
          <w:rFonts w:hint="eastAsia" w:ascii="仿宋" w:hAnsi="仿宋" w:eastAsia="仿宋"/>
          <w:color w:val="000000"/>
          <w:sz w:val="32"/>
        </w:rPr>
        <w:t>住房保障</w:t>
      </w:r>
      <w:r>
        <w:rPr>
          <w:rStyle w:val="17"/>
          <w:rFonts w:hint="eastAsia" w:ascii="仿宋" w:hAnsi="仿宋" w:eastAsia="仿宋"/>
          <w:color w:val="000000"/>
          <w:sz w:val="32"/>
          <w:lang w:val="en-US" w:eastAsia="zh-CN"/>
        </w:rPr>
        <w:t>支出</w:t>
      </w:r>
      <w:r>
        <w:rPr>
          <w:rStyle w:val="17"/>
          <w:rFonts w:hint="eastAsia" w:ascii="仿宋" w:hAnsi="仿宋" w:eastAsia="仿宋"/>
          <w:color w:val="000000"/>
          <w:sz w:val="32"/>
        </w:rPr>
        <w:t>（类）</w:t>
      </w:r>
      <w:r>
        <w:rPr>
          <w:rStyle w:val="17"/>
          <w:rFonts w:hint="eastAsia" w:ascii="仿宋_GB2312" w:hAnsi="Times New Roman" w:eastAsia="仿宋_GB2312"/>
          <w:color w:val="000000"/>
          <w:sz w:val="32"/>
        </w:rPr>
        <w:t>住房改革</w:t>
      </w:r>
      <w:r>
        <w:rPr>
          <w:rStyle w:val="17"/>
          <w:rFonts w:hint="eastAsia" w:ascii="仿宋_GB2312" w:hAnsi="Times New Roman" w:eastAsia="仿宋_GB2312"/>
          <w:color w:val="000000"/>
          <w:sz w:val="32"/>
          <w:lang w:val="en-US" w:eastAsia="zh-CN"/>
        </w:rPr>
        <w:t>支出</w:t>
      </w:r>
      <w:r>
        <w:rPr>
          <w:rStyle w:val="17"/>
          <w:rFonts w:hint="eastAsia" w:ascii="仿宋_GB2312" w:hAnsi="Times New Roman" w:eastAsia="仿宋_GB2312"/>
          <w:color w:val="000000"/>
          <w:sz w:val="32"/>
        </w:rPr>
        <w:t>（款）住房公积金（</w:t>
      </w:r>
      <w:r>
        <w:rPr>
          <w:rStyle w:val="17"/>
          <w:rFonts w:hint="eastAsia" w:ascii="仿宋" w:hAnsi="仿宋" w:eastAsia="仿宋"/>
          <w:color w:val="000000"/>
          <w:sz w:val="32"/>
        </w:rPr>
        <w:t>项）</w:t>
      </w:r>
      <w:r>
        <w:rPr>
          <w:rStyle w:val="17"/>
          <w:rFonts w:hint="eastAsia" w:ascii="仿宋" w:hAnsi="仿宋" w:eastAsia="仿宋"/>
          <w:color w:val="000000"/>
          <w:sz w:val="32"/>
          <w:lang w:eastAsia="zh-CN"/>
        </w:rPr>
        <w:t>：</w:t>
      </w:r>
      <w:r>
        <w:rPr>
          <w:rFonts w:hint="eastAsia" w:ascii="仿宋_GB2312" w:hAnsi="Times New Roman" w:eastAsia="仿宋_GB2312"/>
          <w:color w:val="000000"/>
          <w:sz w:val="32"/>
        </w:rPr>
        <w:t>支出</w:t>
      </w:r>
      <w:r>
        <w:rPr>
          <w:rFonts w:hint="eastAsia" w:ascii="仿宋_GB2312" w:hAnsi="Times New Roman" w:eastAsia="仿宋_GB2312"/>
          <w:color w:val="000000"/>
          <w:sz w:val="32"/>
          <w:lang w:val="en-US" w:eastAsia="zh-CN"/>
        </w:rPr>
        <w:t>决算43.75</w:t>
      </w:r>
      <w:r>
        <w:rPr>
          <w:rFonts w:hint="eastAsia" w:ascii="仿宋_GB2312" w:hAnsi="Times New Roman" w:eastAsia="仿宋_GB2312"/>
          <w:color w:val="000000"/>
          <w:sz w:val="32"/>
        </w:rPr>
        <w:t>万元，</w:t>
      </w:r>
      <w:r>
        <w:rPr>
          <w:rStyle w:val="17"/>
          <w:rFonts w:hint="eastAsia" w:ascii="仿宋_GB2312" w:hAnsi="仿宋_GB2312" w:eastAsia="仿宋_GB2312"/>
          <w:b w:val="0"/>
          <w:color w:val="000000"/>
          <w:sz w:val="32"/>
        </w:rPr>
        <w:t>完成预算</w:t>
      </w:r>
      <w:r>
        <w:rPr>
          <w:rStyle w:val="17"/>
          <w:rFonts w:hint="eastAsia" w:ascii="仿宋_GB2312" w:hAnsi="仿宋_GB2312" w:eastAsia="仿宋_GB2312"/>
          <w:b w:val="0"/>
          <w:color w:val="000000"/>
          <w:sz w:val="32"/>
          <w:lang w:val="en-US" w:eastAsia="zh-CN"/>
        </w:rPr>
        <w:t>100</w:t>
      </w:r>
      <w:r>
        <w:rPr>
          <w:rStyle w:val="17"/>
          <w:rFonts w:hint="eastAsia" w:ascii="仿宋_GB2312" w:hAnsi="仿宋_GB2312" w:eastAsia="仿宋_GB2312"/>
          <w:b w:val="0"/>
          <w:color w:val="000000"/>
          <w:sz w:val="32"/>
        </w:rPr>
        <w:t>%</w:t>
      </w:r>
      <w:r>
        <w:rPr>
          <w:rStyle w:val="17"/>
          <w:rFonts w:hint="eastAsia" w:ascii="仿宋" w:hAnsi="仿宋" w:eastAsia="仿宋"/>
          <w:b w:val="0"/>
          <w:color w:val="000000"/>
          <w:sz w:val="32"/>
          <w:lang w:eastAsia="zh-CN"/>
        </w:rPr>
        <w:t>，</w:t>
      </w:r>
      <w:r>
        <w:rPr>
          <w:rStyle w:val="17"/>
          <w:rFonts w:hint="eastAsia" w:ascii="仿宋" w:hAnsi="仿宋" w:eastAsia="仿宋"/>
          <w:b w:val="0"/>
          <w:color w:val="000000"/>
          <w:sz w:val="32"/>
          <w:lang w:val="en-US" w:eastAsia="zh-CN"/>
        </w:rPr>
        <w:t>决算数与预算数持平。</w:t>
      </w:r>
    </w:p>
    <w:p w14:paraId="52CD9929">
      <w:pPr>
        <w:spacing w:line="600" w:lineRule="exact"/>
        <w:ind w:firstLine="643" w:firstLineChars="200"/>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w:t>
      </w:r>
      <w:r>
        <w:rPr>
          <w:rFonts w:hint="eastAsia" w:ascii="仿宋" w:hAnsi="仿宋" w:eastAsia="仿宋"/>
          <w:b/>
          <w:sz w:val="32"/>
          <w:szCs w:val="32"/>
        </w:rPr>
        <w:t>1-1表和财决08表，仅罗列本部门涉及的全部功能分类科目，至项级。上述“预算”口径为全年预算数。增减变动原因为决算数</w:t>
      </w:r>
      <w:r>
        <w:rPr>
          <w:rFonts w:hint="eastAsia" w:ascii="仿宋" w:hAnsi="仿宋" w:eastAsia="仿宋"/>
          <w:b/>
          <w:sz w:val="32"/>
          <w:szCs w:val="32"/>
          <w:lang w:eastAsia="zh-CN"/>
        </w:rPr>
        <w:t>〈</w:t>
      </w:r>
      <w:r>
        <w:rPr>
          <w:rFonts w:hint="eastAsia" w:ascii="仿宋" w:hAnsi="仿宋" w:eastAsia="仿宋"/>
          <w:b/>
          <w:sz w:val="32"/>
          <w:szCs w:val="32"/>
        </w:rPr>
        <w:t>项级</w:t>
      </w:r>
      <w:r>
        <w:rPr>
          <w:rFonts w:hint="eastAsia" w:ascii="仿宋" w:hAnsi="仿宋" w:eastAsia="仿宋"/>
          <w:b/>
          <w:sz w:val="32"/>
          <w:szCs w:val="32"/>
          <w:lang w:eastAsia="zh-CN"/>
        </w:rPr>
        <w:t>〉</w:t>
      </w:r>
      <w:r>
        <w:rPr>
          <w:rFonts w:hint="eastAsia" w:ascii="仿宋" w:hAnsi="仿宋" w:eastAsia="仿宋"/>
          <w:b/>
          <w:sz w:val="32"/>
          <w:szCs w:val="32"/>
        </w:rPr>
        <w:t>和全年预算数</w:t>
      </w:r>
      <w:r>
        <w:rPr>
          <w:rFonts w:hint="eastAsia" w:ascii="仿宋" w:hAnsi="仿宋" w:eastAsia="仿宋"/>
          <w:b/>
          <w:sz w:val="32"/>
          <w:szCs w:val="32"/>
          <w:lang w:eastAsia="zh-CN"/>
        </w:rPr>
        <w:t>〈</w:t>
      </w:r>
      <w:r>
        <w:rPr>
          <w:rFonts w:hint="eastAsia" w:ascii="仿宋" w:hAnsi="仿宋" w:eastAsia="仿宋"/>
          <w:b/>
          <w:sz w:val="32"/>
          <w:szCs w:val="32"/>
        </w:rPr>
        <w:t>项级</w:t>
      </w:r>
      <w:r>
        <w:rPr>
          <w:rFonts w:hint="eastAsia" w:ascii="仿宋" w:hAnsi="仿宋" w:eastAsia="仿宋"/>
          <w:b/>
          <w:sz w:val="32"/>
          <w:szCs w:val="32"/>
          <w:lang w:eastAsia="zh-CN"/>
        </w:rPr>
        <w:t>〉</w:t>
      </w:r>
      <w:r>
        <w:rPr>
          <w:rFonts w:hint="eastAsia" w:ascii="仿宋" w:hAnsi="仿宋" w:eastAsia="仿宋"/>
          <w:b/>
          <w:sz w:val="32"/>
          <w:szCs w:val="32"/>
        </w:rPr>
        <w:t>比较，与预算数持平可以不写原因）</w:t>
      </w:r>
    </w:p>
    <w:p w14:paraId="22496FC8">
      <w:pPr>
        <w:tabs>
          <w:tab w:val="right" w:pos="8306"/>
        </w:tabs>
        <w:spacing w:line="600" w:lineRule="exact"/>
        <w:ind w:firstLine="640"/>
        <w:outlineLvl w:val="1"/>
        <w:rPr>
          <w:rStyle w:val="29"/>
        </w:rPr>
      </w:pPr>
      <w:bookmarkStart w:id="36" w:name="_Toc15396608"/>
      <w:bookmarkStart w:id="37" w:name="_Toc15377214"/>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9"/>
          <w:rFonts w:hint="eastAsia" w:ascii="黑体" w:hAnsi="黑体" w:eastAsia="黑体"/>
          <w:b w:val="0"/>
        </w:rPr>
        <w:t>般公共预算财政拨款基本支出决算情况说明</w:t>
      </w:r>
      <w:bookmarkEnd w:id="36"/>
      <w:bookmarkEnd w:id="37"/>
      <w:r>
        <w:rPr>
          <w:rStyle w:val="29"/>
          <w:rFonts w:ascii="黑体" w:hAnsi="黑体" w:eastAsia="黑体"/>
          <w:b w:val="0"/>
        </w:rPr>
        <w:tab/>
      </w:r>
    </w:p>
    <w:p w14:paraId="628426C3">
      <w:pPr>
        <w:spacing w:line="600" w:lineRule="exact"/>
        <w:ind w:firstLine="645"/>
        <w:rPr>
          <w:rFonts w:ascii="仿宋" w:hAnsi="仿宋" w:eastAsia="仿宋"/>
          <w:sz w:val="32"/>
          <w:szCs w:val="32"/>
        </w:rPr>
      </w:pPr>
      <w:r>
        <w:rPr>
          <w:rFonts w:hint="eastAsia" w:ascii="仿宋" w:hAnsi="仿宋" w:eastAsia="仿宋"/>
          <w:sz w:val="32"/>
          <w:szCs w:val="32"/>
        </w:rPr>
        <w:t>2023年度一般公共预算财政拨款基本支出</w:t>
      </w:r>
      <w:r>
        <w:rPr>
          <w:sz w:val="32"/>
          <w:szCs w:val="32"/>
        </w:rPr>
        <w:t>848.74</w:t>
      </w:r>
      <w:r>
        <w:rPr>
          <w:rFonts w:hint="eastAsia" w:ascii="仿宋" w:hAnsi="仿宋" w:eastAsia="仿宋"/>
          <w:sz w:val="32"/>
          <w:szCs w:val="32"/>
        </w:rPr>
        <w:t>万元，其中：</w:t>
      </w:r>
    </w:p>
    <w:p w14:paraId="05982690">
      <w:pPr>
        <w:spacing w:line="600" w:lineRule="exact"/>
        <w:ind w:firstLine="645"/>
        <w:rPr>
          <w:rFonts w:ascii="仿宋" w:hAnsi="仿宋" w:eastAsia="仿宋"/>
          <w:sz w:val="32"/>
          <w:szCs w:val="32"/>
        </w:rPr>
      </w:pPr>
      <w:r>
        <w:rPr>
          <w:rFonts w:hint="eastAsia" w:ascii="仿宋" w:hAnsi="仿宋" w:eastAsia="仿宋"/>
          <w:sz w:val="32"/>
          <w:szCs w:val="32"/>
        </w:rPr>
        <w:t>人员经费</w:t>
      </w:r>
      <w:r>
        <w:rPr>
          <w:sz w:val="32"/>
          <w:szCs w:val="32"/>
        </w:rPr>
        <w:t>677.49</w:t>
      </w:r>
      <w:r>
        <w:rPr>
          <w:rFonts w:hint="eastAsia" w:ascii="仿宋" w:hAnsi="仿宋" w:eastAsia="仿宋"/>
          <w:sz w:val="32"/>
          <w:szCs w:val="32"/>
        </w:rPr>
        <w:t>万元，主要包括：基本工资、津贴补贴、奖金、伙食补助费、绩效工资、机关事业单位基本养老保险缴费、职业年金缴费、其他社会保障缴费、其他工资福利支出、住房公积金等。</w:t>
      </w:r>
      <w:r>
        <w:rPr>
          <w:rFonts w:ascii="仿宋" w:hAnsi="仿宋" w:eastAsia="仿宋"/>
          <w:sz w:val="32"/>
          <w:szCs w:val="32"/>
        </w:rPr>
        <w:br w:type="textWrapping"/>
      </w:r>
      <w:r>
        <w:rPr>
          <w:rFonts w:hint="eastAsia" w:ascii="仿宋" w:hAnsi="仿宋" w:eastAsia="仿宋"/>
          <w:sz w:val="32"/>
          <w:szCs w:val="32"/>
        </w:rPr>
        <w:t>　　公用经费</w:t>
      </w:r>
      <w:r>
        <w:rPr>
          <w:sz w:val="32"/>
          <w:szCs w:val="32"/>
        </w:rPr>
        <w:t>171.25</w:t>
      </w:r>
      <w:r>
        <w:rPr>
          <w:rFonts w:hint="eastAsia" w:ascii="仿宋" w:hAnsi="仿宋" w:eastAsia="仿宋"/>
          <w:sz w:val="32"/>
          <w:szCs w:val="32"/>
        </w:rPr>
        <w:t>万元，主要包括：办公费、印刷费、邮电费、差旅费、会议费、培训费、公务接待费、劳务费、</w:t>
      </w:r>
      <w:bookmarkStart w:id="51" w:name="_GoBack"/>
      <w:bookmarkEnd w:id="51"/>
      <w:r>
        <w:rPr>
          <w:rFonts w:hint="eastAsia" w:ascii="仿宋" w:hAnsi="仿宋" w:eastAsia="仿宋"/>
          <w:sz w:val="32"/>
          <w:szCs w:val="32"/>
        </w:rPr>
        <w:t>工会经费、福利费、其他交通费等。</w:t>
      </w:r>
    </w:p>
    <w:p w14:paraId="228B9964">
      <w:pPr>
        <w:spacing w:line="600" w:lineRule="exact"/>
        <w:ind w:firstLine="645"/>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w:t>
      </w:r>
      <w:r>
        <w:rPr>
          <w:rFonts w:hint="eastAsia" w:ascii="仿宋" w:hAnsi="仿宋" w:eastAsia="仿宋"/>
          <w:b/>
          <w:sz w:val="32"/>
          <w:szCs w:val="32"/>
        </w:rPr>
        <w:t>7表和财决08-1表，仅罗列本部门实际支出涉及的经济分类科目）</w:t>
      </w:r>
    </w:p>
    <w:p w14:paraId="6C47F70B">
      <w:pPr>
        <w:spacing w:line="600" w:lineRule="exact"/>
        <w:ind w:firstLine="640"/>
        <w:outlineLvl w:val="1"/>
        <w:rPr>
          <w:rStyle w:val="29"/>
          <w:rFonts w:ascii="黑体" w:hAnsi="黑体" w:eastAsia="黑体"/>
          <w:b w:val="0"/>
        </w:rPr>
      </w:pPr>
      <w:bookmarkStart w:id="38" w:name="_Toc15377215"/>
      <w:bookmarkStart w:id="39" w:name="_Toc15396609"/>
      <w:r>
        <w:rPr>
          <w:rFonts w:hint="eastAsia" w:ascii="黑体" w:eastAsia="黑体"/>
          <w:sz w:val="32"/>
          <w:szCs w:val="32"/>
        </w:rPr>
        <w:t>七、</w:t>
      </w:r>
      <w:r>
        <w:rPr>
          <w:rStyle w:val="29"/>
          <w:rFonts w:hint="eastAsia" w:ascii="黑体" w:hAnsi="黑体" w:eastAsia="黑体"/>
          <w:b w:val="0"/>
        </w:rPr>
        <w:t>财政拨款</w:t>
      </w:r>
      <w:r>
        <w:rPr>
          <w:rStyle w:val="29"/>
          <w:rFonts w:hint="eastAsia" w:ascii="黑体" w:hAnsi="黑体" w:eastAsia="黑体"/>
        </w:rPr>
        <w:t>“</w:t>
      </w:r>
      <w:r>
        <w:rPr>
          <w:rStyle w:val="29"/>
          <w:rFonts w:hint="eastAsia" w:ascii="黑体" w:hAnsi="黑体" w:eastAsia="黑体"/>
          <w:b w:val="0"/>
        </w:rPr>
        <w:t>三公”经费支出决算情况说明</w:t>
      </w:r>
      <w:bookmarkEnd w:id="38"/>
      <w:bookmarkEnd w:id="39"/>
    </w:p>
    <w:p w14:paraId="7C342DA1">
      <w:pPr>
        <w:spacing w:line="600" w:lineRule="exact"/>
        <w:ind w:firstLine="640"/>
        <w:outlineLvl w:val="2"/>
        <w:rPr>
          <w:rFonts w:ascii="仿宋" w:hAnsi="仿宋" w:eastAsia="仿宋"/>
          <w:b/>
          <w:sz w:val="32"/>
          <w:szCs w:val="32"/>
        </w:rPr>
      </w:pPr>
      <w:bookmarkStart w:id="40" w:name="_Toc15377216"/>
      <w:r>
        <w:rPr>
          <w:rFonts w:hint="eastAsia" w:ascii="仿宋" w:hAnsi="仿宋" w:eastAsia="仿宋"/>
          <w:b/>
          <w:sz w:val="32"/>
          <w:szCs w:val="32"/>
        </w:rPr>
        <w:t>（一）“三公”经费财政拨款支出决算总体情况说明</w:t>
      </w:r>
      <w:bookmarkEnd w:id="40"/>
    </w:p>
    <w:p w14:paraId="6AD45022">
      <w:pPr>
        <w:keepNext/>
        <w:keepLines/>
        <w:spacing w:beforeLines="0" w:afterLines="0" w:line="576" w:lineRule="exact"/>
        <w:ind w:firstLine="640"/>
        <w:jc w:val="both"/>
        <w:rPr>
          <w:rFonts w:hint="eastAsia" w:ascii="仿宋_GB2312" w:hAnsi="仿宋_GB2312" w:eastAsia="仿宋_GB2312"/>
          <w:color w:val="000000"/>
          <w:kern w:val="2"/>
          <w:sz w:val="32"/>
          <w:lang w:val="zh-CN"/>
        </w:rPr>
      </w:pPr>
      <w:r>
        <w:rPr>
          <w:rFonts w:hint="eastAsia" w:ascii="仿宋" w:hAnsi="仿宋" w:eastAsia="仿宋"/>
          <w:sz w:val="32"/>
          <w:szCs w:val="32"/>
        </w:rPr>
        <w:t>2023年度“三公”经费财政拨款支出决算为</w:t>
      </w:r>
      <w:r>
        <w:rPr>
          <w:sz w:val="32"/>
          <w:szCs w:val="32"/>
        </w:rPr>
        <w:t>2.21</w:t>
      </w:r>
      <w:r>
        <w:rPr>
          <w:rFonts w:hint="eastAsia" w:ascii="仿宋" w:hAnsi="仿宋" w:eastAsia="仿宋"/>
          <w:sz w:val="32"/>
          <w:szCs w:val="32"/>
        </w:rPr>
        <w:t>万元，完成预算</w:t>
      </w:r>
      <w:r>
        <w:rPr>
          <w:sz w:val="32"/>
          <w:szCs w:val="32"/>
        </w:rPr>
        <w:t>100</w:t>
      </w:r>
      <w:r>
        <w:rPr>
          <w:rFonts w:ascii="仿宋" w:hAnsi="仿宋" w:eastAsia="仿宋"/>
          <w:sz w:val="32"/>
          <w:szCs w:val="32"/>
        </w:rPr>
        <w:t>%</w:t>
      </w:r>
      <w:r>
        <w:rPr>
          <w:rFonts w:hint="eastAsia" w:ascii="仿宋" w:hAnsi="仿宋" w:eastAsia="仿宋"/>
          <w:sz w:val="32"/>
          <w:szCs w:val="32"/>
        </w:rPr>
        <w:t>，较上年度增加</w:t>
      </w:r>
      <w:r>
        <w:rPr>
          <w:rFonts w:hint="eastAsia" w:ascii="仿宋" w:hAnsi="仿宋" w:eastAsia="仿宋"/>
          <w:sz w:val="32"/>
          <w:szCs w:val="32"/>
          <w:lang w:val="en-US" w:eastAsia="zh-CN"/>
        </w:rPr>
        <w:t>0.94</w:t>
      </w:r>
      <w:r>
        <w:rPr>
          <w:rFonts w:hint="eastAsia" w:ascii="仿宋" w:hAnsi="仿宋" w:eastAsia="仿宋"/>
          <w:sz w:val="32"/>
          <w:szCs w:val="32"/>
        </w:rPr>
        <w:t>万元，增长</w:t>
      </w:r>
      <w:r>
        <w:rPr>
          <w:rFonts w:hint="eastAsia" w:ascii="仿宋" w:hAnsi="仿宋" w:eastAsia="仿宋"/>
          <w:sz w:val="32"/>
          <w:szCs w:val="32"/>
          <w:lang w:val="en-US" w:eastAsia="zh-CN"/>
        </w:rPr>
        <w:t>74</w:t>
      </w:r>
      <w:r>
        <w:rPr>
          <w:rFonts w:hint="eastAsia" w:ascii="仿宋" w:hAnsi="仿宋" w:eastAsia="仿宋"/>
          <w:sz w:val="32"/>
          <w:szCs w:val="32"/>
        </w:rPr>
        <w:t>%。</w:t>
      </w:r>
      <w:r>
        <w:rPr>
          <w:rFonts w:hint="eastAsia" w:ascii="仿宋_GB2312" w:hAnsi="仿宋_GB2312" w:eastAsia="仿宋_GB2312"/>
          <w:color w:val="000000"/>
          <w:kern w:val="2"/>
          <w:sz w:val="32"/>
          <w:lang w:val="zh-CN"/>
        </w:rPr>
        <w:t>决算数</w:t>
      </w:r>
      <w:r>
        <w:rPr>
          <w:rFonts w:hint="eastAsia" w:ascii="仿宋_GB2312" w:hAnsi="仿宋_GB2312" w:eastAsia="仿宋_GB2312"/>
          <w:color w:val="000000"/>
          <w:kern w:val="2"/>
          <w:sz w:val="32"/>
          <w:highlight w:val="white"/>
          <w:lang w:val="en-US"/>
        </w:rPr>
        <w:t>与预算数持平</w:t>
      </w:r>
      <w:r>
        <w:rPr>
          <w:rFonts w:hint="eastAsia" w:ascii="仿宋_GB2312" w:hAnsi="仿宋_GB2312" w:eastAsia="仿宋_GB2312"/>
          <w:color w:val="000000"/>
          <w:kern w:val="2"/>
          <w:sz w:val="32"/>
          <w:lang w:val="zh-CN"/>
        </w:rPr>
        <w:t>。</w:t>
      </w:r>
    </w:p>
    <w:p w14:paraId="53FD9F4A">
      <w:pPr>
        <w:spacing w:line="600" w:lineRule="exact"/>
        <w:ind w:firstLine="640"/>
        <w:rPr>
          <w:rFonts w:ascii="仿宋" w:hAnsi="仿宋" w:eastAsia="仿宋"/>
          <w:b/>
          <w:sz w:val="32"/>
          <w:szCs w:val="32"/>
        </w:rPr>
      </w:pPr>
      <w:r>
        <w:rPr>
          <w:rFonts w:hint="eastAsia" w:ascii="仿宋" w:hAnsi="仿宋" w:eastAsia="仿宋"/>
          <w:b/>
          <w:sz w:val="32"/>
          <w:szCs w:val="32"/>
        </w:rPr>
        <w:t>（注：上述“预算”口径为全年预算数，包括一般公共预算和政府性基金预算财政拨款支出决算情况）</w:t>
      </w:r>
    </w:p>
    <w:p w14:paraId="46EA9E0F">
      <w:pPr>
        <w:spacing w:line="600" w:lineRule="exact"/>
        <w:ind w:firstLine="640"/>
        <w:outlineLvl w:val="2"/>
        <w:rPr>
          <w:rFonts w:ascii="仿宋" w:hAnsi="仿宋" w:eastAsia="仿宋"/>
          <w:b/>
          <w:sz w:val="32"/>
          <w:szCs w:val="32"/>
        </w:rPr>
      </w:pPr>
      <w:bookmarkStart w:id="41" w:name="_Toc15377217"/>
      <w:r>
        <w:rPr>
          <w:rFonts w:hint="eastAsia" w:ascii="仿宋" w:hAnsi="仿宋" w:eastAsia="仿宋"/>
          <w:b/>
          <w:sz w:val="32"/>
          <w:szCs w:val="32"/>
        </w:rPr>
        <w:t>（二）“三公”经费财政拨款支出决算具体情况说明</w:t>
      </w:r>
      <w:bookmarkEnd w:id="41"/>
    </w:p>
    <w:p w14:paraId="316E01AB">
      <w:pPr>
        <w:spacing w:line="600" w:lineRule="exact"/>
        <w:ind w:firstLine="640"/>
        <w:rPr>
          <w:rFonts w:hint="eastAsia" w:ascii="仿宋" w:hAnsi="仿宋" w:eastAsia="仿宋"/>
          <w:sz w:val="32"/>
          <w:szCs w:val="32"/>
        </w:rPr>
      </w:pPr>
      <w:r>
        <w:rPr>
          <w:rFonts w:hint="eastAsia" w:ascii="仿宋" w:hAnsi="仿宋" w:eastAsia="仿宋"/>
          <w:sz w:val="32"/>
          <w:szCs w:val="32"/>
        </w:rPr>
        <w:t>2023年度“三公”经费财政拨款支出决算中，因公出国（境）费支出决算</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；公务用车购置及运行维护费支出决算</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；公务接待费支出决算</w:t>
      </w:r>
      <w:r>
        <w:rPr>
          <w:sz w:val="32"/>
          <w:szCs w:val="32"/>
        </w:rPr>
        <w:t>2.21</w:t>
      </w:r>
      <w:r>
        <w:rPr>
          <w:rFonts w:hint="eastAsia" w:ascii="仿宋" w:hAnsi="仿宋" w:eastAsia="仿宋"/>
          <w:sz w:val="32"/>
          <w:szCs w:val="32"/>
        </w:rPr>
        <w:t>万元，占</w:t>
      </w:r>
      <w:r>
        <w:rPr>
          <w:sz w:val="32"/>
          <w:szCs w:val="32"/>
        </w:rPr>
        <w:t>100</w:t>
      </w:r>
      <w:r>
        <w:rPr>
          <w:rFonts w:ascii="仿宋" w:hAnsi="仿宋" w:eastAsia="仿宋"/>
          <w:sz w:val="32"/>
          <w:szCs w:val="32"/>
        </w:rPr>
        <w:t>%</w:t>
      </w:r>
      <w:r>
        <w:rPr>
          <w:rFonts w:hint="eastAsia" w:ascii="仿宋" w:hAnsi="仿宋" w:eastAsia="仿宋"/>
          <w:sz w:val="32"/>
          <w:szCs w:val="32"/>
        </w:rPr>
        <w:t>。具体情况如下：</w:t>
      </w:r>
    </w:p>
    <w:p w14:paraId="452F0E3C">
      <w:pPr>
        <w:pStyle w:val="2"/>
        <w:rPr>
          <w:rFonts w:hint="eastAsia" w:ascii="仿宋" w:hAnsi="仿宋" w:eastAsia="仿宋"/>
          <w:sz w:val="32"/>
          <w:szCs w:val="32"/>
        </w:rPr>
      </w:pPr>
    </w:p>
    <w:p w14:paraId="50031BD4">
      <w:pPr>
        <w:rPr>
          <w:rFonts w:hint="eastAsia" w:ascii="仿宋" w:hAnsi="仿宋" w:eastAsia="仿宋"/>
          <w:sz w:val="32"/>
          <w:szCs w:val="32"/>
        </w:rPr>
      </w:pPr>
    </w:p>
    <w:p w14:paraId="057C55C2">
      <w:pPr>
        <w:pStyle w:val="2"/>
        <w:rPr>
          <w:rFonts w:hint="eastAsia" w:ascii="仿宋" w:hAnsi="仿宋" w:eastAsia="仿宋"/>
          <w:sz w:val="32"/>
          <w:szCs w:val="32"/>
        </w:rPr>
      </w:pPr>
      <w:r>
        <w:rPr>
          <w:rFonts w:hint="default" w:ascii="仿宋" w:hAnsi="仿宋" w:eastAsia="仿宋"/>
          <w:color w:val="auto"/>
          <w:sz w:val="32"/>
          <w:lang w:eastAsia="zh-CN"/>
        </w:rPr>
        <w:object>
          <v:shape id="_x0000_i1027" o:spt="75" type="#_x0000_t75" style="height:217.5pt;width:363pt;" o:ole="t" filled="f" stroked="f" coordsize="21600,21600">
            <v:path/>
            <v:fill on="f" focussize="0,0"/>
            <v:stroke on="f"/>
            <v:imagedata r:id="rId19" o:title=""/>
            <o:lock v:ext="edit" aspectratio="t"/>
            <w10:wrap type="none"/>
            <w10:anchorlock/>
          </v:shape>
          <o:OLEObject Type="Embed" ProgID="Excel.Sheet.8" ShapeID="_x0000_i1027" DrawAspect="Content" ObjectID="_1468075731" r:id="rId18">
            <o:LockedField>false</o:LockedField>
          </o:OLEObject>
        </w:object>
      </w:r>
    </w:p>
    <w:p w14:paraId="16924354">
      <w:pPr>
        <w:spacing w:line="600" w:lineRule="exact"/>
        <w:rPr>
          <w:rFonts w:ascii="仿宋" w:hAnsi="仿宋" w:eastAsia="仿宋"/>
          <w:sz w:val="32"/>
          <w:szCs w:val="32"/>
        </w:rPr>
      </w:pPr>
      <w:r>
        <w:rPr>
          <w:rFonts w:hint="eastAsia" w:ascii="仿宋" w:hAnsi="仿宋" w:eastAsia="仿宋"/>
          <w:sz w:val="32"/>
          <w:szCs w:val="32"/>
        </w:rPr>
        <w:t>（图7：“三公”经费财政拨款支出结构）（饼状图）</w:t>
      </w:r>
    </w:p>
    <w:p w14:paraId="3AFCE6B5">
      <w:pPr>
        <w:numPr>
          <w:ilvl w:val="0"/>
          <w:numId w:val="4"/>
        </w:numPr>
        <w:spacing w:line="600" w:lineRule="exact"/>
        <w:ind w:firstLine="640"/>
        <w:rPr>
          <w:rFonts w:hint="eastAsia" w:ascii="仿宋_GB2312" w:eastAsia="仿宋_GB2312"/>
          <w:sz w:val="32"/>
          <w:szCs w:val="32"/>
        </w:rPr>
      </w:pPr>
      <w:r>
        <w:rPr>
          <w:rFonts w:hint="eastAsia" w:ascii="仿宋_GB2312" w:eastAsia="仿宋_GB2312"/>
          <w:b/>
          <w:sz w:val="32"/>
          <w:szCs w:val="32"/>
        </w:rPr>
        <w:t>因公出国（境）经费支出</w:t>
      </w:r>
      <w:r>
        <w:rPr>
          <w:sz w:val="32"/>
          <w:szCs w:val="32"/>
        </w:rPr>
        <w:t>0</w:t>
      </w:r>
      <w:r>
        <w:rPr>
          <w:rFonts w:hint="eastAsia" w:ascii="仿宋_GB2312" w:eastAsia="仿宋_GB2312"/>
          <w:sz w:val="32"/>
          <w:szCs w:val="32"/>
        </w:rPr>
        <w:t>万元，</w:t>
      </w:r>
      <w:r>
        <w:rPr>
          <w:rStyle w:val="17"/>
          <w:rFonts w:hint="eastAsia" w:ascii="仿宋" w:hAnsi="仿宋" w:eastAsia="仿宋"/>
          <w:b w:val="0"/>
          <w:bCs/>
          <w:sz w:val="32"/>
          <w:szCs w:val="32"/>
        </w:rPr>
        <w:t>完成预算</w:t>
      </w:r>
      <w:r>
        <w:rPr>
          <w:sz w:val="32"/>
          <w:szCs w:val="32"/>
        </w:rPr>
        <w:t>0</w:t>
      </w:r>
      <w:r>
        <w:rPr>
          <w:rStyle w:val="17"/>
          <w:rFonts w:ascii="仿宋" w:hAnsi="仿宋" w:eastAsia="仿宋"/>
          <w:b w:val="0"/>
          <w:bCs/>
          <w:sz w:val="32"/>
          <w:szCs w:val="32"/>
        </w:rPr>
        <w:t>%</w:t>
      </w:r>
      <w:r>
        <w:rPr>
          <w:rStyle w:val="17"/>
          <w:rFonts w:hint="eastAsia" w:ascii="仿宋" w:hAnsi="仿宋" w:eastAsia="仿宋"/>
          <w:b w:val="0"/>
          <w:bCs/>
          <w:sz w:val="32"/>
          <w:szCs w:val="32"/>
        </w:rPr>
        <w:t>。</w:t>
      </w:r>
      <w:r>
        <w:rPr>
          <w:rFonts w:hint="eastAsia" w:ascii="仿宋_GB2312" w:eastAsia="仿宋_GB2312"/>
          <w:sz w:val="32"/>
          <w:szCs w:val="32"/>
        </w:rPr>
        <w:t>全年安排因公出国（境）团组</w:t>
      </w:r>
      <w:r>
        <w:rPr>
          <w:sz w:val="32"/>
          <w:szCs w:val="32"/>
        </w:rPr>
        <w:t>0</w:t>
      </w:r>
      <w:r>
        <w:rPr>
          <w:rFonts w:hint="eastAsia" w:ascii="仿宋_GB2312" w:eastAsia="仿宋_GB2312"/>
          <w:sz w:val="32"/>
          <w:szCs w:val="32"/>
        </w:rPr>
        <w:t>次，出国（境）</w:t>
      </w:r>
      <w:r>
        <w:rPr>
          <w:sz w:val="32"/>
          <w:szCs w:val="32"/>
        </w:rPr>
        <w:t>0</w:t>
      </w:r>
      <w:r>
        <w:rPr>
          <w:rFonts w:hint="eastAsia" w:ascii="仿宋_GB2312" w:eastAsia="仿宋_GB2312"/>
          <w:sz w:val="32"/>
          <w:szCs w:val="32"/>
        </w:rPr>
        <w:t>人。</w:t>
      </w:r>
    </w:p>
    <w:p w14:paraId="39E57C4A">
      <w:pPr>
        <w:numPr>
          <w:ilvl w:val="0"/>
          <w:numId w:val="0"/>
        </w:numPr>
        <w:spacing w:line="600" w:lineRule="exact"/>
        <w:ind w:firstLine="643" w:firstLineChars="20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sz w:val="32"/>
          <w:szCs w:val="32"/>
        </w:rPr>
        <w:t>0</w:t>
      </w:r>
      <w:r>
        <w:rPr>
          <w:rFonts w:hint="eastAsia" w:ascii="仿宋_GB2312" w:eastAsia="仿宋_GB2312"/>
          <w:sz w:val="32"/>
          <w:szCs w:val="32"/>
        </w:rPr>
        <w:t>万元</w:t>
      </w:r>
      <w:r>
        <w:rPr>
          <w:rFonts w:hint="eastAsia" w:ascii="仿宋_GB2312" w:eastAsia="仿宋_GB2312"/>
          <w:sz w:val="32"/>
          <w:szCs w:val="32"/>
          <w:lang w:eastAsia="zh-CN"/>
        </w:rPr>
        <w:t>，</w:t>
      </w:r>
      <w:r>
        <w:rPr>
          <w:rStyle w:val="17"/>
          <w:rFonts w:hint="eastAsia" w:ascii="仿宋" w:hAnsi="仿宋" w:eastAsia="仿宋"/>
          <w:b w:val="0"/>
          <w:bCs/>
          <w:sz w:val="32"/>
          <w:szCs w:val="32"/>
        </w:rPr>
        <w:t>完成预算</w:t>
      </w:r>
      <w:r>
        <w:rPr>
          <w:sz w:val="32"/>
          <w:szCs w:val="32"/>
        </w:rPr>
        <w:t>0</w:t>
      </w:r>
      <w:r>
        <w:rPr>
          <w:rStyle w:val="17"/>
          <w:rFonts w:ascii="仿宋" w:hAnsi="仿宋" w:eastAsia="仿宋"/>
          <w:b w:val="0"/>
          <w:bCs/>
          <w:sz w:val="32"/>
          <w:szCs w:val="32"/>
        </w:rPr>
        <w:t>%</w:t>
      </w:r>
      <w:r>
        <w:rPr>
          <w:rStyle w:val="17"/>
          <w:rFonts w:hint="eastAsia" w:ascii="仿宋" w:hAnsi="仿宋" w:eastAsia="仿宋"/>
          <w:b w:val="0"/>
          <w:bCs/>
          <w:sz w:val="32"/>
          <w:szCs w:val="32"/>
        </w:rPr>
        <w:t>。</w:t>
      </w:r>
      <w:r>
        <w:rPr>
          <w:rFonts w:hint="eastAsia" w:ascii="仿宋_GB2312" w:hAnsi="仿宋_GB2312" w:eastAsia="仿宋_GB2312"/>
          <w:color w:val="000000"/>
          <w:kern w:val="2"/>
          <w:sz w:val="32"/>
          <w:lang w:val="zh-CN"/>
        </w:rPr>
        <w:t>完成预算0%。</w:t>
      </w:r>
      <w:r>
        <w:rPr>
          <w:rFonts w:hint="eastAsia" w:ascii="仿宋_GB2312" w:hAnsi="Times New Roman" w:eastAsia="仿宋_GB2312"/>
          <w:color w:val="auto"/>
          <w:sz w:val="32"/>
        </w:rPr>
        <w:t>公务用车购置及运行维护费支出决算</w:t>
      </w:r>
      <w:r>
        <w:rPr>
          <w:rFonts w:hint="eastAsia" w:ascii="仿宋_GB2312" w:hAnsi="Times New Roman" w:eastAsia="仿宋_GB2312"/>
          <w:color w:val="auto"/>
          <w:sz w:val="32"/>
          <w:lang w:val="en-US" w:eastAsia="zh-CN"/>
        </w:rPr>
        <w:t>与上年数持平</w:t>
      </w:r>
      <w:r>
        <w:rPr>
          <w:rFonts w:hint="eastAsia" w:ascii="仿宋_GB2312" w:hAnsi="Times New Roman" w:eastAsia="仿宋_GB2312"/>
          <w:color w:val="auto"/>
          <w:sz w:val="32"/>
          <w:lang w:eastAsia="zh-CN"/>
        </w:rPr>
        <w:t>。</w:t>
      </w:r>
    </w:p>
    <w:p w14:paraId="115ECC56">
      <w:pPr>
        <w:spacing w:line="600" w:lineRule="exact"/>
        <w:ind w:firstLine="640"/>
        <w:rPr>
          <w:rFonts w:hint="eastAsia" w:ascii="仿宋_GB2312" w:hAnsi="Times New Roman" w:eastAsia="仿宋_GB2312"/>
          <w:color w:val="auto"/>
          <w:sz w:val="32"/>
          <w:lang w:eastAsia="zh-CN"/>
        </w:rPr>
      </w:pPr>
      <w:r>
        <w:rPr>
          <w:rFonts w:hint="eastAsia" w:ascii="仿宋_GB2312" w:eastAsia="仿宋_GB2312"/>
          <w:b/>
          <w:sz w:val="32"/>
          <w:szCs w:val="32"/>
        </w:rPr>
        <w:t>公务用车运行维护费支出</w:t>
      </w:r>
      <w:r>
        <w:rPr>
          <w:sz w:val="32"/>
          <w:szCs w:val="32"/>
        </w:rPr>
        <w:t>0</w:t>
      </w:r>
      <w:r>
        <w:rPr>
          <w:rFonts w:hint="eastAsia" w:ascii="仿宋_GB2312" w:eastAsia="仿宋_GB2312"/>
          <w:sz w:val="32"/>
          <w:szCs w:val="32"/>
        </w:rPr>
        <w:t>万元。</w:t>
      </w:r>
      <w:r>
        <w:rPr>
          <w:rFonts w:hint="eastAsia" w:ascii="仿宋_GB2312" w:hAnsi="仿宋_GB2312" w:eastAsia="仿宋_GB2312"/>
          <w:color w:val="000000"/>
          <w:kern w:val="2"/>
          <w:sz w:val="32"/>
          <w:lang w:val="zh-CN"/>
        </w:rPr>
        <w:t>完成预算0%。</w:t>
      </w:r>
      <w:r>
        <w:rPr>
          <w:rFonts w:hint="eastAsia" w:ascii="仿宋_GB2312" w:hAnsi="Times New Roman" w:eastAsia="仿宋_GB2312"/>
          <w:color w:val="auto"/>
          <w:sz w:val="32"/>
        </w:rPr>
        <w:t>公务用车购置及运行维护费支出决算</w:t>
      </w:r>
      <w:r>
        <w:rPr>
          <w:rFonts w:hint="eastAsia" w:ascii="仿宋_GB2312" w:hAnsi="Times New Roman" w:eastAsia="仿宋_GB2312"/>
          <w:color w:val="auto"/>
          <w:sz w:val="32"/>
          <w:lang w:val="en-US" w:eastAsia="zh-CN"/>
        </w:rPr>
        <w:t>与上年数持平</w:t>
      </w:r>
      <w:r>
        <w:rPr>
          <w:rFonts w:hint="eastAsia" w:ascii="仿宋_GB2312" w:hAnsi="Times New Roman" w:eastAsia="仿宋_GB2312"/>
          <w:color w:val="auto"/>
          <w:sz w:val="32"/>
          <w:lang w:eastAsia="zh-CN"/>
        </w:rPr>
        <w:t>。</w:t>
      </w:r>
    </w:p>
    <w:p w14:paraId="736540BA">
      <w:pPr>
        <w:keepNext/>
        <w:keepLines/>
        <w:spacing w:beforeLines="0" w:afterLines="0" w:line="576" w:lineRule="exact"/>
        <w:ind w:firstLine="640"/>
        <w:jc w:val="both"/>
        <w:rPr>
          <w:rFonts w:hint="eastAsia" w:ascii="仿宋_GB2312" w:hAnsi="仿宋_GB2312" w:eastAsia="仿宋_GB2312"/>
          <w:color w:val="000000"/>
          <w:kern w:val="2"/>
          <w:sz w:val="32"/>
          <w:lang w:val="zh-CN"/>
        </w:rPr>
      </w:pPr>
      <w:r>
        <w:rPr>
          <w:rFonts w:ascii="仿宋_GB2312" w:eastAsia="仿宋_GB2312"/>
          <w:b/>
          <w:sz w:val="32"/>
          <w:szCs w:val="32"/>
        </w:rPr>
        <w:t>3.</w:t>
      </w:r>
      <w:r>
        <w:rPr>
          <w:rFonts w:hint="eastAsia" w:ascii="仿宋_GB2312" w:eastAsia="仿宋_GB2312"/>
          <w:b/>
          <w:sz w:val="32"/>
          <w:szCs w:val="32"/>
        </w:rPr>
        <w:t>公务接待费支出</w:t>
      </w:r>
      <w:r>
        <w:rPr>
          <w:sz w:val="32"/>
          <w:szCs w:val="32"/>
        </w:rPr>
        <w:t>2.21</w:t>
      </w:r>
      <w:r>
        <w:rPr>
          <w:rFonts w:hint="eastAsia" w:ascii="仿宋_GB2312" w:eastAsia="仿宋_GB2312"/>
          <w:sz w:val="32"/>
          <w:szCs w:val="32"/>
        </w:rPr>
        <w:t>万元，</w:t>
      </w:r>
      <w:r>
        <w:rPr>
          <w:rStyle w:val="17"/>
          <w:rFonts w:hint="eastAsia" w:ascii="仿宋" w:hAnsi="仿宋" w:eastAsia="仿宋"/>
          <w:b w:val="0"/>
          <w:bCs/>
          <w:sz w:val="32"/>
          <w:szCs w:val="32"/>
        </w:rPr>
        <w:t>完成预算</w:t>
      </w:r>
      <w:r>
        <w:rPr>
          <w:sz w:val="32"/>
          <w:szCs w:val="32"/>
        </w:rPr>
        <w:t>100%</w:t>
      </w:r>
      <w:r>
        <w:rPr>
          <w:rStyle w:val="17"/>
          <w:rFonts w:hint="eastAsia" w:ascii="仿宋" w:hAnsi="仿宋" w:eastAsia="仿宋"/>
          <w:b w:val="0"/>
          <w:bCs/>
          <w:sz w:val="32"/>
          <w:szCs w:val="32"/>
        </w:rPr>
        <w:t>。</w:t>
      </w:r>
      <w:r>
        <w:rPr>
          <w:rFonts w:hint="eastAsia" w:ascii="仿宋_GB2312" w:eastAsia="仿宋_GB2312"/>
          <w:sz w:val="32"/>
          <w:szCs w:val="32"/>
        </w:rPr>
        <w:t>公务接待费支出决算比2022年度</w:t>
      </w:r>
      <w:r>
        <w:rPr>
          <w:rFonts w:hint="eastAsia" w:ascii="仿宋_GB2312" w:eastAsia="仿宋_GB2312"/>
          <w:sz w:val="32"/>
          <w:szCs w:val="32"/>
          <w:lang w:eastAsia="zh-CN"/>
        </w:rPr>
        <w:t>增加</w:t>
      </w:r>
      <w:r>
        <w:rPr>
          <w:rFonts w:hint="eastAsia" w:ascii="仿宋" w:hAnsi="仿宋" w:eastAsia="仿宋"/>
          <w:sz w:val="32"/>
          <w:szCs w:val="32"/>
          <w:lang w:val="en-US" w:eastAsia="zh-CN"/>
        </w:rPr>
        <w:t>0.94</w:t>
      </w:r>
      <w:r>
        <w:rPr>
          <w:rFonts w:hint="eastAsia" w:ascii="仿宋" w:hAnsi="仿宋" w:eastAsia="仿宋"/>
          <w:sz w:val="32"/>
          <w:szCs w:val="32"/>
        </w:rPr>
        <w:t>万元，增长</w:t>
      </w:r>
      <w:r>
        <w:rPr>
          <w:rFonts w:hint="eastAsia" w:ascii="仿宋" w:hAnsi="仿宋" w:eastAsia="仿宋"/>
          <w:sz w:val="32"/>
          <w:szCs w:val="32"/>
          <w:lang w:val="en-US" w:eastAsia="zh-CN"/>
        </w:rPr>
        <w:t>74</w:t>
      </w:r>
      <w:r>
        <w:rPr>
          <w:rFonts w:hint="eastAsia" w:ascii="仿宋" w:hAnsi="仿宋" w:eastAsia="仿宋"/>
          <w:sz w:val="32"/>
          <w:szCs w:val="32"/>
        </w:rPr>
        <w:t>%。</w:t>
      </w:r>
      <w:r>
        <w:rPr>
          <w:rFonts w:hint="eastAsia" w:ascii="仿宋_GB2312" w:hAnsi="仿宋_GB2312" w:eastAsia="仿宋_GB2312"/>
          <w:color w:val="000000"/>
          <w:kern w:val="2"/>
          <w:sz w:val="32"/>
          <w:lang w:val="zh-CN"/>
        </w:rPr>
        <w:t>决算数</w:t>
      </w:r>
      <w:r>
        <w:rPr>
          <w:rFonts w:hint="eastAsia" w:ascii="仿宋_GB2312" w:hAnsi="仿宋_GB2312" w:eastAsia="仿宋_GB2312"/>
          <w:color w:val="000000"/>
          <w:kern w:val="2"/>
          <w:sz w:val="32"/>
          <w:highlight w:val="white"/>
          <w:lang w:val="en-US"/>
        </w:rPr>
        <w:t>与预算数持平</w:t>
      </w:r>
      <w:r>
        <w:rPr>
          <w:rFonts w:hint="eastAsia" w:ascii="仿宋_GB2312" w:hAnsi="仿宋_GB2312" w:eastAsia="仿宋_GB2312"/>
          <w:color w:val="000000"/>
          <w:kern w:val="2"/>
          <w:sz w:val="32"/>
          <w:lang w:val="zh-CN"/>
        </w:rPr>
        <w:t>。</w:t>
      </w:r>
    </w:p>
    <w:p w14:paraId="3AFE9C80">
      <w:pPr>
        <w:spacing w:beforeLines="0" w:afterLines="0" w:line="600" w:lineRule="exact"/>
        <w:ind w:firstLine="640"/>
        <w:rPr>
          <w:rFonts w:ascii="黑体" w:eastAsia="黑体"/>
          <w:sz w:val="32"/>
          <w:szCs w:val="32"/>
        </w:rPr>
      </w:pPr>
      <w:r>
        <w:rPr>
          <w:rFonts w:hint="eastAsia" w:ascii="仿宋" w:hAnsi="仿宋" w:eastAsia="仿宋"/>
          <w:b/>
          <w:sz w:val="32"/>
          <w:szCs w:val="32"/>
        </w:rPr>
        <w:t>国内公务接待支出</w:t>
      </w:r>
      <w:r>
        <w:rPr>
          <w:rFonts w:hint="eastAsia" w:ascii="仿宋" w:hAnsi="仿宋" w:eastAsia="仿宋"/>
          <w:b/>
          <w:sz w:val="32"/>
          <w:szCs w:val="32"/>
          <w:lang w:val="en-US" w:eastAsia="zh-CN"/>
        </w:rPr>
        <w:t>2.21</w:t>
      </w:r>
      <w:r>
        <w:rPr>
          <w:rFonts w:hint="eastAsia" w:ascii="仿宋_GB2312" w:eastAsia="仿宋_GB2312"/>
          <w:sz w:val="32"/>
          <w:szCs w:val="32"/>
        </w:rPr>
        <w:t>万元</w:t>
      </w:r>
      <w:r>
        <w:rPr>
          <w:rFonts w:hint="eastAsia" w:ascii="仿宋_GB2312" w:eastAsia="仿宋_GB2312"/>
          <w:sz w:val="32"/>
          <w:szCs w:val="32"/>
          <w:lang w:eastAsia="zh-CN"/>
        </w:rPr>
        <w:t>，主</w:t>
      </w:r>
      <w:r>
        <w:rPr>
          <w:rFonts w:hint="eastAsia" w:ascii="仿宋_GB2312" w:hAnsi="Times New Roman" w:eastAsia="仿宋_GB2312"/>
          <w:color w:val="000000"/>
          <w:sz w:val="32"/>
        </w:rPr>
        <w:t>要用于出席会议、考察调研、学习交流、检察指导、请示汇报工作等公务活动。</w:t>
      </w:r>
      <w:r>
        <w:rPr>
          <w:rFonts w:hint="eastAsia" w:ascii="仿宋_GB2312" w:eastAsia="仿宋_GB2312"/>
          <w:color w:val="000000"/>
          <w:sz w:val="32"/>
          <w:lang w:eastAsia="zh-CN"/>
        </w:rPr>
        <w:t>（</w:t>
      </w:r>
      <w:r>
        <w:rPr>
          <w:rFonts w:hint="eastAsia" w:ascii="仿宋_GB2312" w:hAnsi="Times New Roman" w:eastAsia="仿宋_GB2312"/>
          <w:color w:val="000000"/>
          <w:sz w:val="32"/>
        </w:rPr>
        <w:t>执行公务、开展业务活动开支的交通费、住宿费、用餐费等</w:t>
      </w:r>
      <w:r>
        <w:rPr>
          <w:rFonts w:hint="eastAsia" w:ascii="仿宋_GB2312" w:eastAsia="仿宋_GB2312"/>
          <w:color w:val="000000"/>
          <w:sz w:val="32"/>
          <w:lang w:eastAsia="zh-CN"/>
        </w:rPr>
        <w:t>）</w:t>
      </w:r>
      <w:r>
        <w:rPr>
          <w:rFonts w:hint="eastAsia" w:ascii="仿宋_GB2312" w:hAnsi="Times New Roman" w:eastAsia="仿宋_GB2312"/>
          <w:color w:val="000000"/>
          <w:sz w:val="32"/>
        </w:rPr>
        <w:t>。国内公务接待</w:t>
      </w:r>
      <w:r>
        <w:rPr>
          <w:rFonts w:hint="eastAsia" w:ascii="仿宋_GB2312" w:hAnsi="Times New Roman" w:eastAsia="仿宋_GB2312"/>
          <w:color w:val="000000"/>
          <w:sz w:val="32"/>
          <w:lang w:val="en-US" w:eastAsia="zh-CN"/>
        </w:rPr>
        <w:t>182</w:t>
      </w:r>
      <w:r>
        <w:rPr>
          <w:rFonts w:hint="eastAsia" w:ascii="仿宋_GB2312" w:hAnsi="Times New Roman" w:eastAsia="仿宋_GB2312"/>
          <w:color w:val="000000"/>
          <w:sz w:val="32"/>
        </w:rPr>
        <w:t>批次，</w:t>
      </w:r>
      <w:r>
        <w:rPr>
          <w:rFonts w:hint="eastAsia" w:ascii="仿宋_GB2312" w:hAnsi="Times New Roman" w:eastAsia="仿宋_GB2312"/>
          <w:color w:val="000000"/>
          <w:sz w:val="32"/>
          <w:lang w:val="en-US" w:eastAsia="zh-CN"/>
        </w:rPr>
        <w:t>420</w:t>
      </w:r>
      <w:r>
        <w:rPr>
          <w:rFonts w:hint="eastAsia" w:ascii="仿宋_GB2312" w:hAnsi="Times New Roman" w:eastAsia="仿宋_GB2312"/>
          <w:color w:val="000000"/>
          <w:sz w:val="32"/>
        </w:rPr>
        <w:t>人次（不包括陪同人员）</w:t>
      </w:r>
      <w:bookmarkStart w:id="42" w:name="_Toc15396610"/>
      <w:bookmarkStart w:id="43" w:name="_Toc15377218"/>
    </w:p>
    <w:p w14:paraId="26799E46">
      <w:pPr>
        <w:spacing w:line="600" w:lineRule="exact"/>
        <w:ind w:firstLine="640"/>
        <w:outlineLvl w:val="1"/>
        <w:rPr>
          <w:rStyle w:val="29"/>
          <w:rFonts w:ascii="黑体" w:hAnsi="黑体" w:eastAsia="黑体"/>
        </w:rPr>
      </w:pPr>
      <w:r>
        <w:rPr>
          <w:rFonts w:hint="eastAsia" w:ascii="黑体" w:eastAsia="黑体"/>
          <w:sz w:val="32"/>
          <w:szCs w:val="32"/>
        </w:rPr>
        <w:t>八、</w:t>
      </w:r>
      <w:r>
        <w:rPr>
          <w:rStyle w:val="29"/>
          <w:rFonts w:hint="eastAsia" w:ascii="黑体" w:hAnsi="黑体" w:eastAsia="黑体"/>
          <w:b w:val="0"/>
        </w:rPr>
        <w:t>政府性基金预算支出决算情况说明</w:t>
      </w:r>
      <w:bookmarkEnd w:id="42"/>
      <w:bookmarkEnd w:id="43"/>
    </w:p>
    <w:p w14:paraId="65B02BE9">
      <w:pPr>
        <w:spacing w:line="600" w:lineRule="exact"/>
        <w:ind w:firstLine="640"/>
        <w:rPr>
          <w:rFonts w:ascii="仿宋_GB2312" w:eastAsia="仿宋_GB2312"/>
          <w:sz w:val="32"/>
          <w:szCs w:val="32"/>
        </w:rPr>
      </w:pPr>
      <w:r>
        <w:rPr>
          <w:rFonts w:hint="eastAsia" w:ascii="仿宋_GB2312" w:eastAsia="仿宋_GB2312"/>
          <w:sz w:val="32"/>
          <w:szCs w:val="32"/>
        </w:rPr>
        <w:t>2023年度政府性基金预算财政拨款支出</w:t>
      </w:r>
      <w:r>
        <w:rPr>
          <w:sz w:val="32"/>
          <w:szCs w:val="32"/>
        </w:rPr>
        <w:t>139.93</w:t>
      </w:r>
      <w:r>
        <w:rPr>
          <w:rFonts w:hint="eastAsia" w:ascii="仿宋_GB2312" w:eastAsia="仿宋_GB2312"/>
          <w:sz w:val="32"/>
          <w:szCs w:val="32"/>
        </w:rPr>
        <w:t>万元。</w:t>
      </w:r>
    </w:p>
    <w:p w14:paraId="78916139">
      <w:pPr>
        <w:spacing w:line="600" w:lineRule="exact"/>
        <w:ind w:firstLine="640"/>
        <w:rPr>
          <w:rFonts w:ascii="仿宋_GB2312" w:eastAsia="仿宋_GB2312"/>
          <w:sz w:val="32"/>
          <w:szCs w:val="32"/>
        </w:rPr>
      </w:pPr>
    </w:p>
    <w:p w14:paraId="01EB0264">
      <w:pPr>
        <w:numPr>
          <w:ilvl w:val="0"/>
          <w:numId w:val="5"/>
        </w:numPr>
        <w:spacing w:line="600" w:lineRule="exact"/>
        <w:ind w:firstLine="640"/>
        <w:outlineLvl w:val="1"/>
        <w:rPr>
          <w:rStyle w:val="29"/>
          <w:rFonts w:ascii="黑体" w:hAnsi="黑体" w:eastAsia="黑体"/>
          <w:b w:val="0"/>
        </w:rPr>
      </w:pPr>
      <w:bookmarkStart w:id="44" w:name="_Toc15377219"/>
      <w:bookmarkStart w:id="45" w:name="_Toc15396611"/>
      <w:r>
        <w:rPr>
          <w:rStyle w:val="29"/>
          <w:rFonts w:hint="eastAsia" w:ascii="黑体" w:hAnsi="黑体" w:eastAsia="黑体"/>
          <w:b w:val="0"/>
        </w:rPr>
        <w:t>国有资本经营预算支出决算情况说明</w:t>
      </w:r>
      <w:bookmarkEnd w:id="44"/>
      <w:bookmarkEnd w:id="45"/>
    </w:p>
    <w:p w14:paraId="2F974771">
      <w:pPr>
        <w:spacing w:line="600" w:lineRule="exact"/>
        <w:ind w:firstLine="640"/>
        <w:rPr>
          <w:rFonts w:ascii="仿宋_GB2312" w:eastAsia="仿宋_GB2312"/>
          <w:sz w:val="32"/>
          <w:szCs w:val="32"/>
        </w:rPr>
      </w:pPr>
      <w:r>
        <w:rPr>
          <w:rFonts w:hint="eastAsia" w:ascii="仿宋_GB2312" w:eastAsia="仿宋_GB2312"/>
          <w:sz w:val="32"/>
          <w:szCs w:val="32"/>
        </w:rPr>
        <w:t>2023年度国有资本经营预算财政拨款支出</w:t>
      </w:r>
      <w:r>
        <w:rPr>
          <w:sz w:val="32"/>
          <w:szCs w:val="32"/>
        </w:rPr>
        <w:t>0</w:t>
      </w:r>
      <w:r>
        <w:rPr>
          <w:rFonts w:hint="eastAsia" w:ascii="仿宋_GB2312" w:eastAsia="仿宋_GB2312"/>
          <w:sz w:val="32"/>
          <w:szCs w:val="32"/>
        </w:rPr>
        <w:t>万元。</w:t>
      </w:r>
    </w:p>
    <w:p w14:paraId="7FDFA04A">
      <w:pPr>
        <w:spacing w:line="580" w:lineRule="exact"/>
        <w:jc w:val="center"/>
        <w:rPr>
          <w:rFonts w:ascii="方正小标宋简体" w:hAnsi="方正小标宋简体" w:eastAsia="方正小标宋简体" w:cs="方正小标宋简体"/>
          <w:sz w:val="44"/>
          <w:szCs w:val="44"/>
        </w:rPr>
      </w:pPr>
    </w:p>
    <w:p w14:paraId="549D6C8A">
      <w:pPr>
        <w:numPr>
          <w:ilvl w:val="0"/>
          <w:numId w:val="5"/>
        </w:numPr>
        <w:spacing w:line="600" w:lineRule="exact"/>
        <w:ind w:firstLine="640"/>
        <w:outlineLvl w:val="1"/>
        <w:rPr>
          <w:rStyle w:val="29"/>
          <w:rFonts w:ascii="黑体" w:hAnsi="黑体" w:eastAsia="黑体"/>
          <w:b w:val="0"/>
        </w:rPr>
      </w:pPr>
      <w:bookmarkStart w:id="46" w:name="_Toc15377221"/>
      <w:bookmarkStart w:id="47" w:name="_Toc15396612"/>
      <w:r>
        <w:rPr>
          <w:rStyle w:val="29"/>
          <w:rFonts w:hint="eastAsia" w:ascii="黑体" w:hAnsi="黑体" w:eastAsia="黑体"/>
          <w:b w:val="0"/>
        </w:rPr>
        <w:t>其他重要事项的情况说明</w:t>
      </w:r>
      <w:bookmarkEnd w:id="46"/>
      <w:bookmarkEnd w:id="47"/>
    </w:p>
    <w:p w14:paraId="4F2E34C0">
      <w:pPr>
        <w:spacing w:line="600" w:lineRule="exact"/>
        <w:ind w:firstLine="643" w:firstLineChars="200"/>
        <w:outlineLvl w:val="2"/>
        <w:rPr>
          <w:rFonts w:ascii="仿宋" w:hAnsi="仿宋" w:eastAsia="仿宋"/>
          <w:sz w:val="32"/>
          <w:szCs w:val="32"/>
        </w:rPr>
      </w:pPr>
      <w:bookmarkStart w:id="48" w:name="_Toc15377222"/>
      <w:r>
        <w:rPr>
          <w:rFonts w:hint="eastAsia" w:ascii="仿宋" w:hAnsi="仿宋" w:eastAsia="仿宋"/>
          <w:b/>
          <w:sz w:val="32"/>
          <w:szCs w:val="32"/>
        </w:rPr>
        <w:t>（一）机关运行经费支出情况</w:t>
      </w:r>
      <w:bookmarkEnd w:id="48"/>
    </w:p>
    <w:p w14:paraId="1D58C3CA">
      <w:pPr>
        <w:spacing w:line="600" w:lineRule="exact"/>
        <w:ind w:firstLine="640" w:firstLineChars="200"/>
        <w:rPr>
          <w:rFonts w:ascii="仿宋_GB2312" w:eastAsia="仿宋_GB2312"/>
          <w:sz w:val="32"/>
          <w:szCs w:val="32"/>
        </w:rPr>
      </w:pPr>
      <w:r>
        <w:rPr>
          <w:rFonts w:hint="eastAsia" w:ascii="仿宋_GB2312" w:eastAsia="仿宋_GB2312"/>
          <w:sz w:val="32"/>
          <w:szCs w:val="32"/>
        </w:rPr>
        <w:t>2023年度，</w:t>
      </w:r>
      <w:r>
        <w:rPr>
          <w:rFonts w:hint="eastAsia"/>
          <w:sz w:val="32"/>
          <w:szCs w:val="32"/>
        </w:rPr>
        <w:t>峨边彝族自治县人大常委会办公室</w:t>
      </w:r>
      <w:r>
        <w:rPr>
          <w:rFonts w:hint="eastAsia" w:ascii="仿宋_GB2312" w:eastAsia="仿宋_GB2312"/>
          <w:sz w:val="32"/>
          <w:szCs w:val="32"/>
        </w:rPr>
        <w:t>机关运行经费支出</w:t>
      </w:r>
      <w:r>
        <w:rPr>
          <w:sz w:val="32"/>
          <w:szCs w:val="32"/>
        </w:rPr>
        <w:t>171.25</w:t>
      </w:r>
      <w:r>
        <w:rPr>
          <w:rFonts w:hint="eastAsia" w:ascii="仿宋_GB2312" w:eastAsia="仿宋_GB2312"/>
          <w:sz w:val="32"/>
          <w:szCs w:val="32"/>
        </w:rPr>
        <w:t>万元，比2022年度减少</w:t>
      </w:r>
      <w:r>
        <w:rPr>
          <w:rFonts w:hint="eastAsia" w:ascii="仿宋_GB2312" w:eastAsia="仿宋_GB2312"/>
          <w:sz w:val="32"/>
          <w:szCs w:val="32"/>
          <w:lang w:val="en-US" w:eastAsia="zh-CN"/>
        </w:rPr>
        <w:t>4.32</w:t>
      </w:r>
      <w:r>
        <w:rPr>
          <w:rFonts w:hint="eastAsia" w:ascii="仿宋_GB2312" w:eastAsia="仿宋_GB2312"/>
          <w:sz w:val="32"/>
          <w:szCs w:val="32"/>
        </w:rPr>
        <w:t>万元，下降</w:t>
      </w:r>
      <w:r>
        <w:rPr>
          <w:rFonts w:hint="eastAsia" w:ascii="仿宋_GB2312" w:eastAsia="仿宋_GB2312"/>
          <w:sz w:val="32"/>
          <w:szCs w:val="32"/>
          <w:lang w:val="en-US" w:eastAsia="zh-CN"/>
        </w:rPr>
        <w:t>2</w:t>
      </w:r>
      <w:r>
        <w:rPr>
          <w:rFonts w:ascii="仿宋_GB2312" w:eastAsia="仿宋_GB2312"/>
          <w:sz w:val="32"/>
          <w:szCs w:val="32"/>
        </w:rPr>
        <w:t>%</w:t>
      </w:r>
      <w:r>
        <w:rPr>
          <w:rFonts w:hint="eastAsia" w:ascii="仿宋_GB2312" w:eastAsia="仿宋_GB2312"/>
          <w:sz w:val="32"/>
          <w:szCs w:val="32"/>
        </w:rPr>
        <w:t>（或与202</w:t>
      </w:r>
      <w:r>
        <w:rPr>
          <w:rFonts w:hint="eastAsia" w:ascii="仿宋_GB2312" w:eastAsia="仿宋_GB2312"/>
          <w:sz w:val="32"/>
          <w:szCs w:val="32"/>
          <w:lang w:val="en-US" w:eastAsia="zh-CN"/>
        </w:rPr>
        <w:t>3</w:t>
      </w:r>
      <w:r>
        <w:rPr>
          <w:rFonts w:hint="eastAsia" w:ascii="仿宋_GB2312" w:eastAsia="仿宋_GB2312"/>
          <w:sz w:val="32"/>
          <w:szCs w:val="32"/>
        </w:rPr>
        <w:t>年度决算数持平）。主要原因是</w:t>
      </w:r>
      <w:r>
        <w:rPr>
          <w:rFonts w:hint="eastAsia" w:ascii="仿宋_GB2312" w:eastAsia="仿宋_GB2312"/>
          <w:sz w:val="32"/>
          <w:szCs w:val="32"/>
          <w:lang w:val="en-US" w:eastAsia="zh-CN"/>
        </w:rPr>
        <w:t>运行经费压紧开支</w:t>
      </w:r>
      <w:r>
        <w:rPr>
          <w:rFonts w:hint="eastAsia" w:ascii="仿宋_GB2312" w:eastAsia="仿宋_GB2312"/>
          <w:sz w:val="32"/>
          <w:szCs w:val="32"/>
        </w:rPr>
        <w:t>。</w:t>
      </w:r>
    </w:p>
    <w:p w14:paraId="31187111">
      <w:pPr>
        <w:spacing w:line="600" w:lineRule="exact"/>
        <w:ind w:firstLine="643" w:firstLineChars="200"/>
        <w:rPr>
          <w:rFonts w:ascii="仿宋" w:hAnsi="仿宋" w:eastAsia="仿宋"/>
          <w:b/>
          <w:sz w:val="32"/>
          <w:szCs w:val="32"/>
        </w:rPr>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w:t>
      </w:r>
    </w:p>
    <w:p w14:paraId="4854A007">
      <w:pPr>
        <w:autoSpaceDE w:val="0"/>
        <w:autoSpaceDN w:val="0"/>
        <w:adjustRightInd w:val="0"/>
        <w:spacing w:line="600" w:lineRule="exact"/>
        <w:ind w:firstLine="643" w:firstLineChars="200"/>
        <w:jc w:val="left"/>
        <w:outlineLvl w:val="2"/>
        <w:rPr>
          <w:rFonts w:ascii="仿宋" w:hAnsi="仿宋" w:eastAsia="仿宋"/>
          <w:b/>
          <w:sz w:val="32"/>
          <w:szCs w:val="32"/>
        </w:rPr>
      </w:pPr>
      <w:bookmarkStart w:id="49" w:name="_Toc15377223"/>
      <w:r>
        <w:rPr>
          <w:rFonts w:hint="eastAsia" w:ascii="仿宋" w:hAnsi="仿宋" w:eastAsia="仿宋"/>
          <w:b/>
          <w:sz w:val="32"/>
          <w:szCs w:val="32"/>
        </w:rPr>
        <w:t>（二）政府采购支出情况</w:t>
      </w:r>
      <w:bookmarkEnd w:id="49"/>
    </w:p>
    <w:p w14:paraId="559002B9">
      <w:pPr>
        <w:spacing w:line="600" w:lineRule="exact"/>
        <w:ind w:firstLine="640" w:firstLineChars="200"/>
        <w:rPr>
          <w:rFonts w:ascii="仿宋_GB2312" w:eastAsia="仿宋_GB2312"/>
          <w:sz w:val="32"/>
          <w:szCs w:val="32"/>
        </w:rPr>
      </w:pPr>
      <w:r>
        <w:rPr>
          <w:rFonts w:hint="eastAsia" w:ascii="仿宋_GB2312" w:eastAsia="仿宋_GB2312"/>
          <w:sz w:val="32"/>
          <w:szCs w:val="32"/>
        </w:rPr>
        <w:t>2023年度，</w:t>
      </w:r>
      <w:r>
        <w:rPr>
          <w:rFonts w:hint="eastAsia"/>
          <w:sz w:val="32"/>
          <w:szCs w:val="32"/>
        </w:rPr>
        <w:t>峨边彝族自治县人大常委会办公室</w:t>
      </w:r>
      <w:r>
        <w:rPr>
          <w:rFonts w:hint="eastAsia" w:ascii="仿宋_GB2312" w:eastAsia="仿宋_GB2312"/>
          <w:sz w:val="32"/>
          <w:szCs w:val="32"/>
        </w:rPr>
        <w:t>政府采购支出总额</w:t>
      </w:r>
      <w:r>
        <w:rPr>
          <w:sz w:val="32"/>
          <w:szCs w:val="32"/>
        </w:rPr>
        <w:t>0</w:t>
      </w:r>
      <w:r>
        <w:rPr>
          <w:rFonts w:hint="eastAsia" w:ascii="仿宋_GB2312" w:eastAsia="仿宋_GB2312"/>
          <w:sz w:val="32"/>
          <w:szCs w:val="32"/>
        </w:rPr>
        <w:t>万元，其中：政府采购货物支出</w:t>
      </w:r>
      <w:r>
        <w:rPr>
          <w:sz w:val="32"/>
          <w:szCs w:val="32"/>
        </w:rPr>
        <w:t>0</w:t>
      </w:r>
      <w:r>
        <w:rPr>
          <w:rFonts w:hint="eastAsia" w:ascii="仿宋_GB2312" w:eastAsia="仿宋_GB2312"/>
          <w:sz w:val="32"/>
          <w:szCs w:val="32"/>
        </w:rPr>
        <w:t>万元、政府采购工程支出</w:t>
      </w:r>
      <w:r>
        <w:rPr>
          <w:sz w:val="32"/>
          <w:szCs w:val="32"/>
        </w:rPr>
        <w:t>0</w:t>
      </w:r>
      <w:r>
        <w:rPr>
          <w:rFonts w:hint="eastAsia" w:ascii="仿宋_GB2312" w:eastAsia="仿宋_GB2312"/>
          <w:sz w:val="32"/>
          <w:szCs w:val="32"/>
        </w:rPr>
        <w:t>万元、政府采购服务支出</w:t>
      </w:r>
      <w:r>
        <w:rPr>
          <w:sz w:val="32"/>
          <w:szCs w:val="32"/>
        </w:rPr>
        <w:t>0</w:t>
      </w:r>
      <w:r>
        <w:rPr>
          <w:rFonts w:hint="eastAsia" w:ascii="仿宋_GB2312" w:eastAsia="仿宋_GB2312"/>
          <w:sz w:val="32"/>
          <w:szCs w:val="32"/>
        </w:rPr>
        <w:t>万元。主要用于</w:t>
      </w:r>
      <w:r>
        <w:rPr>
          <w:rFonts w:ascii="仿宋_GB2312" w:eastAsia="仿宋_GB2312"/>
          <w:sz w:val="32"/>
          <w:szCs w:val="32"/>
        </w:rPr>
        <w:t>…</w:t>
      </w:r>
      <w:r>
        <w:rPr>
          <w:rFonts w:hint="eastAsia" w:ascii="仿宋_GB2312" w:eastAsia="仿宋_GB2312"/>
          <w:sz w:val="32"/>
          <w:szCs w:val="32"/>
        </w:rPr>
        <w:t>（具体工作）。授予中小企业合同金额</w:t>
      </w:r>
      <w:r>
        <w:rPr>
          <w:sz w:val="32"/>
          <w:szCs w:val="32"/>
        </w:rPr>
        <w:t>0</w:t>
      </w:r>
      <w:r>
        <w:rPr>
          <w:rFonts w:hint="eastAsia" w:ascii="仿宋_GB2312" w:eastAsia="仿宋_GB2312"/>
          <w:sz w:val="32"/>
          <w:szCs w:val="32"/>
        </w:rPr>
        <w:t>万元，占政府采购支出总额的</w:t>
      </w:r>
      <w:r>
        <w:rPr>
          <w:sz w:val="32"/>
          <w:szCs w:val="32"/>
        </w:rPr>
        <w:t>0</w:t>
      </w:r>
      <w:r>
        <w:rPr>
          <w:rFonts w:ascii="仿宋_GB2312" w:eastAsia="仿宋_GB2312"/>
          <w:sz w:val="32"/>
          <w:szCs w:val="32"/>
        </w:rPr>
        <w:t>%</w:t>
      </w:r>
      <w:r>
        <w:rPr>
          <w:rFonts w:hint="eastAsia" w:ascii="仿宋_GB2312" w:eastAsia="仿宋_GB2312"/>
          <w:sz w:val="32"/>
          <w:szCs w:val="32"/>
        </w:rPr>
        <w:t>，其中：授予小微企业合同金额</w:t>
      </w:r>
      <w:r>
        <w:rPr>
          <w:sz w:val="32"/>
          <w:szCs w:val="32"/>
        </w:rPr>
        <w:t>0</w:t>
      </w:r>
      <w:r>
        <w:rPr>
          <w:rFonts w:hint="eastAsia" w:ascii="仿宋_GB2312" w:eastAsia="仿宋_GB2312"/>
          <w:sz w:val="32"/>
          <w:szCs w:val="32"/>
        </w:rPr>
        <w:t>万元，占政府采购支出总额的</w:t>
      </w:r>
      <w:r>
        <w:rPr>
          <w:sz w:val="32"/>
          <w:szCs w:val="32"/>
        </w:rPr>
        <w:t>0</w:t>
      </w:r>
      <w:r>
        <w:rPr>
          <w:rFonts w:ascii="仿宋_GB2312" w:eastAsia="仿宋_GB2312"/>
          <w:sz w:val="32"/>
          <w:szCs w:val="32"/>
        </w:rPr>
        <w:t>%</w:t>
      </w:r>
      <w:r>
        <w:rPr>
          <w:rFonts w:hint="eastAsia" w:ascii="仿宋_GB2312" w:eastAsia="仿宋_GB2312"/>
          <w:sz w:val="32"/>
          <w:szCs w:val="32"/>
        </w:rPr>
        <w:t>。</w:t>
      </w:r>
    </w:p>
    <w:p w14:paraId="7C5C6504">
      <w:pPr>
        <w:spacing w:line="600" w:lineRule="exact"/>
        <w:ind w:firstLine="643" w:firstLineChars="200"/>
        <w:rPr>
          <w:rFonts w:ascii="仿宋" w:hAnsi="仿宋" w:eastAsia="仿宋"/>
          <w:b/>
          <w:sz w:val="32"/>
          <w:szCs w:val="32"/>
        </w:rPr>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w:t>
      </w:r>
    </w:p>
    <w:p w14:paraId="401EF4FD">
      <w:pPr>
        <w:autoSpaceDE w:val="0"/>
        <w:autoSpaceDN w:val="0"/>
        <w:adjustRightInd w:val="0"/>
        <w:spacing w:line="600" w:lineRule="exact"/>
        <w:ind w:firstLine="643" w:firstLineChars="200"/>
        <w:jc w:val="left"/>
        <w:outlineLvl w:val="2"/>
        <w:rPr>
          <w:rFonts w:ascii="仿宋" w:hAnsi="仿宋" w:eastAsia="仿宋"/>
          <w:b/>
          <w:sz w:val="32"/>
          <w:szCs w:val="32"/>
        </w:rPr>
      </w:pPr>
      <w:bookmarkStart w:id="50" w:name="_Toc15377224"/>
      <w:r>
        <w:rPr>
          <w:rFonts w:hint="eastAsia" w:ascii="仿宋" w:hAnsi="仿宋" w:eastAsia="仿宋"/>
          <w:b/>
          <w:sz w:val="32"/>
          <w:szCs w:val="32"/>
        </w:rPr>
        <w:t>（三）国有资产占有使用情况</w:t>
      </w:r>
      <w:bookmarkEnd w:id="50"/>
    </w:p>
    <w:p w14:paraId="341D473A">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截至2023年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hint="eastAsia"/>
          <w:sz w:val="32"/>
          <w:szCs w:val="32"/>
        </w:rPr>
        <w:t>峨边彝族自治县人大常委会办公室</w:t>
      </w:r>
      <w:r>
        <w:rPr>
          <w:rFonts w:hint="eastAsia" w:ascii="仿宋_GB2312" w:eastAsia="仿宋_GB2312"/>
          <w:sz w:val="32"/>
          <w:szCs w:val="32"/>
        </w:rPr>
        <w:t>共有车辆</w:t>
      </w:r>
      <w:r>
        <w:rPr>
          <w:rFonts w:ascii="仿宋_GB2312" w:eastAsia="仿宋_GB2312"/>
          <w:sz w:val="32"/>
          <w:szCs w:val="32"/>
        </w:rPr>
        <w:t>0</w:t>
      </w:r>
      <w:r>
        <w:rPr>
          <w:rFonts w:hint="eastAsia" w:ascii="仿宋_GB2312" w:eastAsia="仿宋_GB2312"/>
          <w:sz w:val="32"/>
          <w:szCs w:val="32"/>
        </w:rPr>
        <w:t>辆，其中：主要领导干部用车</w:t>
      </w:r>
      <w:r>
        <w:rPr>
          <w:rFonts w:ascii="仿宋_GB2312" w:eastAsia="仿宋_GB2312"/>
          <w:sz w:val="32"/>
          <w:szCs w:val="32"/>
        </w:rPr>
        <w:t>**</w:t>
      </w:r>
      <w:r>
        <w:rPr>
          <w:rFonts w:hint="eastAsia" w:ascii="仿宋_GB2312" w:eastAsia="仿宋_GB2312"/>
          <w:sz w:val="32"/>
          <w:szCs w:val="32"/>
        </w:rPr>
        <w:t>辆、机要通信用车</w:t>
      </w:r>
      <w:r>
        <w:rPr>
          <w:rFonts w:ascii="仿宋_GB2312" w:eastAsia="仿宋_GB2312"/>
          <w:sz w:val="32"/>
          <w:szCs w:val="32"/>
        </w:rPr>
        <w:t>**</w:t>
      </w:r>
      <w:r>
        <w:rPr>
          <w:rFonts w:hint="eastAsia" w:ascii="仿宋_GB2312" w:eastAsia="仿宋_GB2312"/>
          <w:sz w:val="32"/>
          <w:szCs w:val="32"/>
        </w:rPr>
        <w:t>辆、应急保障用车</w:t>
      </w:r>
      <w:r>
        <w:rPr>
          <w:rFonts w:ascii="仿宋_GB2312" w:eastAsia="仿宋_GB2312"/>
          <w:sz w:val="32"/>
          <w:szCs w:val="32"/>
        </w:rPr>
        <w:t>**</w:t>
      </w:r>
      <w:r>
        <w:rPr>
          <w:rFonts w:hint="eastAsia" w:ascii="仿宋_GB2312" w:eastAsia="仿宋_GB2312"/>
          <w:sz w:val="32"/>
          <w:szCs w:val="32"/>
        </w:rPr>
        <w:t>辆、其他用车</w:t>
      </w:r>
      <w:r>
        <w:rPr>
          <w:rFonts w:ascii="仿宋_GB2312" w:eastAsia="仿宋_GB2312"/>
          <w:sz w:val="32"/>
          <w:szCs w:val="32"/>
        </w:rPr>
        <w:t>**</w:t>
      </w:r>
      <w:r>
        <w:rPr>
          <w:rFonts w:hint="eastAsia" w:ascii="仿宋_GB2312" w:eastAsia="仿宋_GB2312"/>
          <w:sz w:val="32"/>
          <w:szCs w:val="32"/>
        </w:rPr>
        <w:t>辆，其他用车主要是用于……。单价</w:t>
      </w:r>
      <w:r>
        <w:rPr>
          <w:rFonts w:ascii="仿宋_GB2312" w:eastAsia="仿宋_GB2312"/>
          <w:sz w:val="32"/>
          <w:szCs w:val="32"/>
        </w:rPr>
        <w:t>100</w:t>
      </w:r>
      <w:r>
        <w:rPr>
          <w:rFonts w:hint="eastAsia" w:ascii="仿宋_GB2312" w:eastAsia="仿宋_GB2312"/>
          <w:sz w:val="32"/>
          <w:szCs w:val="32"/>
        </w:rPr>
        <w:t>万元以上设备（不含车辆）</w:t>
      </w:r>
      <w:r>
        <w:rPr>
          <w:sz w:val="32"/>
          <w:szCs w:val="32"/>
        </w:rPr>
        <w:t>0</w:t>
      </w:r>
      <w:r>
        <w:rPr>
          <w:rFonts w:hint="eastAsia" w:ascii="仿宋_GB2312" w:eastAsia="仿宋_GB2312"/>
          <w:sz w:val="32"/>
          <w:szCs w:val="32"/>
        </w:rPr>
        <w:t>台（套）。</w:t>
      </w:r>
    </w:p>
    <w:p w14:paraId="33E401C8">
      <w:pPr>
        <w:autoSpaceDE w:val="0"/>
        <w:autoSpaceDN w:val="0"/>
        <w:adjustRightInd w:val="0"/>
        <w:spacing w:line="600" w:lineRule="exact"/>
        <w:ind w:firstLine="643" w:firstLineChars="200"/>
        <w:jc w:val="left"/>
        <w:rPr>
          <w:rFonts w:ascii="仿宋" w:hAnsi="仿宋" w:eastAsia="仿宋"/>
          <w:b/>
          <w:sz w:val="32"/>
          <w:szCs w:val="32"/>
        </w:rPr>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表，按部门决算报表填报数据罗列车辆情况）</w:t>
      </w:r>
    </w:p>
    <w:p w14:paraId="17F8D18B">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14:paraId="4717887B">
      <w:pPr>
        <w:spacing w:beforeLines="0" w:afterLines="0" w:line="576" w:lineRule="exact"/>
        <w:ind w:firstLine="640"/>
        <w:jc w:val="both"/>
        <w:rPr>
          <w:rFonts w:hint="eastAsia" w:ascii="仿宋_GB2312" w:hAnsi="仿宋_GB2312" w:eastAsia="仿宋_GB2312"/>
          <w:b/>
          <w:color w:val="000000"/>
          <w:kern w:val="2"/>
          <w:sz w:val="32"/>
          <w:lang w:val="zh-CN"/>
        </w:rPr>
      </w:pPr>
      <w:r>
        <w:rPr>
          <w:rFonts w:hint="eastAsia" w:ascii="仿宋_GB2312" w:hAnsi="仿宋_GB2312" w:eastAsia="仿宋_GB2312"/>
          <w:color w:val="auto"/>
          <w:kern w:val="2"/>
          <w:sz w:val="32"/>
          <w:lang w:val="en-US"/>
        </w:rPr>
        <w:t>根据预算绩效管理要求，本部门在202</w:t>
      </w:r>
      <w:r>
        <w:rPr>
          <w:rFonts w:hint="eastAsia" w:ascii="仿宋_GB2312" w:hAnsi="仿宋_GB2312" w:eastAsia="仿宋_GB2312"/>
          <w:color w:val="auto"/>
          <w:kern w:val="2"/>
          <w:sz w:val="32"/>
          <w:lang w:val="en-US" w:eastAsia="zh-CN"/>
        </w:rPr>
        <w:t>3</w:t>
      </w:r>
      <w:r>
        <w:rPr>
          <w:rFonts w:hint="eastAsia" w:ascii="仿宋_GB2312" w:hAnsi="仿宋_GB2312" w:eastAsia="仿宋_GB2312"/>
          <w:color w:val="auto"/>
          <w:kern w:val="2"/>
          <w:sz w:val="32"/>
          <w:lang w:val="en-US"/>
        </w:rPr>
        <w:t>年度预算编制阶段，组织</w:t>
      </w:r>
      <w:r>
        <w:rPr>
          <w:rFonts w:hint="eastAsia" w:ascii="仿宋_GB2312" w:hAnsi="仿宋_GB2312" w:eastAsia="仿宋_GB2312"/>
          <w:color w:val="auto"/>
          <w:kern w:val="2"/>
          <w:sz w:val="32"/>
          <w:lang w:val="en-US" w:eastAsia="zh-CN"/>
        </w:rPr>
        <w:t>代表工作经费其他巩固脱贫攻坚成果衔接乡村振兴支出等2</w:t>
      </w:r>
      <w:r>
        <w:rPr>
          <w:rFonts w:hint="eastAsia" w:ascii="仿宋_GB2312" w:hAnsi="仿宋_GB2312" w:eastAsia="仿宋_GB2312"/>
          <w:color w:val="auto"/>
          <w:kern w:val="2"/>
          <w:sz w:val="32"/>
          <w:lang w:val="en-US"/>
        </w:rPr>
        <w:t>个项目开展了预算事前绩效评估，对</w:t>
      </w:r>
      <w:r>
        <w:rPr>
          <w:rFonts w:hint="eastAsia" w:ascii="仿宋_GB2312" w:hAnsi="仿宋_GB2312" w:eastAsia="仿宋_GB2312"/>
          <w:color w:val="auto"/>
          <w:kern w:val="2"/>
          <w:sz w:val="32"/>
          <w:lang w:val="en-US" w:eastAsia="zh-CN"/>
        </w:rPr>
        <w:t>2</w:t>
      </w:r>
      <w:r>
        <w:rPr>
          <w:rFonts w:hint="eastAsia" w:ascii="仿宋_GB2312" w:hAnsi="仿宋_GB2312" w:eastAsia="仿宋_GB2312"/>
          <w:color w:val="auto"/>
          <w:kern w:val="2"/>
          <w:sz w:val="32"/>
          <w:lang w:val="en-US"/>
        </w:rPr>
        <w:t>个项目编制了绩效目标，预算执行过程中，选取</w:t>
      </w:r>
      <w:r>
        <w:rPr>
          <w:rFonts w:hint="eastAsia" w:ascii="仿宋_GB2312" w:hAnsi="仿宋_GB2312" w:eastAsia="仿宋_GB2312"/>
          <w:color w:val="auto"/>
          <w:kern w:val="2"/>
          <w:sz w:val="32"/>
          <w:lang w:val="en-US" w:eastAsia="zh-CN"/>
        </w:rPr>
        <w:t>1</w:t>
      </w:r>
      <w:r>
        <w:rPr>
          <w:rFonts w:hint="eastAsia" w:ascii="仿宋_GB2312" w:hAnsi="仿宋_GB2312" w:eastAsia="仿宋_GB2312"/>
          <w:color w:val="auto"/>
          <w:kern w:val="2"/>
          <w:sz w:val="32"/>
          <w:lang w:val="en-US"/>
        </w:rPr>
        <w:t>个项目开展绩效监控。</w:t>
      </w:r>
      <w:r>
        <w:rPr>
          <w:rFonts w:hint="eastAsia" w:ascii="仿宋_GB2312" w:hAnsi="仿宋_GB2312" w:eastAsia="仿宋_GB2312"/>
          <w:color w:val="auto"/>
          <w:kern w:val="2"/>
          <w:sz w:val="32"/>
          <w:lang w:val="en-US" w:eastAsia="zh-CN"/>
        </w:rPr>
        <w:t>组织对2023年度一般公共预算、政府性基金预算、国有资本经营预算、社会保险基金预算以及资本资产、债券资金等全面开展绩效自评，形成2023年部门整体（含部门预算项目）绩效自评报告等专项预算项目绩效自评报告，其中，2023年部门整体（含部门预算项目）绩效自评得分为94分，绩效自评综述：2023年本单位的部门预算编制规范、准确，各项经费足额纳入预算安排，确保了部门正常运转和专项工作的顺利开展，较好地完成了年初目标任务；代表工作经费项目绩效自评得分为98分，绩效自评综述：</w:t>
      </w:r>
      <w:r>
        <w:rPr>
          <w:rFonts w:hint="eastAsia" w:ascii="仿宋_GB2312" w:hAnsi="仿宋_GB2312" w:eastAsia="仿宋_GB2312"/>
          <w:color w:val="auto"/>
          <w:kern w:val="2"/>
          <w:sz w:val="32"/>
          <w:lang w:val="zh-CN" w:eastAsia="zh-CN"/>
        </w:rPr>
        <w:t>项目全年预算数</w:t>
      </w:r>
      <w:r>
        <w:rPr>
          <w:rFonts w:hint="eastAsia" w:ascii="仿宋_GB2312" w:hAnsi="仿宋_GB2312" w:eastAsia="仿宋_GB2312"/>
          <w:color w:val="auto"/>
          <w:kern w:val="2"/>
          <w:sz w:val="32"/>
          <w:lang w:val="en-US" w:eastAsia="zh-CN"/>
        </w:rPr>
        <w:t>3.64</w:t>
      </w:r>
      <w:r>
        <w:rPr>
          <w:rFonts w:hint="eastAsia" w:ascii="仿宋_GB2312" w:hAnsi="仿宋_GB2312" w:eastAsia="仿宋_GB2312"/>
          <w:color w:val="auto"/>
          <w:kern w:val="2"/>
          <w:sz w:val="32"/>
          <w:lang w:val="zh-CN" w:eastAsia="zh-CN"/>
        </w:rPr>
        <w:t>万元，执行数为</w:t>
      </w:r>
      <w:r>
        <w:rPr>
          <w:rFonts w:hint="eastAsia" w:ascii="仿宋_GB2312" w:hAnsi="仿宋_GB2312" w:eastAsia="仿宋_GB2312"/>
          <w:color w:val="auto"/>
          <w:kern w:val="2"/>
          <w:sz w:val="32"/>
          <w:lang w:val="en-US" w:eastAsia="zh-CN"/>
        </w:rPr>
        <w:t>3.64</w:t>
      </w:r>
      <w:r>
        <w:rPr>
          <w:rFonts w:hint="eastAsia" w:ascii="仿宋_GB2312" w:hAnsi="仿宋_GB2312" w:eastAsia="仿宋_GB2312"/>
          <w:color w:val="auto"/>
          <w:kern w:val="2"/>
          <w:sz w:val="32"/>
          <w:lang w:val="zh-CN" w:eastAsia="zh-CN"/>
        </w:rPr>
        <w:t>万元，完成预算的</w:t>
      </w:r>
      <w:r>
        <w:rPr>
          <w:rFonts w:hint="eastAsia" w:ascii="仿宋_GB2312" w:hAnsi="仿宋_GB2312" w:eastAsia="仿宋_GB2312"/>
          <w:color w:val="auto"/>
          <w:kern w:val="2"/>
          <w:sz w:val="32"/>
          <w:lang w:val="en-US" w:eastAsia="zh-CN"/>
        </w:rPr>
        <w:t>100</w:t>
      </w:r>
      <w:r>
        <w:rPr>
          <w:rFonts w:hint="eastAsia" w:ascii="仿宋_GB2312" w:hAnsi="仿宋_GB2312" w:eastAsia="仿宋_GB2312"/>
          <w:color w:val="auto"/>
          <w:kern w:val="2"/>
          <w:sz w:val="32"/>
          <w:lang w:val="zh-CN" w:eastAsia="zh-CN"/>
        </w:rPr>
        <w:t>%。通过项目实施，为全面贯彻落实中央和省市县委的决策部署，坚持党的领导、人民当家作主、依法治国有机统一，强化责任担当，依法履职行权，为助推全县</w:t>
      </w:r>
      <w:r>
        <w:rPr>
          <w:rFonts w:hint="eastAsia" w:ascii="仿宋_GB2312" w:hAnsi="仿宋_GB2312" w:eastAsia="仿宋_GB2312"/>
          <w:color w:val="auto"/>
          <w:kern w:val="2"/>
          <w:sz w:val="32"/>
          <w:lang w:val="en-US" w:eastAsia="zh-CN"/>
        </w:rPr>
        <w:t>巩固</w:t>
      </w:r>
      <w:r>
        <w:rPr>
          <w:rFonts w:hint="eastAsia" w:ascii="仿宋_GB2312" w:hAnsi="仿宋_GB2312" w:eastAsia="仿宋_GB2312"/>
          <w:color w:val="auto"/>
          <w:kern w:val="2"/>
          <w:sz w:val="32"/>
          <w:lang w:val="zh-CN" w:eastAsia="zh-CN"/>
        </w:rPr>
        <w:t>脱贫</w:t>
      </w:r>
      <w:r>
        <w:rPr>
          <w:rFonts w:hint="eastAsia" w:ascii="仿宋_GB2312" w:hAnsi="仿宋_GB2312" w:eastAsia="仿宋_GB2312"/>
          <w:color w:val="auto"/>
          <w:kern w:val="2"/>
          <w:sz w:val="32"/>
          <w:lang w:val="en-US" w:eastAsia="zh-CN"/>
        </w:rPr>
        <w:t>成果</w:t>
      </w:r>
      <w:r>
        <w:rPr>
          <w:rFonts w:hint="eastAsia" w:ascii="仿宋_GB2312" w:hAnsi="仿宋_GB2312" w:eastAsia="仿宋_GB2312"/>
          <w:color w:val="auto"/>
          <w:kern w:val="2"/>
          <w:sz w:val="32"/>
          <w:lang w:val="zh-CN" w:eastAsia="zh-CN"/>
        </w:rPr>
        <w:t>、民主法治建设和经济社会高质量发展作出了积极贡献。全面完成自治县九届人大第</w:t>
      </w:r>
      <w:r>
        <w:rPr>
          <w:rFonts w:hint="eastAsia" w:ascii="仿宋_GB2312" w:hAnsi="仿宋_GB2312" w:eastAsia="仿宋_GB2312"/>
          <w:color w:val="auto"/>
          <w:kern w:val="2"/>
          <w:sz w:val="32"/>
          <w:lang w:val="en-US" w:eastAsia="zh-CN"/>
        </w:rPr>
        <w:t>六</w:t>
      </w:r>
      <w:r>
        <w:rPr>
          <w:rFonts w:hint="eastAsia" w:ascii="仿宋_GB2312" w:hAnsi="仿宋_GB2312" w:eastAsia="仿宋_GB2312"/>
          <w:color w:val="auto"/>
          <w:kern w:val="2"/>
          <w:sz w:val="32"/>
          <w:lang w:val="zh-CN" w:eastAsia="zh-CN"/>
        </w:rPr>
        <w:t>次会议确定的各项任务。未发现存在的问题，暂时不需要改进措施；</w:t>
      </w:r>
    </w:p>
    <w:p w14:paraId="6F42FED6">
      <w:pPr>
        <w:spacing w:beforeLines="0" w:afterLines="0"/>
        <w:rPr>
          <w:rFonts w:hint="eastAsia" w:ascii="仿宋_GB2312" w:hAnsi="仿宋_GB2312" w:eastAsia="仿宋_GB2312"/>
          <w:b/>
          <w:color w:val="000000"/>
          <w:kern w:val="2"/>
          <w:sz w:val="32"/>
          <w:lang w:val="zh-CN"/>
        </w:rPr>
      </w:pPr>
    </w:p>
    <w:p w14:paraId="3E993B84">
      <w:pPr>
        <w:pStyle w:val="2"/>
        <w:spacing w:beforeLines="0" w:afterLines="0"/>
        <w:rPr>
          <w:rFonts w:hint="eastAsia" w:ascii="仿宋_GB2312" w:hAnsi="仿宋_GB2312" w:eastAsia="仿宋_GB2312"/>
          <w:b w:val="0"/>
          <w:color w:val="000000"/>
          <w:kern w:val="2"/>
          <w:sz w:val="32"/>
          <w:lang w:val="zh-CN"/>
        </w:rPr>
      </w:pPr>
    </w:p>
    <w:p w14:paraId="204DADD7">
      <w:pPr>
        <w:spacing w:beforeLines="0" w:afterLines="0"/>
        <w:rPr>
          <w:rFonts w:hint="eastAsia" w:ascii="仿宋_GB2312" w:hAnsi="仿宋_GB2312" w:eastAsia="仿宋_GB2312"/>
          <w:b/>
          <w:color w:val="000000"/>
          <w:kern w:val="2"/>
          <w:sz w:val="32"/>
          <w:lang w:val="zh-CN"/>
        </w:rPr>
      </w:pPr>
    </w:p>
    <w:p w14:paraId="770AE656">
      <w:pPr>
        <w:spacing w:beforeLines="0" w:afterLines="0"/>
        <w:rPr>
          <w:rFonts w:hint="default"/>
          <w:sz w:val="24"/>
          <w:lang w:val="zh-CN"/>
        </w:rPr>
      </w:pPr>
    </w:p>
    <w:p w14:paraId="6CA1105C">
      <w:pPr>
        <w:pStyle w:val="2"/>
        <w:spacing w:beforeLines="0" w:afterLines="0"/>
        <w:rPr>
          <w:rFonts w:hint="eastAsia"/>
          <w:sz w:val="24"/>
          <w:lang w:val="zh-CN"/>
        </w:rPr>
      </w:pPr>
    </w:p>
    <w:p w14:paraId="11128256">
      <w:pPr>
        <w:rPr>
          <w:rFonts w:hint="eastAsia"/>
          <w:sz w:val="24"/>
          <w:lang w:val="zh-CN"/>
        </w:rPr>
      </w:pPr>
    </w:p>
    <w:p w14:paraId="025B01CB">
      <w:pPr>
        <w:pStyle w:val="2"/>
        <w:rPr>
          <w:rFonts w:hint="eastAsia"/>
          <w:sz w:val="24"/>
          <w:lang w:val="zh-CN"/>
        </w:rPr>
      </w:pPr>
    </w:p>
    <w:p w14:paraId="5E91DF13">
      <w:pPr>
        <w:rPr>
          <w:rFonts w:hint="eastAsia"/>
          <w:sz w:val="24"/>
          <w:lang w:val="zh-CN"/>
        </w:rPr>
      </w:pPr>
    </w:p>
    <w:p w14:paraId="7AE88E54">
      <w:pPr>
        <w:pStyle w:val="2"/>
        <w:rPr>
          <w:rFonts w:hint="eastAsia"/>
          <w:sz w:val="24"/>
          <w:lang w:val="zh-CN"/>
        </w:rPr>
      </w:pPr>
    </w:p>
    <w:p w14:paraId="6C6E66A2">
      <w:pPr>
        <w:rPr>
          <w:rFonts w:hint="eastAsia"/>
          <w:sz w:val="24"/>
          <w:lang w:val="zh-CN"/>
        </w:rPr>
      </w:pPr>
    </w:p>
    <w:p w14:paraId="3D830099">
      <w:pPr>
        <w:pStyle w:val="2"/>
        <w:rPr>
          <w:rFonts w:hint="eastAsia"/>
          <w:sz w:val="24"/>
          <w:lang w:val="zh-CN"/>
        </w:rPr>
      </w:pPr>
    </w:p>
    <w:p w14:paraId="222EB860">
      <w:pPr>
        <w:rPr>
          <w:rFonts w:hint="eastAsia"/>
          <w:sz w:val="24"/>
          <w:lang w:val="zh-CN"/>
        </w:rPr>
      </w:pPr>
    </w:p>
    <w:p w14:paraId="364326A6">
      <w:pPr>
        <w:pStyle w:val="2"/>
        <w:rPr>
          <w:rFonts w:hint="eastAsia"/>
          <w:sz w:val="24"/>
          <w:lang w:val="zh-CN"/>
        </w:rPr>
      </w:pPr>
    </w:p>
    <w:p w14:paraId="2FC63E23">
      <w:pPr>
        <w:rPr>
          <w:rFonts w:hint="eastAsia"/>
          <w:sz w:val="24"/>
          <w:lang w:val="zh-CN"/>
        </w:rPr>
      </w:pPr>
    </w:p>
    <w:p w14:paraId="49B7D57C">
      <w:pPr>
        <w:pStyle w:val="2"/>
        <w:rPr>
          <w:rFonts w:hint="eastAsia"/>
          <w:sz w:val="24"/>
          <w:lang w:val="zh-CN"/>
        </w:rPr>
      </w:pPr>
    </w:p>
    <w:p w14:paraId="62B6F445">
      <w:pPr>
        <w:rPr>
          <w:rFonts w:hint="eastAsia"/>
          <w:sz w:val="24"/>
          <w:lang w:val="zh-CN"/>
        </w:rPr>
      </w:pPr>
    </w:p>
    <w:p w14:paraId="394C0193">
      <w:pPr>
        <w:pStyle w:val="2"/>
        <w:rPr>
          <w:rFonts w:hint="eastAsia"/>
          <w:sz w:val="24"/>
          <w:lang w:val="zh-CN"/>
        </w:rPr>
      </w:pPr>
    </w:p>
    <w:p w14:paraId="1F7C61D9">
      <w:pPr>
        <w:rPr>
          <w:rFonts w:hint="eastAsia"/>
          <w:sz w:val="24"/>
          <w:lang w:val="zh-CN"/>
        </w:rPr>
      </w:pPr>
    </w:p>
    <w:p w14:paraId="59CA8DFA">
      <w:pPr>
        <w:pStyle w:val="2"/>
        <w:rPr>
          <w:rFonts w:hint="eastAsia"/>
          <w:sz w:val="24"/>
          <w:lang w:val="zh-CN"/>
        </w:rPr>
      </w:pPr>
    </w:p>
    <w:p w14:paraId="3CECDA62">
      <w:pPr>
        <w:rPr>
          <w:rFonts w:hint="eastAsia"/>
          <w:sz w:val="24"/>
          <w:lang w:val="zh-CN"/>
        </w:rPr>
      </w:pPr>
    </w:p>
    <w:p w14:paraId="7A3CC226">
      <w:pPr>
        <w:pStyle w:val="2"/>
        <w:rPr>
          <w:rFonts w:hint="eastAsia"/>
          <w:lang w:val="zh-CN"/>
        </w:rPr>
      </w:pPr>
    </w:p>
    <w:p w14:paraId="5FFB7A09">
      <w:pPr>
        <w:pStyle w:val="34"/>
        <w:spacing w:beforeLines="0" w:afterLines="0" w:line="600" w:lineRule="exact"/>
        <w:jc w:val="center"/>
        <w:rPr>
          <w:rFonts w:hint="eastAsia" w:ascii="方正小标宋简体" w:hAnsi="宋体" w:eastAsia="方正小标宋简体"/>
          <w:sz w:val="44"/>
        </w:rPr>
      </w:pPr>
      <w:r>
        <w:rPr>
          <w:rFonts w:hint="eastAsia" w:ascii="方正小标宋简体" w:hAnsi="宋体" w:eastAsia="方正小标宋简体"/>
          <w:sz w:val="44"/>
        </w:rPr>
        <w:t>项目支出绩效自评报告范本</w:t>
      </w:r>
    </w:p>
    <w:p w14:paraId="6CF28CDD">
      <w:pPr>
        <w:pStyle w:val="34"/>
        <w:spacing w:beforeLines="0" w:afterLines="0" w:line="600" w:lineRule="exact"/>
        <w:ind w:firstLine="883"/>
        <w:jc w:val="center"/>
        <w:rPr>
          <w:rFonts w:hint="eastAsia" w:ascii="仿宋_GB2312" w:hAnsi="宋体" w:eastAsia="仿宋_GB2312"/>
          <w:color w:val="auto"/>
          <w:kern w:val="2"/>
          <w:sz w:val="32"/>
        </w:rPr>
      </w:pPr>
      <w:r>
        <w:rPr>
          <w:rFonts w:hint="eastAsia" w:ascii="仿宋_GB2312" w:hAnsi="宋体" w:eastAsia="仿宋_GB2312"/>
          <w:color w:val="auto"/>
          <w:kern w:val="2"/>
          <w:sz w:val="32"/>
        </w:rPr>
        <w:t>（</w:t>
      </w:r>
      <w:r>
        <w:rPr>
          <w:rFonts w:hint="eastAsia" w:ascii="仿宋_GB2312" w:hAnsi="宋体" w:eastAsia="仿宋_GB2312"/>
          <w:color w:val="auto"/>
          <w:kern w:val="2"/>
          <w:sz w:val="32"/>
          <w:lang w:val="en-US" w:eastAsia="zh-CN"/>
        </w:rPr>
        <w:t>代表工作经费</w:t>
      </w:r>
      <w:r>
        <w:rPr>
          <w:rFonts w:hint="eastAsia" w:ascii="仿宋_GB2312" w:hAnsi="宋体" w:eastAsia="仿宋_GB2312"/>
          <w:color w:val="auto"/>
          <w:kern w:val="2"/>
          <w:sz w:val="32"/>
        </w:rPr>
        <w:t>）</w:t>
      </w:r>
    </w:p>
    <w:p w14:paraId="69198FD3">
      <w:pPr>
        <w:pStyle w:val="34"/>
        <w:spacing w:beforeLines="0" w:afterLines="0" w:line="600" w:lineRule="exact"/>
        <w:ind w:firstLine="640"/>
        <w:jc w:val="center"/>
        <w:rPr>
          <w:rFonts w:hint="eastAsia" w:ascii="宋体" w:hAnsi="宋体"/>
          <w:color w:val="auto"/>
          <w:kern w:val="2"/>
          <w:sz w:val="32"/>
        </w:rPr>
      </w:pPr>
    </w:p>
    <w:p w14:paraId="29063C90">
      <w:pPr>
        <w:keepNext/>
        <w:keepLines/>
        <w:spacing w:beforeLines="0" w:afterLines="0" w:line="576" w:lineRule="exact"/>
        <w:ind w:firstLine="640"/>
        <w:jc w:val="both"/>
        <w:rPr>
          <w:rFonts w:hint="eastAsia" w:ascii="黑体" w:hAnsi="黑体" w:eastAsia="黑体"/>
          <w:color w:val="auto"/>
          <w:kern w:val="2"/>
          <w:sz w:val="32"/>
          <w:lang w:val="zh-CN"/>
        </w:rPr>
      </w:pPr>
      <w:r>
        <w:rPr>
          <w:rFonts w:hint="eastAsia" w:ascii="黑体" w:hAnsi="黑体" w:eastAsia="黑体"/>
          <w:color w:val="auto"/>
          <w:kern w:val="2"/>
          <w:sz w:val="32"/>
          <w:lang w:val="zh-CN"/>
        </w:rPr>
        <w:t>一、项目概况</w:t>
      </w:r>
    </w:p>
    <w:p w14:paraId="03BA2F70">
      <w:pPr>
        <w:autoSpaceDE/>
        <w:autoSpaceDN/>
        <w:snapToGrid w:val="0"/>
        <w:spacing w:beforeLines="0" w:afterLines="0" w:line="560" w:lineRule="exact"/>
        <w:ind w:firstLine="720"/>
        <w:rPr>
          <w:rFonts w:hint="eastAsia" w:ascii="仿宋_GB2312" w:hAnsi="仿宋_GB2312" w:eastAsia="仿宋_GB2312"/>
          <w:color w:val="000000"/>
          <w:kern w:val="2"/>
          <w:sz w:val="30"/>
          <w:lang w:val="zh-CN" w:eastAsia="zh-CN"/>
        </w:rPr>
      </w:pPr>
      <w:r>
        <w:rPr>
          <w:rFonts w:hint="eastAsia" w:ascii="仿宋_GB2312" w:hAnsi="仿宋_GB2312" w:eastAsia="仿宋_GB2312"/>
          <w:color w:val="000000"/>
          <w:kern w:val="2"/>
          <w:sz w:val="30"/>
          <w:lang w:val="zh-CN" w:eastAsia="zh-CN"/>
        </w:rPr>
        <w:t>（一）项目基本情况。</w:t>
      </w:r>
    </w:p>
    <w:p w14:paraId="40C10A02">
      <w:pPr>
        <w:autoSpaceDE/>
        <w:autoSpaceDN/>
        <w:snapToGrid w:val="0"/>
        <w:spacing w:beforeLines="0" w:afterLines="0" w:line="560" w:lineRule="exact"/>
        <w:ind w:firstLine="720"/>
        <w:rPr>
          <w:rFonts w:hint="eastAsia" w:ascii="仿宋_GB2312" w:hAnsi="仿宋_GB2312" w:eastAsia="仿宋_GB2312"/>
          <w:color w:val="000000"/>
          <w:kern w:val="2"/>
          <w:sz w:val="30"/>
          <w:lang w:val="zh-CN" w:eastAsia="zh-CN"/>
        </w:rPr>
      </w:pPr>
      <w:r>
        <w:rPr>
          <w:rFonts w:hint="eastAsia" w:ascii="仿宋_GB2312" w:hAnsi="仿宋_GB2312" w:eastAsia="仿宋_GB2312"/>
          <w:color w:val="000000"/>
          <w:kern w:val="2"/>
          <w:sz w:val="30"/>
          <w:lang w:val="zh-CN" w:eastAsia="zh-CN"/>
        </w:rPr>
        <w:t>此项经费为人大</w:t>
      </w:r>
      <w:r>
        <w:rPr>
          <w:rFonts w:hint="eastAsia" w:ascii="仿宋_GB2312" w:hAnsi="仿宋_GB2312" w:eastAsia="仿宋_GB2312"/>
          <w:color w:val="000000"/>
          <w:kern w:val="2"/>
          <w:sz w:val="30"/>
          <w:lang w:val="en-US" w:eastAsia="zh-CN"/>
        </w:rPr>
        <w:t>代表</w:t>
      </w:r>
      <w:r>
        <w:rPr>
          <w:rFonts w:hint="eastAsia" w:ascii="仿宋_GB2312" w:hAnsi="仿宋_GB2312" w:eastAsia="仿宋_GB2312"/>
          <w:color w:val="000000"/>
          <w:kern w:val="2"/>
          <w:sz w:val="30"/>
          <w:lang w:val="zh-CN" w:eastAsia="zh-CN"/>
        </w:rPr>
        <w:t>正常开展提供了资金保障。</w:t>
      </w:r>
      <w:r>
        <w:rPr>
          <w:rFonts w:hint="eastAsia" w:ascii="仿宋_GB2312" w:hAnsi="仿宋_GB2312" w:eastAsia="仿宋_GB2312"/>
          <w:color w:val="000000"/>
          <w:kern w:val="2"/>
          <w:sz w:val="30"/>
          <w:lang w:val="en-US" w:eastAsia="zh-CN"/>
        </w:rPr>
        <w:t>为人大代表参加培训、开展工作、依法履职提供保障，增进民生福祉，展现新作为。</w:t>
      </w:r>
    </w:p>
    <w:p w14:paraId="25385124">
      <w:pPr>
        <w:autoSpaceDE/>
        <w:autoSpaceDN/>
        <w:snapToGrid w:val="0"/>
        <w:spacing w:beforeLines="0" w:afterLines="0" w:line="560" w:lineRule="exact"/>
        <w:ind w:firstLine="720"/>
        <w:rPr>
          <w:rFonts w:hint="eastAsia" w:ascii="仿宋_GB2312" w:hAnsi="仿宋_GB2312" w:eastAsia="仿宋_GB2312"/>
          <w:color w:val="000000"/>
          <w:kern w:val="2"/>
          <w:sz w:val="30"/>
          <w:lang w:val="zh-CN" w:eastAsia="zh-CN"/>
        </w:rPr>
      </w:pPr>
      <w:r>
        <w:rPr>
          <w:rFonts w:hint="eastAsia" w:ascii="仿宋_GB2312" w:hAnsi="仿宋_GB2312" w:eastAsia="仿宋_GB2312"/>
          <w:color w:val="000000"/>
          <w:kern w:val="2"/>
          <w:sz w:val="30"/>
          <w:lang w:val="zh-CN" w:eastAsia="zh-CN"/>
        </w:rPr>
        <w:t>（</w:t>
      </w:r>
      <w:r>
        <w:rPr>
          <w:rFonts w:hint="eastAsia" w:ascii="仿宋_GB2312" w:hAnsi="仿宋_GB2312" w:eastAsia="仿宋_GB2312"/>
          <w:color w:val="000000"/>
          <w:kern w:val="2"/>
          <w:sz w:val="30"/>
          <w:lang w:val="en-US" w:eastAsia="zh-CN"/>
        </w:rPr>
        <w:t>二）</w:t>
      </w:r>
      <w:r>
        <w:rPr>
          <w:rFonts w:hint="eastAsia" w:ascii="仿宋_GB2312" w:hAnsi="仿宋_GB2312" w:eastAsia="仿宋_GB2312"/>
          <w:color w:val="000000"/>
          <w:kern w:val="2"/>
          <w:sz w:val="30"/>
          <w:lang w:val="zh-CN" w:eastAsia="zh-CN"/>
        </w:rPr>
        <w:t>项目绩效目标。</w:t>
      </w:r>
    </w:p>
    <w:p w14:paraId="03685ECA">
      <w:pPr>
        <w:autoSpaceDE/>
        <w:autoSpaceDN/>
        <w:snapToGrid w:val="0"/>
        <w:spacing w:beforeLines="0" w:afterLines="0" w:line="560" w:lineRule="exact"/>
        <w:ind w:firstLine="720"/>
        <w:rPr>
          <w:rFonts w:hint="eastAsia" w:ascii="仿宋_GB2312" w:hAnsi="仿宋_GB2312" w:eastAsia="仿宋_GB2312"/>
          <w:color w:val="000000"/>
          <w:kern w:val="2"/>
          <w:sz w:val="30"/>
          <w:lang w:val="en-US" w:eastAsia="zh-CN"/>
        </w:rPr>
      </w:pPr>
      <w:r>
        <w:rPr>
          <w:rFonts w:hint="eastAsia" w:ascii="仿宋_GB2312" w:hAnsi="仿宋_GB2312" w:eastAsia="仿宋_GB2312"/>
          <w:color w:val="000000"/>
          <w:kern w:val="2"/>
          <w:sz w:val="30"/>
          <w:lang w:val="en-US" w:eastAsia="zh-CN"/>
        </w:rPr>
        <w:t>承担2023年自治县人大代表参加培训、开展工作、依法履职和日常工作中</w:t>
      </w:r>
      <w:r>
        <w:rPr>
          <w:rFonts w:hint="eastAsia" w:ascii="仿宋_GB2312" w:hAnsi="仿宋_GB2312" w:eastAsia="仿宋_GB2312"/>
          <w:color w:val="000000"/>
          <w:kern w:val="2"/>
          <w:sz w:val="30"/>
          <w:lang w:val="zh-CN" w:eastAsia="zh-CN"/>
        </w:rPr>
        <w:t>而发生的各项费用。根据当年工作安排，该项目</w:t>
      </w:r>
      <w:r>
        <w:rPr>
          <w:rFonts w:hint="eastAsia" w:ascii="仿宋_GB2312" w:hAnsi="仿宋_GB2312" w:eastAsia="仿宋_GB2312"/>
          <w:color w:val="000000"/>
          <w:kern w:val="2"/>
          <w:sz w:val="30"/>
          <w:lang w:val="en-US" w:eastAsia="zh-CN"/>
        </w:rPr>
        <w:t>预算金额3.64</w:t>
      </w:r>
      <w:r>
        <w:rPr>
          <w:rFonts w:hint="eastAsia" w:ascii="仿宋_GB2312" w:hAnsi="仿宋_GB2312" w:eastAsia="仿宋_GB2312"/>
          <w:color w:val="000000"/>
          <w:kern w:val="2"/>
          <w:sz w:val="30"/>
          <w:lang w:val="zh-CN" w:eastAsia="zh-CN"/>
        </w:rPr>
        <w:t>万元，</w:t>
      </w:r>
      <w:r>
        <w:rPr>
          <w:rFonts w:hint="eastAsia" w:ascii="仿宋_GB2312" w:hAnsi="仿宋_GB2312" w:eastAsia="仿宋_GB2312"/>
          <w:color w:val="000000"/>
          <w:kern w:val="2"/>
          <w:sz w:val="30"/>
          <w:lang w:val="en-US" w:eastAsia="zh-CN"/>
        </w:rPr>
        <w:t>全部用于围绕代表工作开展的支出。2023年该项目与实际相符，申报目标合理可行。</w:t>
      </w:r>
    </w:p>
    <w:p w14:paraId="312D5DA9">
      <w:pPr>
        <w:autoSpaceDE/>
        <w:autoSpaceDN/>
        <w:snapToGrid w:val="0"/>
        <w:spacing w:beforeLines="0" w:afterLines="0" w:line="560" w:lineRule="exact"/>
        <w:ind w:firstLine="720"/>
        <w:rPr>
          <w:rFonts w:hint="eastAsia" w:ascii="仿宋_GB2312" w:hAnsi="仿宋_GB2312" w:eastAsia="仿宋_GB2312"/>
          <w:color w:val="000000"/>
          <w:kern w:val="2"/>
          <w:sz w:val="30"/>
          <w:lang w:val="zh-CN" w:eastAsia="zh-CN"/>
        </w:rPr>
      </w:pPr>
      <w:r>
        <w:rPr>
          <w:rFonts w:hint="eastAsia" w:ascii="仿宋_GB2312" w:hAnsi="仿宋_GB2312" w:eastAsia="仿宋_GB2312"/>
          <w:color w:val="000000"/>
          <w:kern w:val="2"/>
          <w:sz w:val="30"/>
          <w:lang w:val="zh-CN" w:eastAsia="zh-CN"/>
        </w:rPr>
        <w:t>（三）项目自评步骤及方法。</w:t>
      </w:r>
    </w:p>
    <w:p w14:paraId="6FBB88E6">
      <w:pPr>
        <w:autoSpaceDE/>
        <w:autoSpaceDN/>
        <w:snapToGrid w:val="0"/>
        <w:spacing w:beforeLines="0" w:afterLines="0" w:line="560" w:lineRule="exact"/>
        <w:ind w:firstLine="720"/>
        <w:rPr>
          <w:rFonts w:hint="eastAsia" w:ascii="仿宋_GB2312" w:hAnsi="仿宋_GB2312" w:eastAsia="仿宋_GB2312"/>
          <w:color w:val="000000"/>
          <w:kern w:val="2"/>
          <w:sz w:val="30"/>
          <w:lang w:val="en-US" w:eastAsia="zh-CN"/>
        </w:rPr>
      </w:pPr>
      <w:r>
        <w:rPr>
          <w:rFonts w:hint="eastAsia" w:ascii="仿宋_GB2312" w:hAnsi="仿宋_GB2312" w:eastAsia="仿宋_GB2312"/>
          <w:color w:val="000000"/>
          <w:kern w:val="2"/>
          <w:sz w:val="30"/>
          <w:lang w:val="en-US" w:eastAsia="zh-CN"/>
        </w:rPr>
        <w:t>为加强我单位预决算绩效管理，不断提高财政资金配置和使用效益，成立了预决算绩效管理领导小组，由分管财务的领导为组长，办公室主任任副组长，财务室等相关科室人员为成员，专门负责本次绩效自评工作，自查工作中坚持以绩效考核的各项文件精神为指导，以整体绩效支出为内容，对各项支出的质量指标，数量指标，对指标内容进行评价考核打分，从考核结果来看，通过全体干部职工的共同努力，取得了较好的经济、社会、环境效益。</w:t>
      </w:r>
    </w:p>
    <w:p w14:paraId="551DC1CF">
      <w:pPr>
        <w:keepNext/>
        <w:keepLines/>
        <w:spacing w:beforeLines="0" w:afterLines="0" w:line="576" w:lineRule="exact"/>
        <w:ind w:firstLine="640"/>
        <w:jc w:val="both"/>
        <w:rPr>
          <w:rFonts w:hint="eastAsia" w:ascii="黑体" w:hAnsi="黑体" w:eastAsia="黑体"/>
          <w:color w:val="auto"/>
          <w:kern w:val="2"/>
          <w:sz w:val="32"/>
          <w:lang w:val="zh-CN" w:eastAsia="zh-CN"/>
        </w:rPr>
      </w:pPr>
      <w:r>
        <w:rPr>
          <w:rFonts w:hint="eastAsia" w:ascii="黑体" w:hAnsi="黑体" w:eastAsia="黑体"/>
          <w:color w:val="auto"/>
          <w:kern w:val="2"/>
          <w:sz w:val="32"/>
          <w:lang w:val="zh-CN" w:eastAsia="zh-CN"/>
        </w:rPr>
        <w:t>二、项目资金申报及使用情况</w:t>
      </w:r>
    </w:p>
    <w:p w14:paraId="4E508E0D">
      <w:pPr>
        <w:autoSpaceDE/>
        <w:autoSpaceDN/>
        <w:snapToGrid w:val="0"/>
        <w:spacing w:beforeLines="0" w:afterLines="0" w:line="560" w:lineRule="exact"/>
        <w:ind w:firstLine="720"/>
        <w:rPr>
          <w:rFonts w:hint="eastAsia" w:ascii="仿宋_GB2312" w:hAnsi="仿宋_GB2312" w:eastAsia="仿宋_GB2312"/>
          <w:color w:val="000000"/>
          <w:kern w:val="2"/>
          <w:sz w:val="30"/>
          <w:lang w:val="en-US" w:eastAsia="zh-CN"/>
        </w:rPr>
      </w:pPr>
      <w:r>
        <w:rPr>
          <w:rFonts w:hint="eastAsia" w:ascii="仿宋_GB2312" w:hAnsi="仿宋_GB2312" w:eastAsia="仿宋_GB2312"/>
          <w:color w:val="000000"/>
          <w:kern w:val="2"/>
          <w:sz w:val="30"/>
          <w:lang w:val="zh-CN" w:eastAsia="zh-CN"/>
        </w:rPr>
        <w:t>（一）项目资金申报及批复情况。资金管理办法制定情况，</w:t>
      </w:r>
      <w:r>
        <w:rPr>
          <w:rFonts w:hint="eastAsia" w:ascii="仿宋_GB2312" w:hAnsi="仿宋_GB2312" w:eastAsia="仿宋_GB2312"/>
          <w:color w:val="000000"/>
          <w:kern w:val="2"/>
          <w:sz w:val="30"/>
          <w:lang w:val="en-US" w:eastAsia="zh-CN"/>
        </w:rPr>
        <w:t>由本单位根据年度会议计划，按照规定标准向财政局申报年度会议预算，按预算审核程序安排部门一次性项目预算，并实行项目清算。代表工作经费列入年度预算，并按照年度预算严格执行，严格控制预算调整。</w:t>
      </w:r>
    </w:p>
    <w:p w14:paraId="3AF38C59">
      <w:pPr>
        <w:autoSpaceDE/>
        <w:autoSpaceDN/>
        <w:snapToGrid w:val="0"/>
        <w:spacing w:beforeLines="0" w:afterLines="0" w:line="560" w:lineRule="exact"/>
        <w:ind w:firstLine="720"/>
        <w:rPr>
          <w:rFonts w:hint="eastAsia" w:ascii="仿宋_GB2312" w:hAnsi="仿宋_GB2312" w:eastAsia="仿宋_GB2312"/>
          <w:color w:val="000000"/>
          <w:kern w:val="2"/>
          <w:sz w:val="30"/>
          <w:lang w:val="zh-CN" w:eastAsia="zh-CN"/>
        </w:rPr>
      </w:pPr>
      <w:r>
        <w:rPr>
          <w:rFonts w:hint="eastAsia" w:ascii="仿宋_GB2312" w:hAnsi="仿宋_GB2312" w:eastAsia="仿宋_GB2312"/>
          <w:color w:val="000000"/>
          <w:kern w:val="2"/>
          <w:sz w:val="30"/>
          <w:lang w:val="zh-CN" w:eastAsia="zh-CN"/>
        </w:rPr>
        <w:t>（二）资金计划、到位及使用情况（可用表格形式反映）。</w:t>
      </w:r>
    </w:p>
    <w:p w14:paraId="1BBDDA7B">
      <w:pPr>
        <w:autoSpaceDE/>
        <w:autoSpaceDN/>
        <w:snapToGrid w:val="0"/>
        <w:spacing w:beforeLines="0" w:afterLines="0" w:line="560" w:lineRule="exact"/>
        <w:ind w:firstLine="720"/>
        <w:rPr>
          <w:rFonts w:hint="eastAsia" w:ascii="仿宋_GB2312" w:hAnsi="仿宋_GB2312" w:eastAsia="仿宋_GB2312"/>
          <w:color w:val="000000"/>
          <w:kern w:val="2"/>
          <w:sz w:val="30"/>
          <w:lang w:val="zh-CN" w:eastAsia="zh-CN"/>
        </w:rPr>
      </w:pPr>
      <w:r>
        <w:rPr>
          <w:rFonts w:hint="eastAsia" w:ascii="仿宋_GB2312" w:hAnsi="仿宋_GB2312" w:eastAsia="仿宋_GB2312"/>
          <w:color w:val="000000"/>
          <w:kern w:val="2"/>
          <w:sz w:val="30"/>
          <w:lang w:val="en-US" w:eastAsia="zh-CN"/>
        </w:rPr>
        <w:t>1.资金计划。2023年预算申报3.64万元，批复3.64万元。</w:t>
      </w:r>
    </w:p>
    <w:p w14:paraId="5C0319EB">
      <w:pPr>
        <w:autoSpaceDE/>
        <w:autoSpaceDN/>
        <w:snapToGrid w:val="0"/>
        <w:spacing w:beforeLines="0" w:afterLines="0" w:line="560" w:lineRule="exact"/>
        <w:ind w:firstLine="720"/>
        <w:rPr>
          <w:rFonts w:hint="eastAsia" w:ascii="仿宋_GB2312" w:hAnsi="仿宋_GB2312" w:eastAsia="仿宋_GB2312"/>
          <w:color w:val="000000"/>
          <w:kern w:val="2"/>
          <w:sz w:val="30"/>
          <w:lang w:val="zh-CN" w:eastAsia="zh-CN"/>
        </w:rPr>
      </w:pPr>
      <w:r>
        <w:rPr>
          <w:rFonts w:hint="eastAsia" w:ascii="仿宋_GB2312" w:hAnsi="仿宋_GB2312" w:eastAsia="仿宋_GB2312"/>
          <w:color w:val="000000"/>
          <w:kern w:val="2"/>
          <w:sz w:val="30"/>
          <w:lang w:val="zh-CN" w:eastAsia="zh-CN"/>
        </w:rPr>
        <w:t>2.资金</w:t>
      </w:r>
      <w:r>
        <w:rPr>
          <w:rFonts w:hint="eastAsia" w:ascii="仿宋_GB2312" w:hAnsi="仿宋_GB2312" w:eastAsia="仿宋_GB2312"/>
          <w:color w:val="000000"/>
          <w:kern w:val="2"/>
          <w:sz w:val="30"/>
          <w:lang w:val="en-US" w:eastAsia="zh-CN"/>
        </w:rPr>
        <w:t>到位</w:t>
      </w:r>
      <w:r>
        <w:rPr>
          <w:rFonts w:hint="eastAsia" w:ascii="仿宋_GB2312" w:hAnsi="仿宋_GB2312" w:eastAsia="仿宋_GB2312"/>
          <w:color w:val="000000"/>
          <w:kern w:val="2"/>
          <w:sz w:val="30"/>
          <w:lang w:val="zh-CN" w:eastAsia="zh-CN"/>
        </w:rPr>
        <w:t>。根据当年工作安排，该项目</w:t>
      </w:r>
      <w:r>
        <w:rPr>
          <w:rFonts w:hint="eastAsia" w:ascii="仿宋_GB2312" w:hAnsi="仿宋_GB2312" w:eastAsia="仿宋_GB2312"/>
          <w:color w:val="000000"/>
          <w:kern w:val="2"/>
          <w:sz w:val="30"/>
          <w:lang w:val="en-US" w:eastAsia="zh-CN"/>
        </w:rPr>
        <w:t>预算金额3.64</w:t>
      </w:r>
      <w:r>
        <w:rPr>
          <w:rFonts w:hint="eastAsia" w:ascii="仿宋_GB2312" w:hAnsi="仿宋_GB2312" w:eastAsia="仿宋_GB2312"/>
          <w:color w:val="000000"/>
          <w:kern w:val="2"/>
          <w:sz w:val="30"/>
          <w:lang w:val="zh-CN" w:eastAsia="zh-CN"/>
        </w:rPr>
        <w:t>万元。该项目各类资金计划及截止评价时点</w:t>
      </w:r>
      <w:r>
        <w:rPr>
          <w:rFonts w:hint="eastAsia" w:ascii="仿宋_GB2312" w:hAnsi="仿宋_GB2312" w:eastAsia="仿宋_GB2312"/>
          <w:color w:val="000000"/>
          <w:kern w:val="2"/>
          <w:sz w:val="30"/>
          <w:lang w:val="en-US" w:eastAsia="zh-CN"/>
        </w:rPr>
        <w:t>和</w:t>
      </w:r>
      <w:r>
        <w:rPr>
          <w:rFonts w:hint="eastAsia" w:ascii="仿宋_GB2312" w:hAnsi="仿宋_GB2312" w:eastAsia="仿宋_GB2312"/>
          <w:color w:val="000000"/>
          <w:kern w:val="2"/>
          <w:sz w:val="30"/>
          <w:lang w:val="zh-CN" w:eastAsia="zh-CN"/>
        </w:rPr>
        <w:t>实际到位情况</w:t>
      </w:r>
      <w:r>
        <w:rPr>
          <w:rFonts w:hint="eastAsia" w:ascii="仿宋_GB2312" w:hAnsi="仿宋_GB2312" w:eastAsia="仿宋_GB2312"/>
          <w:color w:val="000000"/>
          <w:kern w:val="2"/>
          <w:sz w:val="30"/>
          <w:lang w:val="en-US" w:eastAsia="zh-CN"/>
        </w:rPr>
        <w:t>相符</w:t>
      </w:r>
      <w:r>
        <w:rPr>
          <w:rFonts w:hint="eastAsia" w:ascii="仿宋_GB2312" w:hAnsi="仿宋_GB2312" w:eastAsia="仿宋_GB2312"/>
          <w:color w:val="000000"/>
          <w:kern w:val="2"/>
          <w:sz w:val="30"/>
          <w:lang w:val="zh-CN" w:eastAsia="zh-CN"/>
        </w:rPr>
        <w:t>，资金到位及时。</w:t>
      </w:r>
    </w:p>
    <w:p w14:paraId="480AE2F6">
      <w:pPr>
        <w:autoSpaceDE/>
        <w:autoSpaceDN/>
        <w:snapToGrid w:val="0"/>
        <w:spacing w:beforeLines="0" w:afterLines="0" w:line="560" w:lineRule="exact"/>
        <w:ind w:firstLine="720"/>
        <w:rPr>
          <w:rFonts w:hint="eastAsia" w:ascii="仿宋_GB2312" w:hAnsi="仿宋_GB2312" w:eastAsia="仿宋_GB2312"/>
          <w:color w:val="000000"/>
          <w:kern w:val="2"/>
          <w:sz w:val="30"/>
          <w:lang w:val="zh-CN" w:eastAsia="zh-CN"/>
        </w:rPr>
      </w:pPr>
      <w:r>
        <w:rPr>
          <w:rFonts w:hint="eastAsia" w:ascii="仿宋_GB2312" w:hAnsi="仿宋_GB2312" w:eastAsia="仿宋_GB2312"/>
          <w:color w:val="000000"/>
          <w:kern w:val="2"/>
          <w:sz w:val="30"/>
          <w:lang w:val="en-US" w:eastAsia="zh-CN"/>
        </w:rPr>
        <w:t>3.</w:t>
      </w:r>
      <w:r>
        <w:rPr>
          <w:rFonts w:hint="eastAsia" w:ascii="仿宋_GB2312" w:hAnsi="仿宋_GB2312" w:eastAsia="仿宋_GB2312"/>
          <w:color w:val="000000"/>
          <w:kern w:val="2"/>
          <w:sz w:val="30"/>
          <w:lang w:val="zh-CN" w:eastAsia="zh-CN"/>
        </w:rPr>
        <w:t>资金使用。</w:t>
      </w:r>
      <w:r>
        <w:rPr>
          <w:rFonts w:hint="eastAsia" w:ascii="仿宋_GB2312" w:hAnsi="仿宋_GB2312" w:eastAsia="仿宋_GB2312"/>
          <w:color w:val="000000"/>
          <w:kern w:val="2"/>
          <w:sz w:val="30"/>
          <w:lang w:val="en-US" w:eastAsia="zh-CN"/>
        </w:rPr>
        <w:t>根据当年工作安排，该项目预算金额3.64万元，用于代表参加培训、开展工作、依法履职的支出3.64万元。</w:t>
      </w:r>
      <w:r>
        <w:rPr>
          <w:rFonts w:hint="eastAsia" w:ascii="仿宋_GB2312" w:hAnsi="仿宋_GB2312" w:eastAsia="仿宋_GB2312"/>
          <w:color w:val="000000"/>
          <w:kern w:val="2"/>
          <w:sz w:val="30"/>
          <w:lang w:val="zh-CN" w:eastAsia="zh-CN"/>
        </w:rPr>
        <w:t>支付依据合规合法，资金支付与预算相符。</w:t>
      </w:r>
    </w:p>
    <w:p w14:paraId="148499F9">
      <w:pPr>
        <w:autoSpaceDE/>
        <w:autoSpaceDN/>
        <w:snapToGrid w:val="0"/>
        <w:spacing w:beforeLines="0" w:afterLines="0" w:line="560" w:lineRule="exact"/>
        <w:ind w:firstLine="720"/>
        <w:rPr>
          <w:rFonts w:hint="eastAsia" w:ascii="仿宋_GB2312" w:hAnsi="仿宋_GB2312" w:eastAsia="仿宋_GB2312"/>
          <w:color w:val="000000"/>
          <w:kern w:val="2"/>
          <w:sz w:val="30"/>
          <w:lang w:val="zh-CN" w:eastAsia="zh-CN"/>
        </w:rPr>
      </w:pPr>
      <w:r>
        <w:rPr>
          <w:rFonts w:hint="eastAsia" w:ascii="仿宋_GB2312" w:hAnsi="仿宋_GB2312" w:eastAsia="仿宋_GB2312"/>
          <w:color w:val="000000"/>
          <w:kern w:val="2"/>
          <w:sz w:val="30"/>
          <w:lang w:val="zh-CN" w:eastAsia="zh-CN"/>
        </w:rPr>
        <w:t>（三）项目财务管理情况。</w:t>
      </w:r>
    </w:p>
    <w:p w14:paraId="3DE1624A">
      <w:pPr>
        <w:autoSpaceDE/>
        <w:autoSpaceDN/>
        <w:snapToGrid w:val="0"/>
        <w:spacing w:beforeLines="0" w:afterLines="0" w:line="560" w:lineRule="exact"/>
        <w:ind w:firstLine="720"/>
        <w:rPr>
          <w:rFonts w:hint="eastAsia" w:ascii="仿宋_GB2312" w:hAnsi="仿宋_GB2312" w:eastAsia="仿宋_GB2312"/>
          <w:color w:val="000000"/>
          <w:kern w:val="2"/>
          <w:sz w:val="30"/>
          <w:lang w:val="zh-CN" w:eastAsia="zh-CN"/>
        </w:rPr>
      </w:pPr>
      <w:r>
        <w:rPr>
          <w:rFonts w:hint="eastAsia" w:ascii="仿宋_GB2312" w:hAnsi="仿宋_GB2312" w:eastAsia="仿宋_GB2312"/>
          <w:color w:val="000000"/>
          <w:kern w:val="2"/>
          <w:sz w:val="30"/>
          <w:lang w:val="zh-CN" w:eastAsia="zh-CN"/>
        </w:rPr>
        <w:t>为加强</w:t>
      </w:r>
      <w:r>
        <w:rPr>
          <w:rFonts w:hint="eastAsia" w:ascii="仿宋_GB2312" w:hAnsi="仿宋_GB2312" w:eastAsia="仿宋_GB2312"/>
          <w:color w:val="000000"/>
          <w:kern w:val="2"/>
          <w:sz w:val="30"/>
          <w:lang w:val="en-US" w:eastAsia="zh-CN"/>
        </w:rPr>
        <w:t>专项</w:t>
      </w:r>
      <w:r>
        <w:rPr>
          <w:rFonts w:hint="eastAsia" w:ascii="仿宋_GB2312" w:hAnsi="仿宋_GB2312" w:eastAsia="仿宋_GB2312"/>
          <w:color w:val="000000"/>
          <w:kern w:val="2"/>
          <w:sz w:val="30"/>
          <w:lang w:val="zh-CN" w:eastAsia="zh-CN"/>
        </w:rPr>
        <w:t>资金的管理和监督，规范</w:t>
      </w:r>
      <w:r>
        <w:rPr>
          <w:rFonts w:hint="eastAsia" w:ascii="仿宋_GB2312" w:hAnsi="仿宋_GB2312" w:eastAsia="仿宋_GB2312"/>
          <w:color w:val="000000"/>
          <w:kern w:val="2"/>
          <w:sz w:val="30"/>
          <w:lang w:val="en-US" w:eastAsia="zh-CN"/>
        </w:rPr>
        <w:t>专项</w:t>
      </w:r>
      <w:r>
        <w:rPr>
          <w:rFonts w:hint="eastAsia" w:ascii="仿宋_GB2312" w:hAnsi="仿宋_GB2312" w:eastAsia="仿宋_GB2312"/>
          <w:color w:val="000000"/>
          <w:kern w:val="2"/>
          <w:sz w:val="30"/>
          <w:lang w:val="zh-CN" w:eastAsia="zh-CN"/>
        </w:rPr>
        <w:t>资金使用，提高资金使用效率，制定了经费管理制度，制度对专项资金的分配和使用进行了规范，要求专项资金严格按照项目内容使用，做到专款专用，使用专项资金时，要全部通过国库集中支付，严禁虚报、挤占、挪用。项目过程中全部按照管理办法执行，无违反规定的行为发生。</w:t>
      </w:r>
    </w:p>
    <w:p w14:paraId="46E56BCD">
      <w:pPr>
        <w:keepNext/>
        <w:keepLines/>
        <w:spacing w:beforeLines="0" w:afterLines="0" w:line="576" w:lineRule="exact"/>
        <w:ind w:firstLine="640"/>
        <w:jc w:val="both"/>
        <w:rPr>
          <w:rFonts w:hint="eastAsia" w:ascii="黑体" w:hAnsi="黑体" w:eastAsia="黑体"/>
          <w:color w:val="auto"/>
          <w:kern w:val="2"/>
          <w:sz w:val="32"/>
          <w:lang w:val="zh-CN" w:eastAsia="zh-CN"/>
        </w:rPr>
      </w:pPr>
      <w:r>
        <w:rPr>
          <w:rFonts w:hint="eastAsia" w:ascii="黑体" w:hAnsi="黑体" w:eastAsia="黑体"/>
          <w:color w:val="auto"/>
          <w:kern w:val="2"/>
          <w:sz w:val="32"/>
          <w:lang w:val="zh-CN" w:eastAsia="zh-CN"/>
        </w:rPr>
        <w:t>三、项目实施及管理情况</w:t>
      </w:r>
    </w:p>
    <w:p w14:paraId="76EE79BC">
      <w:pPr>
        <w:autoSpaceDE/>
        <w:autoSpaceDN/>
        <w:snapToGrid w:val="0"/>
        <w:spacing w:beforeLines="0" w:afterLines="0" w:line="560" w:lineRule="exact"/>
        <w:ind w:firstLine="720"/>
        <w:rPr>
          <w:rFonts w:hint="eastAsia" w:ascii="仿宋_GB2312" w:hAnsi="仿宋_GB2312" w:eastAsia="仿宋_GB2312"/>
          <w:color w:val="000000"/>
          <w:kern w:val="2"/>
          <w:sz w:val="30"/>
          <w:lang w:val="zh-CN" w:eastAsia="zh-CN"/>
        </w:rPr>
      </w:pPr>
      <w:r>
        <w:rPr>
          <w:rFonts w:hint="eastAsia" w:ascii="仿宋_GB2312" w:hAnsi="仿宋_GB2312" w:eastAsia="仿宋_GB2312"/>
          <w:color w:val="000000"/>
          <w:kern w:val="2"/>
          <w:sz w:val="30"/>
          <w:lang w:val="zh-CN" w:eastAsia="zh-CN"/>
        </w:rPr>
        <w:t>（</w:t>
      </w:r>
      <w:r>
        <w:rPr>
          <w:rFonts w:hint="eastAsia" w:ascii="仿宋_GB2312" w:hAnsi="仿宋_GB2312" w:eastAsia="仿宋_GB2312"/>
          <w:color w:val="000000"/>
          <w:kern w:val="2"/>
          <w:sz w:val="30"/>
          <w:lang w:val="en-US" w:eastAsia="zh-CN"/>
        </w:rPr>
        <w:t>一</w:t>
      </w:r>
      <w:r>
        <w:rPr>
          <w:rFonts w:hint="eastAsia" w:ascii="仿宋_GB2312" w:hAnsi="仿宋_GB2312" w:eastAsia="仿宋_GB2312"/>
          <w:color w:val="000000"/>
          <w:kern w:val="2"/>
          <w:sz w:val="30"/>
          <w:lang w:val="zh-CN" w:eastAsia="zh-CN"/>
        </w:rPr>
        <w:t>）项目管理情况。为加强</w:t>
      </w:r>
      <w:r>
        <w:rPr>
          <w:rFonts w:hint="eastAsia" w:ascii="仿宋_GB2312" w:hAnsi="仿宋_GB2312" w:eastAsia="仿宋_GB2312"/>
          <w:color w:val="000000"/>
          <w:kern w:val="2"/>
          <w:sz w:val="30"/>
          <w:lang w:val="en-US" w:eastAsia="zh-CN"/>
        </w:rPr>
        <w:t>专项</w:t>
      </w:r>
      <w:r>
        <w:rPr>
          <w:rFonts w:hint="eastAsia" w:ascii="仿宋_GB2312" w:hAnsi="仿宋_GB2312" w:eastAsia="仿宋_GB2312"/>
          <w:color w:val="000000"/>
          <w:kern w:val="2"/>
          <w:sz w:val="30"/>
          <w:lang w:val="zh-CN" w:eastAsia="zh-CN"/>
        </w:rPr>
        <w:t>资金的管理和监督，规范</w:t>
      </w:r>
      <w:r>
        <w:rPr>
          <w:rFonts w:hint="eastAsia" w:ascii="仿宋_GB2312" w:hAnsi="仿宋_GB2312" w:eastAsia="仿宋_GB2312"/>
          <w:color w:val="000000"/>
          <w:kern w:val="2"/>
          <w:sz w:val="30"/>
          <w:lang w:val="en-US" w:eastAsia="zh-CN"/>
        </w:rPr>
        <w:t>专项</w:t>
      </w:r>
      <w:r>
        <w:rPr>
          <w:rFonts w:hint="eastAsia" w:ascii="仿宋_GB2312" w:hAnsi="仿宋_GB2312" w:eastAsia="仿宋_GB2312"/>
          <w:color w:val="000000"/>
          <w:kern w:val="2"/>
          <w:sz w:val="30"/>
          <w:lang w:val="zh-CN" w:eastAsia="zh-CN"/>
        </w:rPr>
        <w:t>资金使用，提高资金使用效率，制定了经费管理制度，制度对专项资金的分配和使用进行了规范，要求专项资金严格按照项目内容使用，做到专款专用，使用专项资金时，要全部通过国库集中支付，严禁虚报、挤占、挪用。项目过程中全部按照管理办法执行，无违反规定的行为发生。</w:t>
      </w:r>
    </w:p>
    <w:p w14:paraId="12E18E10">
      <w:pPr>
        <w:autoSpaceDE/>
        <w:autoSpaceDN/>
        <w:snapToGrid w:val="0"/>
        <w:spacing w:beforeLines="0" w:afterLines="0" w:line="560" w:lineRule="exact"/>
        <w:ind w:firstLine="720"/>
        <w:rPr>
          <w:rFonts w:hint="eastAsia" w:ascii="仿宋_GB2312" w:hAnsi="仿宋_GB2312" w:eastAsia="仿宋_GB2312"/>
          <w:color w:val="000000"/>
          <w:kern w:val="2"/>
          <w:sz w:val="30"/>
          <w:lang w:val="zh-CN" w:eastAsia="zh-CN"/>
        </w:rPr>
      </w:pPr>
      <w:r>
        <w:rPr>
          <w:rFonts w:hint="eastAsia" w:ascii="仿宋_GB2312" w:hAnsi="仿宋_GB2312" w:eastAsia="仿宋_GB2312"/>
          <w:color w:val="000000"/>
          <w:kern w:val="2"/>
          <w:sz w:val="30"/>
          <w:lang w:val="zh-CN" w:eastAsia="zh-CN"/>
        </w:rPr>
        <w:t>（</w:t>
      </w:r>
      <w:r>
        <w:rPr>
          <w:rFonts w:hint="eastAsia" w:ascii="仿宋_GB2312" w:hAnsi="仿宋_GB2312" w:eastAsia="仿宋_GB2312"/>
          <w:color w:val="000000"/>
          <w:kern w:val="2"/>
          <w:sz w:val="30"/>
          <w:lang w:val="en-US" w:eastAsia="zh-CN"/>
        </w:rPr>
        <w:t>二</w:t>
      </w:r>
      <w:r>
        <w:rPr>
          <w:rFonts w:hint="eastAsia" w:ascii="仿宋_GB2312" w:hAnsi="仿宋_GB2312" w:eastAsia="仿宋_GB2312"/>
          <w:color w:val="000000"/>
          <w:kern w:val="2"/>
          <w:sz w:val="30"/>
          <w:lang w:val="zh-CN" w:eastAsia="zh-CN"/>
        </w:rPr>
        <w:t>）项目监管情况。领导重视，制度完善。</w:t>
      </w:r>
      <w:r>
        <w:rPr>
          <w:rFonts w:hint="eastAsia" w:ascii="仿宋_GB2312" w:hAnsi="仿宋_GB2312" w:eastAsia="仿宋_GB2312"/>
          <w:color w:val="000000"/>
          <w:kern w:val="2"/>
          <w:sz w:val="30"/>
          <w:lang w:val="en-US" w:eastAsia="zh-CN"/>
        </w:rPr>
        <w:t>县人大</w:t>
      </w:r>
      <w:r>
        <w:rPr>
          <w:rFonts w:hint="eastAsia" w:ascii="仿宋_GB2312" w:hAnsi="仿宋_GB2312" w:eastAsia="仿宋_GB2312"/>
          <w:color w:val="000000"/>
          <w:kern w:val="2"/>
          <w:sz w:val="30"/>
          <w:lang w:val="zh-CN" w:eastAsia="zh-CN"/>
        </w:rPr>
        <w:t>根据工作需要，有计划地开展</w:t>
      </w:r>
      <w:r>
        <w:rPr>
          <w:rFonts w:hint="eastAsia" w:ascii="仿宋_GB2312" w:hAnsi="仿宋_GB2312" w:eastAsia="仿宋_GB2312"/>
          <w:color w:val="000000"/>
          <w:kern w:val="2"/>
          <w:sz w:val="30"/>
          <w:lang w:val="en-US" w:eastAsia="zh-CN"/>
        </w:rPr>
        <w:t>代表工作经费</w:t>
      </w:r>
      <w:r>
        <w:rPr>
          <w:rFonts w:hint="eastAsia" w:ascii="仿宋_GB2312" w:hAnsi="仿宋_GB2312" w:eastAsia="仿宋_GB2312"/>
          <w:color w:val="000000"/>
          <w:kern w:val="2"/>
          <w:sz w:val="30"/>
          <w:lang w:val="zh-CN" w:eastAsia="zh-CN"/>
        </w:rPr>
        <w:t>支出及报账程序，明确职责、专款专用。本项目支出均按照有关规章制度进行支付。经费使用由办公室为主管理，</w:t>
      </w:r>
      <w:r>
        <w:rPr>
          <w:rFonts w:hint="eastAsia" w:ascii="仿宋_GB2312" w:hAnsi="仿宋_GB2312" w:eastAsia="仿宋_GB2312"/>
          <w:color w:val="000000"/>
          <w:kern w:val="2"/>
          <w:sz w:val="30"/>
          <w:lang w:val="en-US" w:eastAsia="zh-CN"/>
        </w:rPr>
        <w:t>其他工委</w:t>
      </w:r>
      <w:r>
        <w:rPr>
          <w:rFonts w:hint="eastAsia" w:ascii="仿宋_GB2312" w:hAnsi="仿宋_GB2312" w:eastAsia="仿宋_GB2312"/>
          <w:color w:val="000000"/>
          <w:kern w:val="2"/>
          <w:sz w:val="30"/>
          <w:lang w:val="zh-CN" w:eastAsia="zh-CN"/>
        </w:rPr>
        <w:t>协助，并根据要求建立台账。</w:t>
      </w:r>
    </w:p>
    <w:p w14:paraId="4AF55C6E">
      <w:pPr>
        <w:keepNext/>
        <w:keepLines/>
        <w:spacing w:beforeLines="0" w:afterLines="0" w:line="576" w:lineRule="exact"/>
        <w:ind w:firstLine="640"/>
        <w:jc w:val="both"/>
        <w:rPr>
          <w:rFonts w:hint="eastAsia" w:ascii="黑体" w:hAnsi="黑体" w:eastAsia="黑体"/>
          <w:color w:val="auto"/>
          <w:kern w:val="2"/>
          <w:sz w:val="32"/>
          <w:lang w:val="zh-CN" w:eastAsia="zh-CN"/>
        </w:rPr>
      </w:pPr>
      <w:r>
        <w:rPr>
          <w:rFonts w:hint="eastAsia" w:ascii="黑体" w:hAnsi="黑体" w:eastAsia="黑体"/>
          <w:color w:val="auto"/>
          <w:kern w:val="2"/>
          <w:sz w:val="32"/>
          <w:lang w:val="zh-CN" w:eastAsia="zh-CN"/>
        </w:rPr>
        <w:t>四、项目绩效情况</w:t>
      </w:r>
      <w:r>
        <w:rPr>
          <w:rFonts w:hint="eastAsia" w:ascii="黑体" w:hAnsi="黑体" w:eastAsia="黑体"/>
          <w:color w:val="auto"/>
          <w:kern w:val="2"/>
          <w:sz w:val="32"/>
          <w:lang w:val="zh-CN" w:eastAsia="zh-CN"/>
        </w:rPr>
        <w:tab/>
      </w:r>
    </w:p>
    <w:p w14:paraId="3337BAFD">
      <w:pPr>
        <w:autoSpaceDE/>
        <w:autoSpaceDN/>
        <w:snapToGrid w:val="0"/>
        <w:spacing w:beforeLines="0" w:afterLines="0" w:line="560" w:lineRule="exact"/>
        <w:ind w:firstLine="720"/>
        <w:rPr>
          <w:rFonts w:hint="eastAsia" w:ascii="仿宋_GB2312" w:hAnsi="仿宋_GB2312" w:eastAsia="仿宋_GB2312"/>
          <w:color w:val="000000"/>
          <w:kern w:val="2"/>
          <w:sz w:val="30"/>
          <w:lang w:val="zh-CN" w:eastAsia="zh-CN"/>
        </w:rPr>
      </w:pPr>
      <w:r>
        <w:rPr>
          <w:rFonts w:hint="eastAsia" w:ascii="仿宋_GB2312" w:hAnsi="仿宋_GB2312" w:eastAsia="仿宋_GB2312"/>
          <w:color w:val="000000"/>
          <w:kern w:val="2"/>
          <w:sz w:val="30"/>
          <w:lang w:val="zh-CN" w:eastAsia="zh-CN"/>
        </w:rPr>
        <w:t>（一）项目完成情况。</w:t>
      </w:r>
    </w:p>
    <w:p w14:paraId="3D9ABA3C">
      <w:pPr>
        <w:autoSpaceDE/>
        <w:autoSpaceDN/>
        <w:snapToGrid w:val="0"/>
        <w:spacing w:beforeLines="0" w:afterLines="0" w:line="560" w:lineRule="exact"/>
        <w:ind w:firstLine="720"/>
        <w:rPr>
          <w:rFonts w:hint="eastAsia" w:ascii="仿宋_GB2312" w:hAnsi="仿宋_GB2312" w:eastAsia="仿宋_GB2312"/>
          <w:color w:val="000000"/>
          <w:kern w:val="2"/>
          <w:sz w:val="30"/>
          <w:lang w:val="en-US" w:eastAsia="zh-CN"/>
        </w:rPr>
      </w:pPr>
      <w:r>
        <w:rPr>
          <w:rFonts w:hint="eastAsia" w:ascii="仿宋_GB2312" w:hAnsi="仿宋_GB2312" w:eastAsia="仿宋_GB2312"/>
          <w:color w:val="000000"/>
          <w:kern w:val="2"/>
          <w:sz w:val="30"/>
          <w:lang w:val="en-US" w:eastAsia="zh-CN"/>
        </w:rPr>
        <w:t>经过考核，既完成了县人大2023年年度工作要点和年度工作计划安排的任务，又将经费控制在预算范围内。此项经费为2023年人大代表视察、培训学习、执法检查等提供了资金保障。按照常委会工作安排，加大人大常委会委员在日常工作中的重要作用，通过实地调研、考察及开座谈会等方式，听取和审议报告，视察、调查、执法检查、听取述职，组织评议，审查规范行文，受理申诉，控告和检举，进行询问、质询、组织特定问题调查，撤销或者建议罢免职务。为县委、县政府决策提供及时、有效的决策信息。</w:t>
      </w:r>
    </w:p>
    <w:p w14:paraId="3DEB55C5">
      <w:pPr>
        <w:autoSpaceDE/>
        <w:autoSpaceDN/>
        <w:snapToGrid w:val="0"/>
        <w:spacing w:beforeLines="0" w:afterLines="0" w:line="560" w:lineRule="exact"/>
        <w:ind w:firstLine="720"/>
        <w:rPr>
          <w:rFonts w:hint="eastAsia" w:ascii="仿宋_GB2312" w:hAnsi="仿宋_GB2312" w:eastAsia="仿宋_GB2312"/>
          <w:color w:val="000000"/>
          <w:kern w:val="2"/>
          <w:sz w:val="30"/>
          <w:lang w:val="zh-CN" w:eastAsia="zh-CN"/>
        </w:rPr>
      </w:pPr>
      <w:r>
        <w:rPr>
          <w:rFonts w:hint="eastAsia" w:ascii="仿宋_GB2312" w:hAnsi="仿宋_GB2312" w:eastAsia="仿宋_GB2312"/>
          <w:color w:val="000000"/>
          <w:kern w:val="2"/>
          <w:sz w:val="30"/>
          <w:lang w:val="zh-CN" w:eastAsia="zh-CN"/>
        </w:rPr>
        <w:t>（二）项目效益情况。</w:t>
      </w:r>
    </w:p>
    <w:p w14:paraId="5A92955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00" w:firstLineChars="200"/>
        <w:jc w:val="both"/>
        <w:textAlignment w:val="auto"/>
        <w:rPr>
          <w:rFonts w:hint="eastAsia" w:ascii="仿宋_GB2312" w:hAnsi="仿宋_GB2312" w:eastAsia="仿宋_GB2312"/>
          <w:color w:val="000000"/>
          <w:kern w:val="2"/>
          <w:sz w:val="30"/>
          <w:lang w:val="en-US" w:eastAsia="zh-CN"/>
        </w:rPr>
      </w:pPr>
      <w:r>
        <w:rPr>
          <w:rFonts w:hint="eastAsia" w:ascii="仿宋_GB2312" w:hAnsi="仿宋_GB2312" w:eastAsia="仿宋_GB2312"/>
          <w:color w:val="000000"/>
          <w:kern w:val="2"/>
          <w:sz w:val="30"/>
          <w:lang w:val="zh-CN" w:eastAsia="zh-CN"/>
        </w:rPr>
        <w:t>一年来，在自治县委的坚强领导下，自治县人大常委会坚定不移以习近平新时代中国特色社会主义思想为指导，全面贯彻落实中央和省市县委的决策部署，坚持党的领导、人民当家作主、依法治国有机统一，强化责任担当，依法履职行权，为助推全县脱贫</w:t>
      </w:r>
      <w:r>
        <w:rPr>
          <w:rFonts w:hint="eastAsia" w:ascii="仿宋_GB2312" w:hAnsi="仿宋_GB2312" w:eastAsia="仿宋_GB2312"/>
          <w:color w:val="000000"/>
          <w:kern w:val="2"/>
          <w:sz w:val="30"/>
          <w:lang w:val="en-US" w:eastAsia="zh-CN"/>
        </w:rPr>
        <w:t>攻坚接续乡村振兴</w:t>
      </w:r>
      <w:r>
        <w:rPr>
          <w:rFonts w:hint="eastAsia" w:ascii="仿宋_GB2312" w:hAnsi="仿宋_GB2312" w:eastAsia="仿宋_GB2312"/>
          <w:color w:val="000000"/>
          <w:kern w:val="2"/>
          <w:sz w:val="30"/>
          <w:lang w:val="zh-CN" w:eastAsia="zh-CN"/>
        </w:rPr>
        <w:t>、民主法治建设和经济社会高质量发展作出了积极贡献。</w:t>
      </w:r>
      <w:r>
        <w:rPr>
          <w:rFonts w:hint="eastAsia" w:ascii="仿宋_GB2312" w:hAnsi="仿宋_GB2312" w:eastAsia="仿宋_GB2312" w:cs="Times New Roman"/>
          <w:color w:val="000000"/>
          <w:kern w:val="2"/>
          <w:sz w:val="30"/>
          <w:lang w:val="en-US" w:eastAsia="zh-CN"/>
        </w:rPr>
        <w:t>组织召开自治县第十届人大代表和人大干部履职能力提升培训会，邀请省人大相关领导、专家莅会指导授课，对173名人大代表进行集中培训。组织13个乡镇人大主席和副主席开展人事代表工作集中培训，对《四川省乡镇人民代表大会主席团工作条例》《乡镇人大主席工作职责》《关于人大代表在闭会期间的活动》及补选工作进行了全面辅导。组织市、县人大代表开展视察调研99人次、接访调解166人次、帮扶志愿活动227人次，参加有关经济社会发展、乡村振兴、城乡建设等征求意见座谈会，列席市、县人大常委会，旁听庭审等活动80人次，促进人大代表在履职实践中增长见识、增强本领、提升水平。各级人大代表走访接访群众28758人次，收集反映问题3155件，提出建议意见738件，为群众办实事好事5943件，切实帮助群众解决了一些急难愁盼的问题和困难。</w:t>
      </w:r>
    </w:p>
    <w:p w14:paraId="53368CB3">
      <w:pPr>
        <w:keepNext/>
        <w:keepLines/>
        <w:spacing w:beforeLines="0" w:afterLines="0" w:line="576" w:lineRule="exact"/>
        <w:ind w:firstLine="640"/>
        <w:jc w:val="both"/>
        <w:rPr>
          <w:rFonts w:hint="eastAsia" w:ascii="黑体" w:hAnsi="黑体" w:eastAsia="黑体"/>
          <w:color w:val="auto"/>
          <w:kern w:val="2"/>
          <w:sz w:val="32"/>
          <w:lang w:val="zh-CN" w:eastAsia="zh-CN"/>
        </w:rPr>
      </w:pPr>
      <w:r>
        <w:rPr>
          <w:rFonts w:hint="eastAsia" w:ascii="黑体" w:hAnsi="黑体" w:eastAsia="黑体"/>
          <w:color w:val="auto"/>
          <w:kern w:val="2"/>
          <w:sz w:val="32"/>
          <w:lang w:val="zh-CN" w:eastAsia="zh-CN"/>
        </w:rPr>
        <w:t>五、评价结论及建议</w:t>
      </w:r>
    </w:p>
    <w:p w14:paraId="0D14C776">
      <w:pPr>
        <w:autoSpaceDE/>
        <w:autoSpaceDN/>
        <w:snapToGrid w:val="0"/>
        <w:spacing w:beforeLines="0" w:afterLines="0" w:line="560" w:lineRule="exact"/>
        <w:ind w:firstLine="720"/>
        <w:rPr>
          <w:rFonts w:hint="eastAsia" w:ascii="仿宋_GB2312" w:hAnsi="仿宋_GB2312" w:eastAsia="仿宋_GB2312"/>
          <w:color w:val="000000"/>
          <w:kern w:val="2"/>
          <w:sz w:val="30"/>
          <w:lang w:val="zh-CN" w:eastAsia="zh-CN"/>
        </w:rPr>
      </w:pPr>
      <w:r>
        <w:rPr>
          <w:rFonts w:hint="eastAsia" w:ascii="仿宋_GB2312" w:hAnsi="仿宋_GB2312" w:eastAsia="仿宋_GB2312"/>
          <w:color w:val="000000"/>
          <w:kern w:val="2"/>
          <w:sz w:val="30"/>
          <w:lang w:val="zh-CN" w:eastAsia="zh-CN"/>
        </w:rPr>
        <w:t>（一）评价结论。</w:t>
      </w:r>
    </w:p>
    <w:p w14:paraId="2B90DF46">
      <w:pPr>
        <w:autoSpaceDE/>
        <w:autoSpaceDN/>
        <w:snapToGrid w:val="0"/>
        <w:spacing w:beforeLines="0" w:afterLines="0" w:line="560" w:lineRule="exact"/>
        <w:ind w:firstLine="720"/>
        <w:rPr>
          <w:rFonts w:hint="eastAsia" w:ascii="仿宋_GB2312" w:hAnsi="仿宋_GB2312" w:eastAsia="仿宋_GB2312"/>
          <w:color w:val="000000"/>
          <w:kern w:val="2"/>
          <w:sz w:val="30"/>
          <w:lang w:val="en-US" w:eastAsia="zh-CN"/>
        </w:rPr>
      </w:pPr>
      <w:r>
        <w:rPr>
          <w:rFonts w:hint="eastAsia" w:ascii="仿宋_GB2312" w:hAnsi="仿宋_GB2312" w:eastAsia="仿宋_GB2312"/>
          <w:color w:val="000000"/>
          <w:kern w:val="2"/>
          <w:sz w:val="30"/>
          <w:lang w:val="zh-CN" w:eastAsia="zh-CN"/>
        </w:rPr>
        <w:t>根据《峨边彝族自治县财政局关于开展20</w:t>
      </w:r>
      <w:r>
        <w:rPr>
          <w:rFonts w:hint="eastAsia" w:ascii="仿宋_GB2312" w:hAnsi="仿宋_GB2312" w:eastAsia="仿宋_GB2312"/>
          <w:color w:val="000000"/>
          <w:kern w:val="2"/>
          <w:sz w:val="30"/>
          <w:lang w:val="en-US" w:eastAsia="zh-CN"/>
        </w:rPr>
        <w:t>23</w:t>
      </w:r>
      <w:r>
        <w:rPr>
          <w:rFonts w:hint="eastAsia" w:ascii="仿宋_GB2312" w:hAnsi="仿宋_GB2312" w:eastAsia="仿宋_GB2312"/>
          <w:color w:val="000000"/>
          <w:kern w:val="2"/>
          <w:sz w:val="30"/>
          <w:lang w:val="zh-CN" w:eastAsia="zh-CN"/>
        </w:rPr>
        <w:t>年部门整体、项目和政策支出绩效评价工作的通知》文件精神，</w:t>
      </w:r>
      <w:r>
        <w:rPr>
          <w:rFonts w:hint="eastAsia" w:ascii="仿宋_GB2312" w:hAnsi="仿宋_GB2312" w:eastAsia="仿宋_GB2312"/>
          <w:color w:val="000000"/>
          <w:kern w:val="2"/>
          <w:sz w:val="30"/>
          <w:lang w:val="en-US" w:eastAsia="zh-CN"/>
        </w:rPr>
        <w:t>自治县人大办认真组织开展了部门整体支出绩效评价工作，绩效评价满意度达到</w:t>
      </w:r>
      <w:r>
        <w:rPr>
          <w:rFonts w:hint="eastAsia" w:ascii="仿宋_GB2312" w:hAnsi="仿宋_GB2312" w:eastAsia="仿宋_GB2312"/>
          <w:color w:val="000000"/>
          <w:kern w:val="2"/>
          <w:sz w:val="30"/>
          <w:lang w:val="zh-CN" w:eastAsia="zh-CN"/>
        </w:rPr>
        <w:t>：</w:t>
      </w:r>
      <w:r>
        <w:rPr>
          <w:rFonts w:hint="eastAsia" w:ascii="仿宋_GB2312" w:hAnsi="仿宋_GB2312" w:eastAsia="仿宋_GB2312"/>
          <w:color w:val="000000"/>
          <w:kern w:val="2"/>
          <w:sz w:val="30"/>
          <w:lang w:val="en-US" w:eastAsia="zh-CN"/>
        </w:rPr>
        <w:t>98%以上。</w:t>
      </w:r>
    </w:p>
    <w:p w14:paraId="31CFE287">
      <w:pPr>
        <w:autoSpaceDE/>
        <w:autoSpaceDN/>
        <w:snapToGrid w:val="0"/>
        <w:spacing w:beforeLines="0" w:afterLines="0" w:line="560" w:lineRule="exact"/>
        <w:ind w:firstLine="720"/>
        <w:rPr>
          <w:rFonts w:hint="eastAsia" w:ascii="仿宋_GB2312" w:hAnsi="仿宋_GB2312" w:eastAsia="仿宋_GB2312"/>
          <w:color w:val="000000"/>
          <w:kern w:val="2"/>
          <w:sz w:val="30"/>
          <w:lang w:val="en-US" w:eastAsia="zh-CN"/>
        </w:rPr>
      </w:pPr>
      <w:r>
        <w:rPr>
          <w:rFonts w:hint="eastAsia" w:ascii="仿宋_GB2312" w:hAnsi="仿宋_GB2312" w:eastAsia="仿宋_GB2312"/>
          <w:color w:val="000000"/>
          <w:kern w:val="2"/>
          <w:sz w:val="30"/>
          <w:lang w:val="zh-CN" w:eastAsia="zh-CN"/>
        </w:rPr>
        <w:t>（二）存在的问题。</w:t>
      </w:r>
      <w:r>
        <w:rPr>
          <w:rFonts w:hint="eastAsia" w:ascii="仿宋_GB2312" w:hAnsi="仿宋_GB2312" w:eastAsia="仿宋_GB2312"/>
          <w:color w:val="000000"/>
          <w:kern w:val="2"/>
          <w:sz w:val="30"/>
          <w:lang w:val="en-US" w:eastAsia="zh-CN"/>
        </w:rPr>
        <w:t>无</w:t>
      </w:r>
    </w:p>
    <w:p w14:paraId="2E46716B">
      <w:pPr>
        <w:autoSpaceDE/>
        <w:autoSpaceDN/>
        <w:snapToGrid w:val="0"/>
        <w:spacing w:beforeLines="0" w:afterLines="0" w:line="560" w:lineRule="exact"/>
        <w:ind w:firstLine="720"/>
        <w:rPr>
          <w:rFonts w:hint="eastAsia" w:ascii="仿宋_GB2312" w:hAnsi="仿宋_GB2312" w:eastAsia="仿宋_GB2312"/>
          <w:color w:val="000000"/>
          <w:kern w:val="2"/>
          <w:sz w:val="30"/>
          <w:lang w:val="zh-CN" w:eastAsia="zh-CN"/>
        </w:rPr>
      </w:pPr>
      <w:r>
        <w:rPr>
          <w:rFonts w:hint="eastAsia" w:ascii="仿宋_GB2312" w:hAnsi="仿宋_GB2312" w:eastAsia="仿宋_GB2312"/>
          <w:color w:val="000000"/>
          <w:kern w:val="2"/>
          <w:sz w:val="30"/>
          <w:lang w:val="zh-CN" w:eastAsia="zh-CN"/>
        </w:rPr>
        <w:t>（三）相关建议。</w:t>
      </w:r>
      <w:r>
        <w:rPr>
          <w:rFonts w:hint="eastAsia" w:ascii="仿宋_GB2312" w:hAnsi="仿宋_GB2312" w:eastAsia="仿宋_GB2312"/>
          <w:color w:val="000000"/>
          <w:kern w:val="2"/>
          <w:sz w:val="30"/>
          <w:lang w:val="en-US" w:eastAsia="zh-CN"/>
        </w:rPr>
        <w:t>无</w:t>
      </w:r>
    </w:p>
    <w:p w14:paraId="6C05C9AD">
      <w:pPr>
        <w:pStyle w:val="2"/>
        <w:spacing w:beforeLines="0" w:afterLines="0"/>
        <w:rPr>
          <w:rFonts w:hint="eastAsia"/>
          <w:sz w:val="24"/>
          <w:lang w:val="zh-CN"/>
        </w:rPr>
      </w:pPr>
    </w:p>
    <w:p w14:paraId="4CBDB646">
      <w:pPr>
        <w:pStyle w:val="3"/>
        <w:jc w:val="center"/>
        <w:rPr>
          <w:rFonts w:hint="eastAsia"/>
        </w:rPr>
      </w:pPr>
    </w:p>
    <w:p w14:paraId="512AC31A">
      <w:pPr>
        <w:pStyle w:val="3"/>
        <w:jc w:val="center"/>
      </w:pPr>
      <w:r>
        <w:rPr>
          <w:rFonts w:hint="eastAsia"/>
        </w:rPr>
        <w:t>第三部分 名词解释</w:t>
      </w:r>
    </w:p>
    <w:p w14:paraId="31211D5A"/>
    <w:p w14:paraId="73A7DC2C">
      <w:pPr>
        <w:ind w:firstLine="640" w:firstLineChars="200"/>
        <w:rPr>
          <w:rFonts w:hint="eastAsia" w:ascii="仿宋_GB2312" w:eastAsia="仿宋_GB2312"/>
          <w:sz w:val="32"/>
          <w:szCs w:val="32"/>
        </w:rPr>
      </w:pPr>
      <w:r>
        <w:rPr>
          <w:rFonts w:hint="eastAsia" w:ascii="仿宋_GB2312" w:eastAsia="仿宋_GB2312"/>
          <w:sz w:val="32"/>
          <w:szCs w:val="32"/>
        </w:rPr>
        <w:t>1.财政拨款收入：指单位从同级财政部门取得的财政预算资金。</w:t>
      </w:r>
    </w:p>
    <w:p w14:paraId="0BC708D4">
      <w:pPr>
        <w:ind w:firstLine="640" w:firstLineChars="200"/>
        <w:rPr>
          <w:rFonts w:hint="eastAsia" w:ascii="仿宋_GB2312" w:eastAsia="仿宋_GB2312"/>
          <w:sz w:val="32"/>
          <w:szCs w:val="32"/>
        </w:rPr>
      </w:pPr>
      <w:r>
        <w:rPr>
          <w:rFonts w:hint="eastAsia" w:ascii="仿宋_GB2312" w:eastAsia="仿宋_GB2312"/>
          <w:sz w:val="32"/>
          <w:szCs w:val="32"/>
        </w:rPr>
        <w:t>2.事业收入：指事业单位开展专业业务活动及辅助活动取得的收入。如…（二级预算单位事业收入情况）等。</w:t>
      </w:r>
    </w:p>
    <w:p w14:paraId="3811221C">
      <w:pPr>
        <w:ind w:firstLine="640" w:firstLineChars="200"/>
        <w:rPr>
          <w:rFonts w:hint="eastAsia" w:ascii="仿宋_GB2312" w:eastAsia="仿宋_GB2312"/>
          <w:sz w:val="32"/>
          <w:szCs w:val="32"/>
        </w:rPr>
      </w:pPr>
      <w:r>
        <w:rPr>
          <w:rFonts w:hint="eastAsia" w:ascii="仿宋_GB2312" w:eastAsia="仿宋_GB2312"/>
          <w:sz w:val="32"/>
          <w:szCs w:val="32"/>
        </w:rPr>
        <w:t>3.经营收入：指事业单位在专业业务活动及其辅助活动之外开展非独立核算经营活动取得的收入。如…（二级预算单位经营收入情况）等。</w:t>
      </w:r>
    </w:p>
    <w:p w14:paraId="1D2DA931">
      <w:pPr>
        <w:ind w:firstLine="640" w:firstLineChars="200"/>
        <w:rPr>
          <w:rFonts w:hint="eastAsia" w:ascii="仿宋_GB2312" w:eastAsia="仿宋_GB2312"/>
          <w:sz w:val="32"/>
          <w:szCs w:val="32"/>
        </w:rPr>
      </w:pPr>
      <w:r>
        <w:rPr>
          <w:rFonts w:hint="eastAsia" w:ascii="仿宋_GB2312" w:eastAsia="仿宋_GB2312"/>
          <w:sz w:val="32"/>
          <w:szCs w:val="32"/>
        </w:rPr>
        <w:t xml:space="preserve">4.其他收入：指单位取得的除上述收入以外的各项收入。主要是…（收入类型）等。 </w:t>
      </w:r>
    </w:p>
    <w:p w14:paraId="07E73175">
      <w:pPr>
        <w:ind w:firstLine="640" w:firstLineChars="200"/>
        <w:rPr>
          <w:rFonts w:hint="eastAsia" w:ascii="仿宋_GB2312" w:eastAsia="仿宋_GB2312"/>
          <w:sz w:val="32"/>
          <w:szCs w:val="32"/>
        </w:rPr>
      </w:pPr>
      <w:r>
        <w:rPr>
          <w:rFonts w:hint="eastAsia" w:ascii="仿宋_GB2312" w:eastAsia="仿宋_GB2312"/>
          <w:sz w:val="32"/>
          <w:szCs w:val="32"/>
        </w:rPr>
        <w:t xml:space="preserve">5.使用非财政拨款结余（含专用结余）：指事业单位使用以前年度积累的非财政拨款结余弥补当年收支差额的金额。 </w:t>
      </w:r>
    </w:p>
    <w:p w14:paraId="32DE9D13">
      <w:pPr>
        <w:ind w:firstLine="640" w:firstLineChars="200"/>
        <w:rPr>
          <w:rFonts w:hint="eastAsia" w:ascii="仿宋_GB2312" w:eastAsia="仿宋_GB2312"/>
          <w:sz w:val="32"/>
          <w:szCs w:val="32"/>
        </w:rPr>
      </w:pPr>
      <w:r>
        <w:rPr>
          <w:rFonts w:hint="eastAsia" w:ascii="仿宋_GB2312" w:eastAsia="仿宋_GB2312"/>
          <w:sz w:val="32"/>
          <w:szCs w:val="32"/>
        </w:rPr>
        <w:t xml:space="preserve">6.年初结转和结余：指以前年度尚未完成、结转到本年按有关规定继续使用的资金。 </w:t>
      </w:r>
    </w:p>
    <w:p w14:paraId="55351B78">
      <w:pPr>
        <w:ind w:firstLine="640" w:firstLineChars="200"/>
        <w:rPr>
          <w:rFonts w:hint="eastAsia" w:ascii="仿宋_GB2312" w:eastAsia="仿宋_GB2312"/>
          <w:sz w:val="32"/>
          <w:szCs w:val="32"/>
        </w:rPr>
      </w:pPr>
      <w:r>
        <w:rPr>
          <w:rFonts w:hint="eastAsia" w:ascii="仿宋_GB2312" w:eastAsia="仿宋_GB2312"/>
          <w:sz w:val="32"/>
          <w:szCs w:val="32"/>
        </w:rPr>
        <w:t>7.结余分配：指事业单位按照会计制度规定缴纳的所得税、提取的专用结余以及转入非财政拨款结余的金额等。</w:t>
      </w:r>
    </w:p>
    <w:p w14:paraId="787A3E9F">
      <w:pPr>
        <w:ind w:firstLine="640" w:firstLineChars="200"/>
        <w:rPr>
          <w:rFonts w:hint="eastAsia" w:ascii="仿宋_GB2312" w:eastAsia="仿宋_GB2312"/>
          <w:sz w:val="32"/>
          <w:szCs w:val="32"/>
        </w:rPr>
      </w:pPr>
      <w:r>
        <w:rPr>
          <w:rFonts w:hint="eastAsia" w:ascii="仿宋_GB2312" w:eastAsia="仿宋_GB2312"/>
          <w:sz w:val="32"/>
          <w:szCs w:val="32"/>
        </w:rPr>
        <w:t>8.年末结转和结余：指单位按有关规定结转到下年或以后年度继续使用的资金。</w:t>
      </w:r>
    </w:p>
    <w:p w14:paraId="6AE83001">
      <w:pPr>
        <w:ind w:firstLine="640" w:firstLineChars="200"/>
        <w:rPr>
          <w:rFonts w:ascii="仿宋_GB2312" w:eastAsia="仿宋_GB2312"/>
          <w:sz w:val="32"/>
          <w:szCs w:val="32"/>
        </w:rPr>
      </w:pPr>
      <w:r>
        <w:rPr>
          <w:rFonts w:hint="eastAsia" w:ascii="仿宋_GB2312" w:eastAsia="仿宋_GB2312"/>
          <w:sz w:val="32"/>
          <w:szCs w:val="32"/>
        </w:rPr>
        <w:t>9.基本支出：指为保障机构正常运转、完成日常工作任务而发生的人员支出和公用支出。</w:t>
      </w:r>
    </w:p>
    <w:p w14:paraId="3C6FC74C">
      <w:pPr>
        <w:ind w:firstLine="640" w:firstLineChars="200"/>
        <w:rPr>
          <w:rFonts w:ascii="仿宋_GB2312" w:eastAsia="仿宋_GB2312"/>
          <w:sz w:val="32"/>
          <w:szCs w:val="32"/>
        </w:rPr>
      </w:pPr>
      <w:r>
        <w:rPr>
          <w:rFonts w:hint="eastAsia" w:ascii="仿宋_GB2312" w:eastAsia="仿宋_GB2312"/>
          <w:sz w:val="32"/>
          <w:szCs w:val="32"/>
          <w:lang w:val="en-US" w:eastAsia="zh-CN"/>
        </w:rPr>
        <w:t>10</w:t>
      </w:r>
      <w:r>
        <w:rPr>
          <w:rFonts w:hint="eastAsia" w:ascii="仿宋_GB2312" w:eastAsia="仿宋_GB2312"/>
          <w:sz w:val="32"/>
          <w:szCs w:val="32"/>
        </w:rPr>
        <w:t xml:space="preserve">.项目支出：指在基本支出之外为完成特定行政任务和事业发展目标所发生的支出。 </w:t>
      </w:r>
    </w:p>
    <w:p w14:paraId="48AB91FD">
      <w:pPr>
        <w:ind w:firstLine="640" w:firstLineChars="200"/>
        <w:rPr>
          <w:rFonts w:ascii="仿宋_GB2312" w:eastAsia="仿宋_GB2312"/>
          <w:sz w:val="32"/>
          <w:szCs w:val="32"/>
        </w:rPr>
      </w:pPr>
      <w:r>
        <w:rPr>
          <w:rFonts w:hint="eastAsia" w:ascii="仿宋_GB2312" w:eastAsia="仿宋_GB2312"/>
          <w:sz w:val="32"/>
          <w:szCs w:val="32"/>
          <w:lang w:val="en-US" w:eastAsia="zh-CN"/>
        </w:rPr>
        <w:t>11</w:t>
      </w:r>
      <w:r>
        <w:rPr>
          <w:rFonts w:hint="eastAsia" w:ascii="仿宋_GB2312" w:eastAsia="仿宋_GB2312"/>
          <w:sz w:val="32"/>
          <w:szCs w:val="32"/>
        </w:rPr>
        <w:t>.经营支出：指事业单位在专业业务活动及其辅助活动之外开展非独立核算经营活动发生的支出。</w:t>
      </w:r>
    </w:p>
    <w:p w14:paraId="670CF914">
      <w:pPr>
        <w:ind w:firstLine="640" w:firstLineChars="200"/>
        <w:rPr>
          <w:rFonts w:ascii="仿宋_GB2312" w:eastAsia="仿宋_GB2312"/>
          <w:sz w:val="32"/>
          <w:szCs w:val="32"/>
        </w:rPr>
      </w:pPr>
      <w:r>
        <w:rPr>
          <w:rFonts w:hint="eastAsia" w:ascii="仿宋_GB2312" w:eastAsia="仿宋_GB2312"/>
          <w:sz w:val="32"/>
          <w:szCs w:val="32"/>
          <w:lang w:val="en-US" w:eastAsia="zh-CN"/>
        </w:rPr>
        <w:t>12</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00313587">
      <w:pPr>
        <w:ind w:firstLine="640" w:firstLineChars="200"/>
        <w:rPr>
          <w:rFonts w:ascii="仿宋_GB2312" w:eastAsia="仿宋_GB2312"/>
          <w:sz w:val="32"/>
          <w:szCs w:val="32"/>
        </w:rPr>
      </w:pPr>
      <w:r>
        <w:rPr>
          <w:rFonts w:hint="eastAsia" w:ascii="仿宋_GB2312" w:eastAsia="仿宋_GB2312"/>
          <w:sz w:val="32"/>
          <w:szCs w:val="32"/>
          <w:lang w:val="en-US" w:eastAsia="zh-CN"/>
        </w:rPr>
        <w:t>13</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2AC00123">
      <w:pPr>
        <w:ind w:firstLine="643" w:firstLineChars="200"/>
        <w:rPr>
          <w:rFonts w:ascii="仿宋" w:hAnsi="仿宋" w:eastAsia="仿宋"/>
          <w:b/>
          <w:sz w:val="32"/>
          <w:szCs w:val="32"/>
        </w:rPr>
      </w:pPr>
      <w:r>
        <w:rPr>
          <w:rFonts w:ascii="仿宋" w:hAnsi="仿宋" w:eastAsia="仿宋"/>
          <w:b/>
          <w:sz w:val="32"/>
          <w:szCs w:val="32"/>
        </w:rPr>
        <w:br w:type="page"/>
      </w:r>
    </w:p>
    <w:p w14:paraId="63D6130B">
      <w:pPr>
        <w:pStyle w:val="3"/>
        <w:jc w:val="center"/>
        <w:rPr>
          <w:rFonts w:ascii="黑体" w:hAnsi="黑体" w:eastAsia="黑体"/>
          <w:b w:val="0"/>
        </w:rPr>
      </w:pPr>
      <w:r>
        <w:rPr>
          <w:rFonts w:hint="eastAsia" w:ascii="黑体" w:hAnsi="黑体" w:eastAsia="黑体"/>
          <w:b w:val="0"/>
        </w:rPr>
        <w:t>第四部分 附件</w:t>
      </w:r>
    </w:p>
    <w:p w14:paraId="22E17CAB"/>
    <w:p w14:paraId="1AE06516">
      <w:pPr>
        <w:rPr>
          <w:rFonts w:ascii="黑体" w:hAnsi="黑体" w:eastAsia="黑体"/>
          <w:sz w:val="32"/>
          <w:szCs w:val="32"/>
        </w:rPr>
      </w:pPr>
      <w:r>
        <w:rPr>
          <w:rFonts w:hint="eastAsia" w:ascii="黑体" w:hAnsi="黑体" w:eastAsia="黑体"/>
          <w:sz w:val="32"/>
          <w:szCs w:val="32"/>
        </w:rPr>
        <w:t>附件1</w:t>
      </w:r>
    </w:p>
    <w:p w14:paraId="043E48BF">
      <w:pPr>
        <w:widowControl/>
        <w:spacing w:beforeLines="0" w:afterLines="0" w:line="580" w:lineRule="exact"/>
        <w:jc w:val="center"/>
        <w:rPr>
          <w:rFonts w:hint="eastAsia" w:ascii="宋体" w:hAnsi="宋体" w:eastAsia="宋体"/>
          <w:b/>
          <w:sz w:val="44"/>
          <w:shd w:val="clear" w:color="auto" w:fill="FFFFFF"/>
        </w:rPr>
      </w:pPr>
      <w:r>
        <w:rPr>
          <w:rFonts w:hint="eastAsia" w:ascii="宋体" w:hAnsi="宋体" w:eastAsia="宋体"/>
          <w:b/>
          <w:sz w:val="44"/>
          <w:shd w:val="clear" w:color="auto" w:fill="FFFFFF"/>
          <w:lang w:val="en-US" w:eastAsia="zh-CN"/>
        </w:rPr>
        <w:t>2022年度</w:t>
      </w:r>
      <w:r>
        <w:rPr>
          <w:rFonts w:hint="eastAsia" w:ascii="宋体" w:hAnsi="宋体" w:eastAsia="宋体"/>
          <w:b/>
          <w:sz w:val="44"/>
          <w:shd w:val="clear" w:color="auto" w:fill="FFFFFF"/>
        </w:rPr>
        <w:t>部门整体支出绩效</w:t>
      </w:r>
      <w:r>
        <w:rPr>
          <w:rFonts w:hint="eastAsia" w:ascii="宋体" w:hAnsi="宋体" w:eastAsia="宋体"/>
          <w:b/>
          <w:sz w:val="44"/>
          <w:shd w:val="clear" w:color="auto" w:fill="FFFFFF"/>
          <w:lang w:val="en-US" w:eastAsia="zh-CN"/>
        </w:rPr>
        <w:t>自评</w:t>
      </w:r>
      <w:r>
        <w:rPr>
          <w:rFonts w:hint="eastAsia" w:ascii="宋体" w:hAnsi="宋体" w:eastAsia="宋体"/>
          <w:b/>
          <w:sz w:val="44"/>
          <w:shd w:val="clear" w:color="auto" w:fill="FFFFFF"/>
        </w:rPr>
        <w:t>报告</w:t>
      </w:r>
    </w:p>
    <w:p w14:paraId="7111FD65">
      <w:pPr>
        <w:spacing w:beforeLines="0" w:afterLines="0" w:line="600" w:lineRule="exact"/>
        <w:ind w:firstLine="1920" w:firstLineChars="600"/>
        <w:jc w:val="both"/>
        <w:rPr>
          <w:rFonts w:hint="eastAsia" w:ascii="仿宋_GB2312" w:hAnsi="仿宋_GB2312" w:eastAsia="仿宋_GB2312"/>
          <w:sz w:val="32"/>
          <w:lang w:val="en-US" w:eastAsia="zh-CN"/>
        </w:rPr>
      </w:pPr>
      <w:r>
        <w:rPr>
          <w:rFonts w:hint="eastAsia" w:ascii="仿宋_GB2312" w:hAnsi="仿宋_GB2312" w:eastAsia="仿宋_GB2312"/>
          <w:sz w:val="32"/>
          <w:lang w:eastAsia="zh-CN"/>
        </w:rPr>
        <w:t>（</w:t>
      </w:r>
      <w:r>
        <w:rPr>
          <w:rFonts w:hint="eastAsia" w:ascii="仿宋_GB2312" w:hAnsi="宋体" w:eastAsia="仿宋_GB2312"/>
          <w:sz w:val="24"/>
          <w:shd w:val="clear" w:color="auto" w:fill="FFFFFF"/>
          <w:lang w:val="en-US" w:eastAsia="zh-CN"/>
        </w:rPr>
        <w:t>峨边彝族自治县人大常委会办公室）</w:t>
      </w:r>
    </w:p>
    <w:p w14:paraId="4141D733">
      <w:pPr>
        <w:widowControl/>
        <w:snapToGrid w:val="0"/>
        <w:spacing w:beforeLines="0" w:afterLines="0" w:line="580" w:lineRule="exact"/>
        <w:ind w:firstLine="660" w:firstLineChars="200"/>
        <w:rPr>
          <w:rFonts w:hint="eastAsia" w:ascii="方正仿宋_GBK" w:hAnsi="宋体" w:eastAsia="方正仿宋_GBK"/>
          <w:color w:val="000000"/>
          <w:sz w:val="33"/>
          <w:shd w:val="clear" w:color="auto" w:fill="FFFFFF"/>
        </w:rPr>
      </w:pPr>
    </w:p>
    <w:p w14:paraId="7E93C100">
      <w:pPr>
        <w:widowControl/>
        <w:snapToGrid w:val="0"/>
        <w:spacing w:beforeLines="0" w:afterLines="0" w:line="580" w:lineRule="exact"/>
        <w:ind w:firstLine="480" w:firstLineChars="200"/>
        <w:rPr>
          <w:rFonts w:hint="eastAsia" w:ascii="黑体" w:hAnsi="黑体" w:eastAsia="黑体"/>
          <w:color w:val="000000"/>
          <w:sz w:val="24"/>
          <w:shd w:val="clear" w:color="auto" w:fill="FFFFFF"/>
          <w:lang w:val="zh-CN"/>
        </w:rPr>
      </w:pPr>
      <w:r>
        <w:rPr>
          <w:rFonts w:hint="eastAsia" w:ascii="黑体" w:hAnsi="黑体" w:eastAsia="黑体"/>
          <w:color w:val="000000"/>
          <w:sz w:val="24"/>
          <w:shd w:val="clear" w:color="auto" w:fill="FFFFFF"/>
        </w:rPr>
        <w:t>一、</w:t>
      </w:r>
      <w:r>
        <w:rPr>
          <w:rFonts w:hint="eastAsia" w:ascii="黑体" w:hAnsi="黑体" w:eastAsia="黑体"/>
          <w:color w:val="000000"/>
          <w:sz w:val="24"/>
          <w:shd w:val="clear" w:color="auto" w:fill="FFFFFF"/>
          <w:lang w:val="zh-CN"/>
        </w:rPr>
        <w:t>部门基本情况</w:t>
      </w:r>
    </w:p>
    <w:p w14:paraId="10361816">
      <w:pPr>
        <w:autoSpaceDE/>
        <w:autoSpaceDN/>
        <w:snapToGrid w:val="0"/>
        <w:spacing w:beforeLines="0" w:afterLines="0" w:line="560" w:lineRule="exact"/>
        <w:ind w:firstLine="720"/>
        <w:rPr>
          <w:rFonts w:hint="eastAsia" w:ascii="仿宋_GB2312" w:hAnsi="仿宋_GB2312" w:eastAsia="仿宋_GB2312"/>
          <w:color w:val="000000"/>
          <w:kern w:val="2"/>
          <w:sz w:val="30"/>
          <w:lang w:val="zh-CN" w:eastAsia="zh-CN"/>
        </w:rPr>
      </w:pPr>
      <w:r>
        <w:rPr>
          <w:rFonts w:hint="eastAsia" w:ascii="仿宋_GB2312" w:hAnsi="仿宋_GB2312" w:eastAsia="仿宋_GB2312"/>
          <w:color w:val="000000"/>
          <w:kern w:val="2"/>
          <w:sz w:val="30"/>
          <w:lang w:val="zh-CN" w:eastAsia="zh-CN"/>
        </w:rPr>
        <w:t>（一）机构组成。</w:t>
      </w:r>
      <w:r>
        <w:rPr>
          <w:rFonts w:hint="eastAsia" w:ascii="仿宋_GB2312" w:hAnsi="仿宋_GB2312" w:eastAsia="仿宋_GB2312"/>
          <w:color w:val="000000"/>
          <w:kern w:val="2"/>
          <w:sz w:val="30"/>
          <w:lang w:val="en-US" w:eastAsia="zh-CN"/>
        </w:rPr>
        <w:t>自治县人大办预算单位1个，其中：行政单位1个，事业单位0个。</w:t>
      </w:r>
    </w:p>
    <w:p w14:paraId="33F63F4D">
      <w:pPr>
        <w:autoSpaceDE/>
        <w:autoSpaceDN/>
        <w:snapToGrid w:val="0"/>
        <w:spacing w:beforeLines="0" w:afterLines="0" w:line="560" w:lineRule="exact"/>
        <w:ind w:firstLine="720"/>
        <w:rPr>
          <w:rFonts w:hint="eastAsia" w:ascii="仿宋_GB2312" w:hAnsi="仿宋_GB2312" w:eastAsia="仿宋_GB2312"/>
          <w:color w:val="000000"/>
          <w:kern w:val="2"/>
          <w:sz w:val="30"/>
          <w:lang w:val="en-US" w:eastAsia="zh-CN"/>
        </w:rPr>
      </w:pPr>
      <w:r>
        <w:rPr>
          <w:rFonts w:hint="eastAsia" w:ascii="仿宋_GB2312" w:hAnsi="仿宋_GB2312" w:eastAsia="仿宋_GB2312"/>
          <w:color w:val="000000"/>
          <w:kern w:val="2"/>
          <w:sz w:val="30"/>
          <w:lang w:val="zh-CN" w:eastAsia="zh-CN"/>
        </w:rPr>
        <w:t>（二）机构职能和人员概况。</w:t>
      </w:r>
      <w:r>
        <w:rPr>
          <w:rFonts w:hint="eastAsia" w:ascii="仿宋_GB2312" w:hAnsi="仿宋_GB2312" w:eastAsia="仿宋_GB2312"/>
          <w:color w:val="000000"/>
          <w:kern w:val="2"/>
          <w:sz w:val="30"/>
          <w:lang w:val="en-US" w:eastAsia="zh-CN"/>
        </w:rPr>
        <w:t>自治县人大办依法行使民族立法权、重大事项决定权、监督权、人事任免权等做好服务工作；为代表视察、代表培训、代表议案、建议、批评和意见办理工作等做好服务。</w:t>
      </w:r>
    </w:p>
    <w:p w14:paraId="39C541A3">
      <w:pPr>
        <w:autoSpaceDE/>
        <w:autoSpaceDN/>
        <w:snapToGrid w:val="0"/>
        <w:spacing w:beforeLines="0" w:afterLines="0" w:line="560" w:lineRule="exact"/>
        <w:ind w:firstLine="720"/>
        <w:rPr>
          <w:rFonts w:hint="eastAsia" w:ascii="仿宋_GB2312" w:hAnsi="仿宋_GB2312" w:eastAsia="仿宋_GB2312"/>
          <w:color w:val="000000"/>
          <w:kern w:val="2"/>
          <w:sz w:val="30"/>
          <w:lang w:val="zh-CN" w:eastAsia="zh-CN"/>
        </w:rPr>
      </w:pPr>
      <w:r>
        <w:rPr>
          <w:rFonts w:hint="eastAsia" w:ascii="仿宋_GB2312" w:hAnsi="仿宋_GB2312" w:eastAsia="仿宋_GB2312"/>
          <w:color w:val="000000"/>
          <w:kern w:val="2"/>
          <w:sz w:val="30"/>
          <w:lang w:val="en-US" w:eastAsia="zh-CN"/>
        </w:rPr>
        <w:t>自治县人大办总编制23名，其中：行政编制10名，工勤编制4名，事业编制11名。在职人员总数33名，其中：行政23名，工勤1名，事业9名。离休0名。</w:t>
      </w:r>
    </w:p>
    <w:p w14:paraId="7A030AC9">
      <w:pPr>
        <w:numPr>
          <w:ilvl w:val="0"/>
          <w:numId w:val="6"/>
        </w:numPr>
        <w:autoSpaceDE/>
        <w:autoSpaceDN/>
        <w:snapToGrid w:val="0"/>
        <w:spacing w:beforeLines="0" w:afterLines="0" w:line="560" w:lineRule="exact"/>
        <w:ind w:firstLine="720"/>
        <w:rPr>
          <w:rFonts w:hint="eastAsia" w:ascii="仿宋_GB2312" w:hAnsi="方正粗黑宋简体" w:eastAsia="仿宋_GB2312" w:cs="宋体"/>
          <w:b/>
          <w:bCs/>
          <w:color w:val="auto"/>
          <w:kern w:val="2"/>
          <w:sz w:val="32"/>
          <w:szCs w:val="32"/>
          <w:lang w:val="en-US" w:eastAsia="zh-CN" w:bidi="ar-SA"/>
        </w:rPr>
      </w:pPr>
      <w:r>
        <w:rPr>
          <w:rFonts w:hint="eastAsia" w:ascii="仿宋_GB2312" w:hAnsi="仿宋_GB2312" w:eastAsia="仿宋_GB2312"/>
          <w:color w:val="000000"/>
          <w:kern w:val="2"/>
          <w:sz w:val="30"/>
          <w:lang w:val="zh-CN" w:eastAsia="zh-CN"/>
        </w:rPr>
        <w:t>年度主要工作任务。</w:t>
      </w:r>
      <w:r>
        <w:rPr>
          <w:rFonts w:hint="eastAsia" w:ascii="仿宋_GB2312" w:hAnsi="仿宋_GB2312" w:eastAsia="仿宋_GB2312"/>
          <w:color w:val="000000"/>
          <w:kern w:val="2"/>
          <w:sz w:val="30"/>
          <w:lang w:val="en-US" w:eastAsia="zh-CN"/>
        </w:rPr>
        <w:t>2023年重点工作任务介绍：</w:t>
      </w:r>
      <w:r>
        <w:rPr>
          <w:rFonts w:hint="eastAsia" w:ascii="仿宋" w:hAnsi="仿宋" w:eastAsia="仿宋" w:cs="Times New Roman"/>
          <w:b w:val="0"/>
          <w:bCs w:val="0"/>
          <w:color w:val="000000"/>
          <w:kern w:val="2"/>
          <w:sz w:val="32"/>
          <w:szCs w:val="24"/>
          <w:lang w:val="en-US" w:eastAsia="zh-CN" w:bidi="ar-SA"/>
        </w:rPr>
        <w:t>紧扣县委“党建引领、三区联动、城乡融合、全面振兴”发展思路，围绕“重大产业项目提升年”经济工作主基点，制定自治县人大常委会2023年“一要点三计划”</w:t>
      </w:r>
      <w:r>
        <w:rPr>
          <w:rFonts w:hint="eastAsia" w:ascii="仿宋_GB2312" w:hAnsi="仿宋_GB2312" w:eastAsia="仿宋_GB2312"/>
          <w:color w:val="000000"/>
          <w:kern w:val="2"/>
          <w:sz w:val="30"/>
          <w:lang w:val="en-US" w:eastAsia="zh-CN"/>
        </w:rPr>
        <w:t>聚力县委重点推进的大事要事、人民关切的热点难点，依法履职行权，创新担当作为，加大监督力度，为</w:t>
      </w:r>
      <w:r>
        <w:rPr>
          <w:rFonts w:hint="eastAsia" w:ascii="仿宋_GB2312" w:hAnsi="方正粗黑宋简体" w:eastAsia="仿宋_GB2312" w:cs="宋体"/>
          <w:b/>
          <w:bCs/>
          <w:color w:val="auto"/>
          <w:kern w:val="2"/>
          <w:sz w:val="32"/>
          <w:szCs w:val="32"/>
          <w:lang w:val="en-US" w:eastAsia="zh-CN" w:bidi="ar-SA"/>
        </w:rPr>
        <w:t>加快建设“精致之城、美丽峨边”作出新的更大贡献</w:t>
      </w:r>
    </w:p>
    <w:p w14:paraId="445E0CE9">
      <w:pPr>
        <w:numPr>
          <w:ilvl w:val="0"/>
          <w:numId w:val="6"/>
        </w:numPr>
        <w:autoSpaceDE/>
        <w:autoSpaceDN/>
        <w:snapToGrid w:val="0"/>
        <w:spacing w:beforeLines="0" w:afterLines="0" w:line="560" w:lineRule="exact"/>
        <w:ind w:firstLine="720"/>
        <w:rPr>
          <w:rFonts w:hint="eastAsia" w:ascii="仿宋_GB2312" w:hAnsi="仿宋_GB2312" w:eastAsia="仿宋_GB2312"/>
          <w:color w:val="000000"/>
          <w:kern w:val="2"/>
          <w:sz w:val="30"/>
          <w:lang w:val="zh-CN" w:eastAsia="zh-CN"/>
        </w:rPr>
      </w:pPr>
      <w:r>
        <w:rPr>
          <w:rFonts w:hint="eastAsia" w:ascii="仿宋_GB2312" w:hAnsi="仿宋_GB2312" w:eastAsia="仿宋_GB2312"/>
          <w:color w:val="000000"/>
          <w:kern w:val="2"/>
          <w:sz w:val="30"/>
          <w:lang w:val="zh-CN" w:eastAsia="zh-CN"/>
        </w:rPr>
        <w:t>部门整体支出绩效目标。保障机关基本行政运行、人大会议召开，通过六个工作报告，批准202</w:t>
      </w:r>
      <w:r>
        <w:rPr>
          <w:rFonts w:hint="eastAsia" w:ascii="仿宋_GB2312" w:hAnsi="仿宋_GB2312" w:eastAsia="仿宋_GB2312"/>
          <w:color w:val="000000"/>
          <w:kern w:val="2"/>
          <w:sz w:val="30"/>
          <w:lang w:val="en-US" w:eastAsia="zh-CN"/>
        </w:rPr>
        <w:t>3</w:t>
      </w:r>
      <w:r>
        <w:rPr>
          <w:rFonts w:hint="eastAsia" w:ascii="仿宋_GB2312" w:hAnsi="仿宋_GB2312" w:eastAsia="仿宋_GB2312"/>
          <w:color w:val="000000"/>
          <w:kern w:val="2"/>
          <w:sz w:val="30"/>
          <w:lang w:val="zh-CN" w:eastAsia="zh-CN"/>
        </w:rPr>
        <w:t>年国民经济和社会发展计划、20</w:t>
      </w:r>
      <w:r>
        <w:rPr>
          <w:rFonts w:hint="eastAsia" w:ascii="仿宋_GB2312" w:hAnsi="仿宋_GB2312" w:eastAsia="仿宋_GB2312"/>
          <w:color w:val="000000"/>
          <w:kern w:val="2"/>
          <w:sz w:val="30"/>
          <w:lang w:val="en-US" w:eastAsia="zh-CN"/>
        </w:rPr>
        <w:t>22</w:t>
      </w:r>
      <w:r>
        <w:rPr>
          <w:rFonts w:hint="eastAsia" w:ascii="仿宋_GB2312" w:hAnsi="仿宋_GB2312" w:eastAsia="仿宋_GB2312"/>
          <w:color w:val="000000"/>
          <w:kern w:val="2"/>
          <w:sz w:val="30"/>
          <w:lang w:val="zh-CN" w:eastAsia="zh-CN"/>
        </w:rPr>
        <w:t>年财政预算执行情况的报告和202</w:t>
      </w:r>
      <w:r>
        <w:rPr>
          <w:rFonts w:hint="eastAsia" w:ascii="仿宋_GB2312" w:hAnsi="仿宋_GB2312" w:eastAsia="仿宋_GB2312"/>
          <w:color w:val="000000"/>
          <w:kern w:val="2"/>
          <w:sz w:val="30"/>
          <w:lang w:val="en-US" w:eastAsia="zh-CN"/>
        </w:rPr>
        <w:t>2</w:t>
      </w:r>
      <w:r>
        <w:rPr>
          <w:rFonts w:hint="eastAsia" w:ascii="仿宋_GB2312" w:hAnsi="仿宋_GB2312" w:eastAsia="仿宋_GB2312"/>
          <w:color w:val="000000"/>
          <w:kern w:val="2"/>
          <w:sz w:val="30"/>
          <w:lang w:val="zh-CN" w:eastAsia="zh-CN"/>
        </w:rPr>
        <w:t>年县级财政预算以及93个预算单位的部门预算，顺利完成人民政府报送的重大事项决定、人事任免、完成《峨边彝族自治县人居环境综合治理条例》制定</w:t>
      </w:r>
    </w:p>
    <w:p w14:paraId="4FC815F3">
      <w:pPr>
        <w:autoSpaceDE/>
        <w:autoSpaceDN/>
        <w:snapToGrid w:val="0"/>
        <w:spacing w:beforeLines="0" w:afterLines="0" w:line="560" w:lineRule="exact"/>
        <w:ind w:firstLine="720"/>
        <w:rPr>
          <w:rFonts w:hint="eastAsia" w:ascii="仿宋_GB2312" w:hAnsi="仿宋_GB2312" w:eastAsia="仿宋_GB2312"/>
          <w:b/>
          <w:color w:val="000000"/>
          <w:kern w:val="2"/>
          <w:sz w:val="30"/>
          <w:lang w:val="en-US" w:eastAsia="zh-CN"/>
        </w:rPr>
      </w:pPr>
      <w:r>
        <w:rPr>
          <w:rFonts w:hint="eastAsia" w:ascii="仿宋_GB2312" w:hAnsi="仿宋_GB2312" w:eastAsia="仿宋_GB2312"/>
          <w:b/>
          <w:color w:val="000000"/>
          <w:kern w:val="2"/>
          <w:sz w:val="30"/>
          <w:lang w:val="en-US" w:eastAsia="zh-CN"/>
        </w:rPr>
        <w:t>二、部门财政资金收支情况</w:t>
      </w:r>
    </w:p>
    <w:p w14:paraId="29800BCA">
      <w:pPr>
        <w:autoSpaceDE/>
        <w:autoSpaceDN/>
        <w:snapToGrid w:val="0"/>
        <w:spacing w:beforeLines="0" w:afterLines="0" w:line="560" w:lineRule="exact"/>
        <w:ind w:firstLine="720"/>
        <w:rPr>
          <w:rFonts w:hint="eastAsia" w:ascii="仿宋_GB2312" w:hAnsi="仿宋_GB2312" w:eastAsia="仿宋_GB2312"/>
          <w:color w:val="000000"/>
          <w:kern w:val="2"/>
          <w:sz w:val="30"/>
          <w:lang w:val="en-US" w:eastAsia="zh-CN"/>
        </w:rPr>
      </w:pPr>
      <w:r>
        <w:rPr>
          <w:rFonts w:hint="eastAsia" w:ascii="仿宋_GB2312" w:hAnsi="仿宋_GB2312" w:eastAsia="仿宋_GB2312"/>
          <w:color w:val="000000"/>
          <w:kern w:val="2"/>
          <w:sz w:val="30"/>
          <w:lang w:val="zh-CN" w:eastAsia="zh-CN"/>
        </w:rPr>
        <w:t>（一）部门财政资金收入情况。</w:t>
      </w:r>
      <w:r>
        <w:rPr>
          <w:rFonts w:hint="eastAsia" w:ascii="仿宋_GB2312" w:hAnsi="仿宋_GB2312" w:eastAsia="仿宋_GB2312"/>
          <w:color w:val="000000"/>
          <w:kern w:val="2"/>
          <w:sz w:val="30"/>
          <w:lang w:val="en-US" w:eastAsia="zh-CN"/>
        </w:rPr>
        <w:t>自治县人大办 2023年支出预算808.72 万元，其中：基本支出652.72，占80%；项目支出156万元，占20%。收入包括：本年一般公共预算拨款收入 808.72 万元、本年政府性基金预算拨款收入0 万元；</w:t>
      </w:r>
    </w:p>
    <w:p w14:paraId="3F7642AC">
      <w:pPr>
        <w:autoSpaceDE/>
        <w:autoSpaceDN/>
        <w:snapToGrid w:val="0"/>
        <w:spacing w:beforeLines="0" w:afterLines="0" w:line="560" w:lineRule="exact"/>
        <w:ind w:firstLine="720"/>
        <w:rPr>
          <w:rFonts w:hint="eastAsia" w:ascii="仿宋_GB2312" w:hAnsi="仿宋_GB2312" w:eastAsia="仿宋_GB2312"/>
          <w:color w:val="000000"/>
          <w:kern w:val="2"/>
          <w:sz w:val="30"/>
          <w:lang w:val="zh-CN" w:eastAsia="zh-CN"/>
        </w:rPr>
      </w:pPr>
      <w:r>
        <w:rPr>
          <w:rFonts w:hint="eastAsia" w:ascii="仿宋_GB2312" w:hAnsi="仿宋_GB2312" w:eastAsia="仿宋_GB2312"/>
          <w:color w:val="000000"/>
          <w:kern w:val="2"/>
          <w:sz w:val="30"/>
          <w:lang w:val="zh-CN" w:eastAsia="zh-CN"/>
        </w:rPr>
        <w:t>部门财政资金支出情况。</w:t>
      </w:r>
      <w:r>
        <w:rPr>
          <w:rFonts w:hint="eastAsia" w:ascii="仿宋_GB2312" w:hAnsi="仿宋_GB2312" w:eastAsia="仿宋_GB2312"/>
          <w:color w:val="000000"/>
          <w:kern w:val="2"/>
          <w:sz w:val="30"/>
          <w:lang w:val="en-US" w:eastAsia="zh-CN"/>
        </w:rPr>
        <w:t>支出包括：一般公共服务支出 675.54万元、社会保障和就业支出71.31万元、卫生健康支出17.02万元，住户保障支出44.85万元。</w:t>
      </w:r>
    </w:p>
    <w:p w14:paraId="59D17659">
      <w:pPr>
        <w:autoSpaceDE/>
        <w:autoSpaceDN/>
        <w:snapToGrid w:val="0"/>
        <w:spacing w:beforeLines="0" w:afterLines="0" w:line="560" w:lineRule="exact"/>
        <w:ind w:firstLine="720"/>
        <w:rPr>
          <w:rFonts w:hint="eastAsia" w:ascii="仿宋_GB2312" w:hAnsi="仿宋_GB2312" w:eastAsia="仿宋_GB2312"/>
          <w:color w:val="000000"/>
          <w:kern w:val="2"/>
          <w:sz w:val="30"/>
          <w:lang w:val="en-US" w:eastAsia="zh-CN"/>
        </w:rPr>
      </w:pPr>
      <w:r>
        <w:rPr>
          <w:rFonts w:hint="eastAsia" w:ascii="仿宋_GB2312" w:hAnsi="仿宋_GB2312" w:eastAsia="仿宋_GB2312"/>
          <w:color w:val="000000"/>
          <w:kern w:val="2"/>
          <w:sz w:val="30"/>
          <w:lang w:val="zh-CN" w:eastAsia="zh-CN"/>
        </w:rPr>
        <w:t>（三）部门财政资金结转结余情况。</w:t>
      </w:r>
      <w:r>
        <w:rPr>
          <w:rFonts w:hint="eastAsia" w:ascii="仿宋_GB2312" w:hAnsi="仿宋_GB2312" w:eastAsia="仿宋_GB2312"/>
          <w:color w:val="000000"/>
          <w:kern w:val="2"/>
          <w:sz w:val="30"/>
          <w:lang w:val="en-US" w:eastAsia="zh-CN"/>
        </w:rPr>
        <w:t>无</w:t>
      </w:r>
    </w:p>
    <w:p w14:paraId="19A69023">
      <w:pPr>
        <w:autoSpaceDE/>
        <w:autoSpaceDN/>
        <w:snapToGrid w:val="0"/>
        <w:spacing w:beforeLines="0" w:afterLines="0" w:line="560" w:lineRule="exact"/>
        <w:ind w:firstLine="720"/>
        <w:rPr>
          <w:rFonts w:hint="eastAsia" w:ascii="仿宋_GB2312" w:hAnsi="仿宋_GB2312" w:eastAsia="仿宋_GB2312"/>
          <w:color w:val="000000"/>
          <w:kern w:val="2"/>
          <w:sz w:val="30"/>
          <w:lang w:val="en-US" w:eastAsia="zh-CN"/>
        </w:rPr>
      </w:pPr>
      <w:r>
        <w:rPr>
          <w:rFonts w:hint="eastAsia" w:ascii="仿宋_GB2312" w:hAnsi="仿宋_GB2312" w:eastAsia="仿宋_GB2312"/>
          <w:color w:val="000000"/>
          <w:kern w:val="2"/>
          <w:sz w:val="30"/>
          <w:lang w:val="en-US" w:eastAsia="zh-CN"/>
        </w:rPr>
        <w:t>三、部门整体绩效管理情况（根据自评体系进行描述）</w:t>
      </w:r>
    </w:p>
    <w:p w14:paraId="59544623">
      <w:pPr>
        <w:autoSpaceDE/>
        <w:autoSpaceDN/>
        <w:snapToGrid w:val="0"/>
        <w:spacing w:beforeLines="0" w:afterLines="0" w:line="560" w:lineRule="exact"/>
        <w:ind w:firstLine="720"/>
        <w:rPr>
          <w:rFonts w:hint="eastAsia" w:ascii="仿宋_GB2312" w:hAnsi="仿宋_GB2312" w:eastAsia="仿宋_GB2312"/>
          <w:color w:val="000000"/>
          <w:kern w:val="2"/>
          <w:sz w:val="30"/>
          <w:lang w:val="zh-CN" w:eastAsia="zh-CN"/>
        </w:rPr>
      </w:pPr>
      <w:r>
        <w:rPr>
          <w:rFonts w:hint="eastAsia" w:ascii="仿宋_GB2312" w:hAnsi="仿宋_GB2312" w:eastAsia="仿宋_GB2312"/>
          <w:color w:val="000000"/>
          <w:kern w:val="2"/>
          <w:sz w:val="30"/>
          <w:lang w:val="zh-CN" w:eastAsia="zh-CN"/>
        </w:rPr>
        <w:t>（一）部门整体履职绩效分析。</w:t>
      </w:r>
    </w:p>
    <w:p w14:paraId="7714FDCC">
      <w:pPr>
        <w:autoSpaceDE/>
        <w:autoSpaceDN/>
        <w:snapToGrid w:val="0"/>
        <w:spacing w:beforeLines="0" w:afterLines="0" w:line="560" w:lineRule="exact"/>
        <w:ind w:firstLine="720"/>
        <w:rPr>
          <w:rFonts w:hint="eastAsia" w:ascii="仿宋_GB2312" w:hAnsi="仿宋_GB2312" w:eastAsia="仿宋_GB2312"/>
          <w:color w:val="000000"/>
          <w:kern w:val="2"/>
          <w:sz w:val="30"/>
          <w:lang w:val="zh-CN" w:eastAsia="zh-CN"/>
        </w:rPr>
      </w:pPr>
      <w:r>
        <w:rPr>
          <w:rFonts w:hint="eastAsia" w:ascii="仿宋_GB2312" w:hAnsi="仿宋_GB2312" w:eastAsia="仿宋_GB2312"/>
          <w:color w:val="000000"/>
          <w:kern w:val="2"/>
          <w:sz w:val="30"/>
          <w:lang w:val="en-US" w:eastAsia="zh-CN"/>
        </w:rPr>
        <w:t>1、预算管理：2022年本部门的绩效目标制定、目标完成、预决算编制等均按照县财政局下达的相关文件指标进行了编制，均按相关要求严格执行预算范围内开支，并完成所有预定目标，全年无违规记录。   </w:t>
      </w:r>
    </w:p>
    <w:p w14:paraId="2F33CC04">
      <w:pPr>
        <w:autoSpaceDE/>
        <w:autoSpaceDN/>
        <w:snapToGrid w:val="0"/>
        <w:spacing w:beforeLines="0" w:afterLines="0" w:line="560" w:lineRule="exact"/>
        <w:ind w:firstLine="720"/>
        <w:rPr>
          <w:rFonts w:hint="eastAsia" w:ascii="仿宋_GB2312" w:hAnsi="仿宋_GB2312" w:eastAsia="仿宋_GB2312"/>
          <w:color w:val="000000"/>
          <w:kern w:val="2"/>
          <w:sz w:val="30"/>
          <w:lang w:val="zh-CN" w:eastAsia="zh-CN"/>
        </w:rPr>
      </w:pPr>
      <w:r>
        <w:rPr>
          <w:rFonts w:hint="eastAsia" w:ascii="仿宋_GB2312" w:hAnsi="仿宋_GB2312" w:eastAsia="仿宋_GB2312"/>
          <w:color w:val="000000"/>
          <w:kern w:val="2"/>
          <w:sz w:val="30"/>
          <w:lang w:val="zh-CN" w:eastAsia="zh-CN"/>
        </w:rPr>
        <w:t>（二）特定目标类项目绩效分析。</w:t>
      </w:r>
    </w:p>
    <w:p w14:paraId="6FE130E4">
      <w:pPr>
        <w:autoSpaceDE/>
        <w:autoSpaceDN/>
        <w:snapToGrid w:val="0"/>
        <w:spacing w:beforeLines="0" w:afterLines="0" w:line="560" w:lineRule="exact"/>
        <w:ind w:firstLine="720"/>
        <w:rPr>
          <w:rFonts w:hint="eastAsia" w:ascii="仿宋_GB2312" w:hAnsi="仿宋_GB2312" w:eastAsia="仿宋_GB2312"/>
          <w:color w:val="000000"/>
          <w:kern w:val="2"/>
          <w:sz w:val="30"/>
          <w:lang w:val="en-US" w:eastAsia="zh-CN"/>
        </w:rPr>
      </w:pPr>
      <w:r>
        <w:rPr>
          <w:rFonts w:hint="eastAsia" w:ascii="仿宋_GB2312" w:hAnsi="仿宋_GB2312" w:eastAsia="仿宋_GB2312"/>
          <w:color w:val="000000"/>
          <w:kern w:val="2"/>
          <w:sz w:val="30"/>
          <w:lang w:val="en-US" w:eastAsia="zh-CN"/>
        </w:rPr>
        <w:t>县人大2022年度全面完成县委政府规定的和市下达的各项工作任务，年初资金预算精细、明晰，资金使用、量入为出，资金用途与支出要求相匹配，有效提高资金的使用率、合理化。资金支出无违规、预警记录现象。严格执行《四川省省级财政专项资金绩效分配管理暂行办法》，按照省级的专项资金管理办法，实施专款专用原则根据各项目进展、完成情况，合理规划、科学分配专项资金，分别用于人代会会议、调研考察、常委会会议、预决算审查监督等专项项目上。完成专项预算绩效目标，无违规记录。</w:t>
      </w:r>
      <w:r>
        <w:rPr>
          <w:rFonts w:hint="eastAsia" w:ascii="仿宋_GB2312" w:hAnsi="仿宋_GB2312" w:eastAsia="仿宋_GB2312"/>
          <w:color w:val="000000"/>
          <w:kern w:val="2"/>
          <w:sz w:val="30"/>
          <w:lang w:val="zh-CN" w:eastAsia="zh-CN"/>
        </w:rPr>
        <w:t>本单位按照财政局下达的预算指标，严格执行预算内开支，保障了单位正常运转。本部门的预决算编制均按照县财政局下达的相关文件指标进行了编制，按时完成编制工作，决算报表和说明均在县政府门户网站公开。绩效目标也按照有关文件如实进行了填报。专项预算也提前进行了规划和筹划。</w:t>
      </w:r>
    </w:p>
    <w:p w14:paraId="31455B64">
      <w:pPr>
        <w:autoSpaceDE/>
        <w:autoSpaceDN/>
        <w:snapToGrid w:val="0"/>
        <w:spacing w:beforeLines="0" w:afterLines="0" w:line="560" w:lineRule="exact"/>
        <w:ind w:firstLine="720"/>
        <w:rPr>
          <w:rFonts w:hint="eastAsia" w:ascii="仿宋_GB2312" w:hAnsi="仿宋_GB2312" w:eastAsia="仿宋_GB2312"/>
          <w:b/>
          <w:color w:val="000000"/>
          <w:kern w:val="2"/>
          <w:sz w:val="30"/>
          <w:lang w:val="zh-CN" w:eastAsia="zh-CN"/>
        </w:rPr>
      </w:pPr>
      <w:r>
        <w:rPr>
          <w:rFonts w:hint="eastAsia" w:ascii="仿宋_GB2312" w:hAnsi="仿宋_GB2312" w:eastAsia="仿宋_GB2312"/>
          <w:b/>
          <w:color w:val="000000"/>
          <w:kern w:val="2"/>
          <w:sz w:val="30"/>
          <w:lang w:val="zh-CN" w:eastAsia="zh-CN"/>
        </w:rPr>
        <w:t>（三）结果应用情况。</w:t>
      </w:r>
    </w:p>
    <w:p w14:paraId="302EC17C">
      <w:pPr>
        <w:autoSpaceDE/>
        <w:autoSpaceDN/>
        <w:snapToGrid w:val="0"/>
        <w:spacing w:beforeLines="0" w:afterLines="0" w:line="560" w:lineRule="exact"/>
        <w:ind w:firstLine="720"/>
        <w:rPr>
          <w:rFonts w:hint="eastAsia" w:ascii="仿宋_GB2312" w:hAnsi="仿宋_GB2312" w:eastAsia="仿宋_GB2312"/>
          <w:color w:val="000000"/>
          <w:kern w:val="2"/>
          <w:sz w:val="30"/>
          <w:lang w:val="en-US" w:eastAsia="zh-CN"/>
        </w:rPr>
      </w:pPr>
      <w:r>
        <w:rPr>
          <w:rFonts w:hint="eastAsia" w:ascii="仿宋_GB2312" w:hAnsi="仿宋_GB2312" w:eastAsia="仿宋_GB2312"/>
          <w:color w:val="000000"/>
          <w:kern w:val="2"/>
          <w:sz w:val="30"/>
          <w:lang w:val="en-US" w:eastAsia="zh-CN"/>
        </w:rPr>
        <w:t>（1）信息公开：本单位按照有关规定，在规定的时限内对预算进行了公开。</w:t>
      </w:r>
    </w:p>
    <w:p w14:paraId="068EDA32">
      <w:pPr>
        <w:autoSpaceDE/>
        <w:autoSpaceDN/>
        <w:snapToGrid w:val="0"/>
        <w:spacing w:beforeLines="0" w:afterLines="0" w:line="560" w:lineRule="exact"/>
        <w:ind w:firstLine="720"/>
        <w:rPr>
          <w:rFonts w:hint="eastAsia" w:ascii="仿宋_GB2312" w:hAnsi="仿宋_GB2312" w:eastAsia="仿宋_GB2312"/>
          <w:color w:val="000000"/>
          <w:kern w:val="2"/>
          <w:sz w:val="30"/>
          <w:lang w:val="en-US" w:eastAsia="zh-CN"/>
        </w:rPr>
      </w:pPr>
      <w:r>
        <w:rPr>
          <w:rFonts w:hint="eastAsia" w:ascii="仿宋_GB2312" w:hAnsi="仿宋_GB2312" w:eastAsia="仿宋_GB2312"/>
          <w:color w:val="000000"/>
          <w:kern w:val="2"/>
          <w:sz w:val="30"/>
          <w:lang w:val="en-US" w:eastAsia="zh-CN"/>
        </w:rPr>
        <w:t>（2）自评质量：2022年本单位的部门预算编制规范、准确，各项经费足额纳入预算安排，确保了部门正常运转和专项工作的顺利开展，较好地完成了年初目标任务。</w:t>
      </w:r>
    </w:p>
    <w:p w14:paraId="607D3231">
      <w:pPr>
        <w:autoSpaceDE/>
        <w:autoSpaceDN/>
        <w:snapToGrid w:val="0"/>
        <w:spacing w:beforeLines="0" w:afterLines="0" w:line="560" w:lineRule="exact"/>
        <w:ind w:firstLine="720"/>
        <w:rPr>
          <w:rFonts w:hint="eastAsia" w:ascii="仿宋_GB2312" w:hAnsi="仿宋_GB2312" w:eastAsia="仿宋_GB2312"/>
          <w:color w:val="000000"/>
          <w:kern w:val="2"/>
          <w:sz w:val="30"/>
          <w:lang w:val="en-US" w:eastAsia="zh-CN"/>
        </w:rPr>
      </w:pPr>
      <w:r>
        <w:rPr>
          <w:rFonts w:hint="eastAsia" w:ascii="仿宋_GB2312" w:hAnsi="仿宋_GB2312" w:eastAsia="仿宋_GB2312"/>
          <w:color w:val="000000"/>
          <w:kern w:val="2"/>
          <w:sz w:val="30"/>
          <w:lang w:val="en-US" w:eastAsia="zh-CN"/>
        </w:rPr>
        <w:t>（3）应用结果：为加强我单位预决算绩效管理，不断提高财政资金配置和使用效益，成立了预决算绩效管理领导小组，由分管财务的领导为组长，办公室主任任副组长，财务室等相关科室人员为成员，专门负责本次绩效自评工作，自查工作中坚持以绩效考核的各项文件精神为指导，以整体绩效支出为内容，对各项支出的质量指标，数量指标，对指标内容进行评价考核打分，从考核结果来看，通过全体干部职工的共同努力，取得了较好的经济、社会、环境效益。</w:t>
      </w:r>
    </w:p>
    <w:p w14:paraId="49A3B35F">
      <w:pPr>
        <w:autoSpaceDE/>
        <w:autoSpaceDN/>
        <w:snapToGrid w:val="0"/>
        <w:spacing w:beforeLines="0" w:afterLines="0" w:line="560" w:lineRule="exact"/>
        <w:ind w:firstLine="720"/>
        <w:rPr>
          <w:rFonts w:hint="eastAsia" w:ascii="仿宋_GB2312" w:hAnsi="仿宋_GB2312" w:eastAsia="仿宋_GB2312"/>
          <w:b/>
          <w:color w:val="000000"/>
          <w:kern w:val="2"/>
          <w:sz w:val="30"/>
          <w:lang w:val="zh-CN" w:eastAsia="zh-CN"/>
        </w:rPr>
      </w:pPr>
      <w:r>
        <w:rPr>
          <w:rFonts w:hint="eastAsia" w:ascii="仿宋_GB2312" w:hAnsi="仿宋_GB2312" w:eastAsia="仿宋_GB2312"/>
          <w:b/>
          <w:color w:val="000000"/>
          <w:kern w:val="2"/>
          <w:sz w:val="30"/>
          <w:lang w:val="en-US" w:eastAsia="zh-CN"/>
        </w:rPr>
        <w:t>四、评价结论及建议</w:t>
      </w:r>
    </w:p>
    <w:p w14:paraId="61BB96AD">
      <w:pPr>
        <w:autoSpaceDE/>
        <w:autoSpaceDN/>
        <w:snapToGrid w:val="0"/>
        <w:spacing w:beforeLines="0" w:afterLines="0" w:line="560" w:lineRule="exact"/>
        <w:ind w:firstLine="720"/>
        <w:rPr>
          <w:rFonts w:hint="eastAsia" w:ascii="仿宋_GB2312" w:hAnsi="仿宋_GB2312" w:eastAsia="仿宋_GB2312"/>
          <w:color w:val="000000"/>
          <w:kern w:val="2"/>
          <w:sz w:val="30"/>
          <w:lang w:val="zh-CN" w:eastAsia="zh-CN"/>
        </w:rPr>
      </w:pPr>
      <w:r>
        <w:rPr>
          <w:rFonts w:hint="eastAsia" w:ascii="仿宋_GB2312" w:hAnsi="仿宋_GB2312" w:eastAsia="仿宋_GB2312"/>
          <w:color w:val="000000"/>
          <w:kern w:val="2"/>
          <w:sz w:val="30"/>
          <w:lang w:val="zh-CN" w:eastAsia="zh-CN"/>
        </w:rPr>
        <w:t>（一）评价结论。</w:t>
      </w:r>
    </w:p>
    <w:p w14:paraId="54D1AB31">
      <w:pPr>
        <w:autoSpaceDE/>
        <w:autoSpaceDN/>
        <w:snapToGrid w:val="0"/>
        <w:spacing w:beforeLines="0" w:afterLines="0" w:line="560" w:lineRule="exact"/>
        <w:ind w:firstLine="720"/>
        <w:rPr>
          <w:rFonts w:hint="eastAsia" w:ascii="仿宋_GB2312" w:hAnsi="仿宋_GB2312" w:eastAsia="仿宋_GB2312"/>
          <w:color w:val="000000"/>
          <w:kern w:val="2"/>
          <w:sz w:val="30"/>
          <w:lang w:val="zh-CN" w:eastAsia="zh-CN"/>
        </w:rPr>
      </w:pPr>
      <w:r>
        <w:rPr>
          <w:rFonts w:hint="eastAsia" w:ascii="仿宋_GB2312" w:hAnsi="仿宋_GB2312" w:eastAsia="仿宋_GB2312"/>
          <w:color w:val="000000"/>
          <w:kern w:val="2"/>
          <w:sz w:val="30"/>
          <w:lang w:val="zh-CN" w:eastAsia="zh-CN"/>
        </w:rPr>
        <w:t>根据《峨边彝族自治县财政局关于开展20</w:t>
      </w:r>
      <w:r>
        <w:rPr>
          <w:rFonts w:hint="eastAsia" w:ascii="仿宋_GB2312" w:hAnsi="仿宋_GB2312" w:eastAsia="仿宋_GB2312"/>
          <w:color w:val="000000"/>
          <w:kern w:val="2"/>
          <w:sz w:val="30"/>
          <w:lang w:val="en-US" w:eastAsia="zh-CN"/>
        </w:rPr>
        <w:t>22</w:t>
      </w:r>
      <w:r>
        <w:rPr>
          <w:rFonts w:hint="eastAsia" w:ascii="仿宋_GB2312" w:hAnsi="仿宋_GB2312" w:eastAsia="仿宋_GB2312"/>
          <w:color w:val="000000"/>
          <w:kern w:val="2"/>
          <w:sz w:val="30"/>
          <w:lang w:val="zh-CN" w:eastAsia="zh-CN"/>
        </w:rPr>
        <w:t>年部门整体、项目和政策支出绩效评价工作的通知》文件精神，</w:t>
      </w:r>
      <w:r>
        <w:rPr>
          <w:rFonts w:hint="eastAsia" w:ascii="仿宋_GB2312" w:hAnsi="仿宋_GB2312" w:eastAsia="仿宋_GB2312"/>
          <w:color w:val="000000"/>
          <w:kern w:val="2"/>
          <w:sz w:val="30"/>
          <w:lang w:val="en-US" w:eastAsia="zh-CN"/>
        </w:rPr>
        <w:t>自治县人大办认真组织开展了部门整体支出绩效评价工作，绩效评价</w:t>
      </w:r>
      <w:r>
        <w:rPr>
          <w:rFonts w:hint="eastAsia" w:ascii="仿宋_GB2312" w:hAnsi="仿宋_GB2312" w:eastAsia="仿宋_GB2312"/>
          <w:color w:val="000000"/>
          <w:kern w:val="2"/>
          <w:sz w:val="30"/>
          <w:lang w:val="zh-CN" w:eastAsia="zh-CN"/>
        </w:rPr>
        <w:t>得分：</w:t>
      </w:r>
      <w:r>
        <w:rPr>
          <w:rFonts w:hint="eastAsia" w:ascii="仿宋_GB2312" w:hAnsi="仿宋_GB2312" w:eastAsia="仿宋_GB2312"/>
          <w:color w:val="000000"/>
          <w:kern w:val="2"/>
          <w:sz w:val="30"/>
          <w:lang w:val="en-US" w:eastAsia="zh-CN"/>
        </w:rPr>
        <w:t>94</w:t>
      </w:r>
      <w:r>
        <w:rPr>
          <w:rFonts w:hint="eastAsia" w:ascii="仿宋_GB2312" w:hAnsi="仿宋_GB2312" w:eastAsia="仿宋_GB2312"/>
          <w:color w:val="000000"/>
          <w:kern w:val="2"/>
          <w:sz w:val="30"/>
          <w:lang w:val="zh-CN" w:eastAsia="zh-CN"/>
        </w:rPr>
        <w:t>分。</w:t>
      </w:r>
    </w:p>
    <w:p w14:paraId="15721978">
      <w:pPr>
        <w:autoSpaceDE/>
        <w:autoSpaceDN/>
        <w:snapToGrid w:val="0"/>
        <w:spacing w:beforeLines="0" w:afterLines="0" w:line="560" w:lineRule="exact"/>
        <w:ind w:firstLine="720"/>
        <w:rPr>
          <w:rFonts w:hint="eastAsia" w:ascii="仿宋_GB2312" w:hAnsi="仿宋_GB2312" w:eastAsia="仿宋_GB2312"/>
          <w:color w:val="000000"/>
          <w:kern w:val="2"/>
          <w:sz w:val="30"/>
          <w:lang w:val="zh-CN" w:eastAsia="zh-CN"/>
        </w:rPr>
      </w:pPr>
      <w:r>
        <w:rPr>
          <w:rFonts w:hint="eastAsia" w:ascii="仿宋_GB2312" w:hAnsi="仿宋_GB2312" w:eastAsia="仿宋_GB2312"/>
          <w:color w:val="000000"/>
          <w:kern w:val="2"/>
          <w:sz w:val="30"/>
          <w:lang w:val="zh-CN" w:eastAsia="zh-CN"/>
        </w:rPr>
        <w:t>（二）存在问题。</w:t>
      </w:r>
    </w:p>
    <w:p w14:paraId="277E33B4">
      <w:pPr>
        <w:autoSpaceDE/>
        <w:autoSpaceDN/>
        <w:snapToGrid w:val="0"/>
        <w:spacing w:beforeLines="0" w:afterLines="0" w:line="560" w:lineRule="exact"/>
        <w:ind w:firstLine="720"/>
        <w:rPr>
          <w:rFonts w:hint="eastAsia" w:ascii="仿宋_GB2312" w:hAnsi="仿宋_GB2312" w:eastAsia="仿宋_GB2312"/>
          <w:color w:val="000000"/>
          <w:kern w:val="2"/>
          <w:sz w:val="30"/>
          <w:lang w:val="en-US" w:eastAsia="zh-CN"/>
        </w:rPr>
      </w:pPr>
      <w:r>
        <w:rPr>
          <w:rFonts w:hint="eastAsia" w:ascii="仿宋_GB2312" w:hAnsi="仿宋_GB2312" w:eastAsia="仿宋_GB2312"/>
          <w:color w:val="000000"/>
          <w:kern w:val="2"/>
          <w:sz w:val="30"/>
          <w:lang w:val="en-US" w:eastAsia="zh-CN"/>
        </w:rPr>
        <w:t>一是部分领导和人员对财政支出绩效评价工作重要性认识不足；二是经办人员更换频繁业务熟悉度不够。</w:t>
      </w:r>
    </w:p>
    <w:p w14:paraId="68DD0ED2">
      <w:pPr>
        <w:autoSpaceDE/>
        <w:autoSpaceDN/>
        <w:snapToGrid w:val="0"/>
        <w:spacing w:beforeLines="0" w:afterLines="0" w:line="560" w:lineRule="exact"/>
        <w:ind w:firstLine="720"/>
        <w:rPr>
          <w:rFonts w:hint="eastAsia" w:ascii="仿宋_GB2312" w:hAnsi="仿宋_GB2312" w:eastAsia="仿宋_GB2312"/>
          <w:color w:val="000000"/>
          <w:kern w:val="2"/>
          <w:sz w:val="30"/>
          <w:lang w:val="zh-CN" w:eastAsia="zh-CN"/>
        </w:rPr>
      </w:pPr>
      <w:r>
        <w:rPr>
          <w:rFonts w:hint="eastAsia" w:ascii="仿宋_GB2312" w:hAnsi="仿宋_GB2312" w:eastAsia="仿宋_GB2312"/>
          <w:color w:val="000000"/>
          <w:kern w:val="2"/>
          <w:sz w:val="30"/>
          <w:lang w:val="zh-CN" w:eastAsia="zh-CN"/>
        </w:rPr>
        <w:t>（三）改进建议。</w:t>
      </w:r>
    </w:p>
    <w:p w14:paraId="25467D1F">
      <w:pPr>
        <w:autoSpaceDE/>
        <w:autoSpaceDN/>
        <w:snapToGrid w:val="0"/>
        <w:spacing w:beforeLines="0" w:afterLines="0" w:line="560" w:lineRule="exact"/>
        <w:ind w:firstLine="720"/>
        <w:rPr>
          <w:rFonts w:hint="eastAsia" w:ascii="仿宋_GB2312" w:hAnsi="仿宋_GB2312" w:eastAsia="仿宋_GB2312"/>
          <w:color w:val="000000"/>
          <w:kern w:val="2"/>
          <w:sz w:val="30"/>
          <w:lang w:val="en-US" w:eastAsia="zh-CN"/>
        </w:rPr>
      </w:pPr>
      <w:r>
        <w:rPr>
          <w:rFonts w:hint="eastAsia" w:ascii="仿宋_GB2312" w:hAnsi="仿宋_GB2312" w:eastAsia="仿宋_GB2312"/>
          <w:color w:val="000000"/>
          <w:kern w:val="2"/>
          <w:sz w:val="30"/>
          <w:lang w:val="en-US" w:eastAsia="zh-CN"/>
        </w:rPr>
        <w:t xml:space="preserve"> 针对上述存在问题，将在今后的工作中认真改正和弥补。一是加大党和国家有关强化财经管理的方针政策宣传学习力度，特别是要求单位负责人强化对党和国家有关财经管理方面知识的学习，进一步提高单位负责人财经管理的理论水平；二是强化对财政支出绩效评价工作重要性的认识，按照“花钱必问效”的原则，切实做好“预算支出绩效评价”工作；三是加强对部门经办人员的培训，进一步提升做好财务基础工作的能力，提升严格执行财务制度，强化财务监管，重视财务工作的能力和水平。</w:t>
      </w:r>
    </w:p>
    <w:p w14:paraId="10D38927">
      <w:pPr>
        <w:keepNext/>
        <w:keepLines/>
        <w:spacing w:beforeLines="0" w:after="120" w:afterLines="0" w:line="560" w:lineRule="exact"/>
        <w:ind w:firstLine="640"/>
        <w:jc w:val="both"/>
        <w:rPr>
          <w:rFonts w:hint="eastAsia" w:ascii="仿宋_GB2312" w:hAnsi="仿宋_GB2312" w:eastAsia="仿宋_GB2312"/>
          <w:color w:val="auto"/>
          <w:kern w:val="2"/>
          <w:sz w:val="32"/>
          <w:lang w:val="en-US"/>
        </w:rPr>
      </w:pPr>
      <w:r>
        <w:rPr>
          <w:rFonts w:hint="eastAsia" w:ascii="仿宋_GB2312" w:hAnsi="仿宋_GB2312" w:eastAsia="仿宋_GB2312"/>
          <w:color w:val="auto"/>
          <w:kern w:val="2"/>
          <w:sz w:val="32"/>
          <w:lang w:val="zh-CN"/>
        </w:rPr>
        <w:t>附表：</w:t>
      </w:r>
      <w:r>
        <w:rPr>
          <w:rFonts w:hint="eastAsia" w:ascii="仿宋_GB2312" w:hAnsi="仿宋_GB2312" w:eastAsia="仿宋_GB2312"/>
          <w:color w:val="auto"/>
          <w:kern w:val="2"/>
          <w:sz w:val="32"/>
          <w:lang w:val="en-US"/>
        </w:rPr>
        <w:t>部门预算项目支出绩效自评表（2022年度）</w:t>
      </w:r>
    </w:p>
    <w:p w14:paraId="1F9F7AB4">
      <w:pPr>
        <w:pStyle w:val="2"/>
        <w:spacing w:beforeLines="0" w:afterLines="0"/>
        <w:rPr>
          <w:rFonts w:hint="eastAsia" w:ascii="仿宋_GB2312" w:hAnsi="仿宋_GB2312" w:eastAsia="仿宋_GB2312"/>
          <w:color w:val="auto"/>
          <w:kern w:val="2"/>
          <w:sz w:val="32"/>
          <w:lang w:val="en-US"/>
        </w:rPr>
      </w:pPr>
    </w:p>
    <w:p w14:paraId="78AB7E41">
      <w:pPr>
        <w:spacing w:beforeLines="0" w:afterLines="0"/>
        <w:rPr>
          <w:rFonts w:hint="eastAsia" w:ascii="仿宋_GB2312" w:hAnsi="仿宋_GB2312" w:eastAsia="仿宋_GB2312"/>
          <w:color w:val="auto"/>
          <w:kern w:val="2"/>
          <w:sz w:val="32"/>
          <w:lang w:val="en-US"/>
        </w:rPr>
      </w:pPr>
    </w:p>
    <w:p w14:paraId="7E3CA236">
      <w:pPr>
        <w:pStyle w:val="2"/>
        <w:spacing w:beforeLines="0" w:afterLines="0"/>
        <w:rPr>
          <w:rFonts w:hint="eastAsia"/>
          <w:sz w:val="24"/>
          <w:lang w:val="en-US"/>
        </w:rPr>
      </w:pPr>
    </w:p>
    <w:p w14:paraId="0C1BCDE4">
      <w:pPr>
        <w:spacing w:beforeLines="0" w:afterLines="0"/>
        <w:rPr>
          <w:rFonts w:hint="default"/>
          <w:sz w:val="24"/>
          <w:lang w:val="en-US"/>
        </w:rPr>
      </w:pPr>
    </w:p>
    <w:tbl>
      <w:tblPr>
        <w:tblStyle w:val="15"/>
        <w:tblW w:w="92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161"/>
        <w:gridCol w:w="1124"/>
        <w:gridCol w:w="37"/>
        <w:gridCol w:w="161"/>
        <w:gridCol w:w="1461"/>
        <w:gridCol w:w="160"/>
        <w:gridCol w:w="1031"/>
        <w:gridCol w:w="159"/>
        <w:gridCol w:w="1935"/>
        <w:gridCol w:w="242"/>
        <w:gridCol w:w="188"/>
        <w:gridCol w:w="77"/>
        <w:gridCol w:w="197"/>
        <w:gridCol w:w="197"/>
        <w:gridCol w:w="90"/>
        <w:gridCol w:w="468"/>
        <w:gridCol w:w="88"/>
        <w:gridCol w:w="469"/>
      </w:tblGrid>
      <w:tr w14:paraId="7C242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1161" w:type="dxa"/>
            <w:tcBorders>
              <w:top w:val="nil"/>
              <w:left w:val="nil"/>
              <w:bottom w:val="nil"/>
              <w:right w:val="nil"/>
              <w:tl2br w:val="nil"/>
              <w:tr2bl w:val="nil"/>
            </w:tcBorders>
            <w:noWrap w:val="0"/>
            <w:vAlign w:val="center"/>
          </w:tcPr>
          <w:p w14:paraId="5926D925">
            <w:pPr>
              <w:widowControl/>
              <w:spacing w:beforeLines="0" w:afterLines="0"/>
              <w:textAlignment w:val="center"/>
              <w:rPr>
                <w:rFonts w:hint="eastAsia" w:ascii="宋体" w:hAnsi="宋体" w:eastAsia="宋体"/>
                <w:color w:val="000000"/>
                <w:sz w:val="22"/>
                <w:lang w:val="en-US" w:eastAsia="zh-CN"/>
              </w:rPr>
            </w:pPr>
          </w:p>
          <w:p w14:paraId="0402709B">
            <w:pPr>
              <w:widowControl/>
              <w:spacing w:beforeLines="0" w:afterLines="0"/>
              <w:textAlignment w:val="center"/>
              <w:rPr>
                <w:rFonts w:hint="eastAsia" w:ascii="宋体" w:hAnsi="宋体" w:eastAsia="宋体"/>
                <w:color w:val="000000"/>
                <w:sz w:val="22"/>
                <w:lang w:val="en-US" w:eastAsia="zh-CN"/>
              </w:rPr>
            </w:pPr>
          </w:p>
          <w:p w14:paraId="42464955">
            <w:pPr>
              <w:widowControl/>
              <w:spacing w:beforeLines="0" w:afterLines="0"/>
              <w:textAlignment w:val="center"/>
              <w:rPr>
                <w:rFonts w:hint="eastAsia" w:ascii="宋体" w:hAnsi="宋体" w:eastAsia="宋体"/>
                <w:color w:val="000000"/>
                <w:sz w:val="22"/>
              </w:rPr>
            </w:pPr>
            <w:r>
              <w:rPr>
                <w:rFonts w:hint="eastAsia" w:ascii="宋体" w:hAnsi="宋体" w:eastAsia="宋体"/>
                <w:color w:val="000000"/>
                <w:sz w:val="22"/>
                <w:lang w:val="en-US" w:eastAsia="zh-CN"/>
              </w:rPr>
              <w:t>附件6-1</w:t>
            </w:r>
          </w:p>
        </w:tc>
        <w:tc>
          <w:tcPr>
            <w:tcW w:w="1124" w:type="dxa"/>
            <w:tcBorders>
              <w:top w:val="nil"/>
              <w:left w:val="nil"/>
              <w:bottom w:val="nil"/>
              <w:right w:val="nil"/>
              <w:tl2br w:val="nil"/>
              <w:tr2bl w:val="nil"/>
            </w:tcBorders>
            <w:noWrap w:val="0"/>
            <w:vAlign w:val="center"/>
          </w:tcPr>
          <w:p w14:paraId="59338319">
            <w:pPr>
              <w:spacing w:beforeLines="0" w:afterLines="0"/>
              <w:rPr>
                <w:rFonts w:hint="eastAsia" w:ascii="宋体" w:hAnsi="宋体" w:eastAsia="宋体"/>
                <w:color w:val="000000"/>
                <w:sz w:val="22"/>
              </w:rPr>
            </w:pPr>
          </w:p>
        </w:tc>
        <w:tc>
          <w:tcPr>
            <w:tcW w:w="198" w:type="dxa"/>
            <w:gridSpan w:val="2"/>
            <w:tcBorders>
              <w:top w:val="nil"/>
              <w:left w:val="nil"/>
              <w:bottom w:val="nil"/>
              <w:right w:val="nil"/>
              <w:tl2br w:val="nil"/>
              <w:tr2bl w:val="nil"/>
            </w:tcBorders>
            <w:noWrap w:val="0"/>
            <w:vAlign w:val="center"/>
          </w:tcPr>
          <w:p w14:paraId="00978E9A">
            <w:pPr>
              <w:spacing w:beforeLines="0" w:afterLines="0"/>
              <w:rPr>
                <w:rFonts w:hint="eastAsia" w:ascii="宋体" w:hAnsi="宋体" w:eastAsia="宋体"/>
                <w:color w:val="000000"/>
                <w:sz w:val="22"/>
              </w:rPr>
            </w:pPr>
          </w:p>
        </w:tc>
        <w:tc>
          <w:tcPr>
            <w:tcW w:w="1621" w:type="dxa"/>
            <w:gridSpan w:val="2"/>
            <w:tcBorders>
              <w:top w:val="nil"/>
              <w:left w:val="nil"/>
              <w:bottom w:val="nil"/>
              <w:right w:val="nil"/>
              <w:tl2br w:val="nil"/>
              <w:tr2bl w:val="nil"/>
            </w:tcBorders>
            <w:noWrap w:val="0"/>
            <w:vAlign w:val="center"/>
          </w:tcPr>
          <w:p w14:paraId="3BC5979D">
            <w:pPr>
              <w:spacing w:beforeLines="0" w:afterLines="0"/>
              <w:rPr>
                <w:rFonts w:hint="eastAsia" w:ascii="宋体" w:hAnsi="宋体" w:eastAsia="宋体"/>
                <w:color w:val="000000"/>
                <w:sz w:val="22"/>
              </w:rPr>
            </w:pPr>
          </w:p>
        </w:tc>
        <w:tc>
          <w:tcPr>
            <w:tcW w:w="1190" w:type="dxa"/>
            <w:gridSpan w:val="2"/>
            <w:tcBorders>
              <w:top w:val="nil"/>
              <w:left w:val="nil"/>
              <w:bottom w:val="nil"/>
              <w:right w:val="nil"/>
              <w:tl2br w:val="nil"/>
              <w:tr2bl w:val="nil"/>
            </w:tcBorders>
            <w:noWrap w:val="0"/>
            <w:vAlign w:val="center"/>
          </w:tcPr>
          <w:p w14:paraId="19C5D077">
            <w:pPr>
              <w:spacing w:beforeLines="0" w:afterLines="0"/>
              <w:rPr>
                <w:rFonts w:hint="eastAsia" w:ascii="宋体" w:hAnsi="宋体" w:eastAsia="宋体"/>
                <w:color w:val="000000"/>
                <w:sz w:val="22"/>
              </w:rPr>
            </w:pPr>
          </w:p>
        </w:tc>
        <w:tc>
          <w:tcPr>
            <w:tcW w:w="2177" w:type="dxa"/>
            <w:gridSpan w:val="2"/>
            <w:tcBorders>
              <w:top w:val="nil"/>
              <w:left w:val="nil"/>
              <w:bottom w:val="nil"/>
              <w:right w:val="nil"/>
              <w:tl2br w:val="nil"/>
              <w:tr2bl w:val="nil"/>
            </w:tcBorders>
            <w:noWrap w:val="0"/>
            <w:vAlign w:val="center"/>
          </w:tcPr>
          <w:p w14:paraId="4DD1FFD5">
            <w:pPr>
              <w:spacing w:beforeLines="0" w:afterLines="0"/>
              <w:rPr>
                <w:rFonts w:hint="eastAsia" w:ascii="宋体" w:hAnsi="宋体" w:eastAsia="宋体"/>
                <w:color w:val="000000"/>
                <w:sz w:val="22"/>
              </w:rPr>
            </w:pPr>
          </w:p>
        </w:tc>
        <w:tc>
          <w:tcPr>
            <w:tcW w:w="265" w:type="dxa"/>
            <w:gridSpan w:val="2"/>
            <w:tcBorders>
              <w:top w:val="nil"/>
              <w:left w:val="nil"/>
              <w:bottom w:val="nil"/>
              <w:right w:val="nil"/>
              <w:tl2br w:val="nil"/>
              <w:tr2bl w:val="nil"/>
            </w:tcBorders>
            <w:noWrap w:val="0"/>
            <w:vAlign w:val="center"/>
          </w:tcPr>
          <w:p w14:paraId="6447AE6E">
            <w:pPr>
              <w:spacing w:beforeLines="0" w:afterLines="0"/>
              <w:rPr>
                <w:rFonts w:hint="eastAsia" w:ascii="宋体" w:hAnsi="宋体" w:eastAsia="宋体"/>
                <w:color w:val="000000"/>
                <w:sz w:val="22"/>
              </w:rPr>
            </w:pPr>
          </w:p>
        </w:tc>
        <w:tc>
          <w:tcPr>
            <w:tcW w:w="197" w:type="dxa"/>
            <w:tcBorders>
              <w:top w:val="nil"/>
              <w:left w:val="nil"/>
              <w:bottom w:val="nil"/>
              <w:right w:val="nil"/>
              <w:tl2br w:val="nil"/>
              <w:tr2bl w:val="nil"/>
            </w:tcBorders>
            <w:noWrap w:val="0"/>
            <w:vAlign w:val="center"/>
          </w:tcPr>
          <w:p w14:paraId="1F69CD1D">
            <w:pPr>
              <w:spacing w:beforeLines="0" w:afterLines="0"/>
              <w:rPr>
                <w:rFonts w:hint="eastAsia" w:ascii="宋体" w:hAnsi="宋体" w:eastAsia="宋体"/>
                <w:color w:val="000000"/>
                <w:sz w:val="22"/>
              </w:rPr>
            </w:pPr>
          </w:p>
        </w:tc>
        <w:tc>
          <w:tcPr>
            <w:tcW w:w="197" w:type="dxa"/>
            <w:tcBorders>
              <w:top w:val="nil"/>
              <w:left w:val="nil"/>
              <w:bottom w:val="nil"/>
              <w:right w:val="nil"/>
              <w:tl2br w:val="nil"/>
              <w:tr2bl w:val="nil"/>
            </w:tcBorders>
            <w:noWrap w:val="0"/>
            <w:vAlign w:val="center"/>
          </w:tcPr>
          <w:p w14:paraId="57D2995F">
            <w:pPr>
              <w:spacing w:beforeLines="0" w:afterLines="0"/>
              <w:rPr>
                <w:rFonts w:hint="eastAsia" w:ascii="宋体" w:hAnsi="宋体" w:eastAsia="宋体"/>
                <w:color w:val="000000"/>
                <w:sz w:val="22"/>
              </w:rPr>
            </w:pPr>
          </w:p>
        </w:tc>
        <w:tc>
          <w:tcPr>
            <w:tcW w:w="558" w:type="dxa"/>
            <w:gridSpan w:val="2"/>
            <w:tcBorders>
              <w:top w:val="nil"/>
              <w:left w:val="nil"/>
              <w:bottom w:val="nil"/>
              <w:right w:val="nil"/>
              <w:tl2br w:val="nil"/>
              <w:tr2bl w:val="nil"/>
            </w:tcBorders>
            <w:noWrap w:val="0"/>
            <w:vAlign w:val="center"/>
          </w:tcPr>
          <w:p w14:paraId="5AA6CE88">
            <w:pPr>
              <w:spacing w:beforeLines="0" w:afterLines="0"/>
              <w:rPr>
                <w:rFonts w:hint="eastAsia" w:ascii="宋体" w:hAnsi="宋体" w:eastAsia="宋体"/>
                <w:color w:val="000000"/>
                <w:sz w:val="22"/>
              </w:rPr>
            </w:pPr>
          </w:p>
        </w:tc>
        <w:tc>
          <w:tcPr>
            <w:tcW w:w="557" w:type="dxa"/>
            <w:gridSpan w:val="2"/>
            <w:tcBorders>
              <w:top w:val="nil"/>
              <w:left w:val="nil"/>
              <w:bottom w:val="nil"/>
              <w:right w:val="nil"/>
              <w:tl2br w:val="nil"/>
              <w:tr2bl w:val="nil"/>
            </w:tcBorders>
            <w:noWrap w:val="0"/>
            <w:vAlign w:val="center"/>
          </w:tcPr>
          <w:p w14:paraId="06A3D548">
            <w:pPr>
              <w:spacing w:beforeLines="0" w:afterLines="0"/>
              <w:rPr>
                <w:rFonts w:hint="eastAsia" w:ascii="宋体" w:hAnsi="宋体" w:eastAsia="宋体"/>
                <w:color w:val="000000"/>
                <w:sz w:val="22"/>
              </w:rPr>
            </w:pPr>
          </w:p>
        </w:tc>
      </w:tr>
      <w:tr w14:paraId="06AF7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469" w:type="dxa"/>
          <w:trHeight w:val="480" w:hRule="atLeast"/>
        </w:trPr>
        <w:tc>
          <w:tcPr>
            <w:tcW w:w="7659" w:type="dxa"/>
            <w:gridSpan w:val="11"/>
            <w:tcBorders>
              <w:top w:val="nil"/>
              <w:left w:val="nil"/>
              <w:bottom w:val="nil"/>
              <w:right w:val="nil"/>
              <w:tl2br w:val="nil"/>
              <w:tr2bl w:val="nil"/>
            </w:tcBorders>
            <w:noWrap w:val="0"/>
            <w:vAlign w:val="center"/>
          </w:tcPr>
          <w:p w14:paraId="72CBC88A">
            <w:pPr>
              <w:widowControl/>
              <w:spacing w:beforeLines="0" w:afterLines="0"/>
              <w:jc w:val="center"/>
              <w:textAlignment w:val="center"/>
              <w:rPr>
                <w:rFonts w:hint="eastAsia" w:ascii="宋体" w:hAnsi="宋体" w:eastAsia="宋体"/>
                <w:b/>
                <w:color w:val="000000"/>
                <w:sz w:val="36"/>
              </w:rPr>
            </w:pPr>
            <w:r>
              <w:rPr>
                <w:rFonts w:hint="eastAsia" w:ascii="宋体" w:hAnsi="宋体" w:eastAsia="宋体"/>
                <w:b/>
                <w:color w:val="000000"/>
                <w:sz w:val="36"/>
                <w:lang w:val="en-US" w:eastAsia="zh-CN"/>
              </w:rPr>
              <w:t>项目支出绩效自评表</w:t>
            </w:r>
          </w:p>
        </w:tc>
        <w:tc>
          <w:tcPr>
            <w:tcW w:w="561" w:type="dxa"/>
            <w:gridSpan w:val="4"/>
            <w:tcBorders>
              <w:top w:val="nil"/>
              <w:left w:val="nil"/>
              <w:bottom w:val="nil"/>
              <w:right w:val="nil"/>
              <w:tl2br w:val="nil"/>
              <w:tr2bl w:val="nil"/>
            </w:tcBorders>
            <w:noWrap w:val="0"/>
            <w:vAlign w:val="center"/>
          </w:tcPr>
          <w:p w14:paraId="1EBA8FFF">
            <w:pPr>
              <w:spacing w:beforeLines="0" w:afterLines="0"/>
              <w:rPr>
                <w:rFonts w:hint="eastAsia" w:ascii="宋体" w:hAnsi="宋体" w:eastAsia="宋体"/>
                <w:color w:val="000000"/>
                <w:sz w:val="22"/>
              </w:rPr>
            </w:pPr>
          </w:p>
        </w:tc>
        <w:tc>
          <w:tcPr>
            <w:tcW w:w="556" w:type="dxa"/>
            <w:gridSpan w:val="2"/>
            <w:tcBorders>
              <w:top w:val="nil"/>
              <w:left w:val="nil"/>
              <w:bottom w:val="nil"/>
              <w:right w:val="nil"/>
              <w:tl2br w:val="nil"/>
              <w:tr2bl w:val="nil"/>
            </w:tcBorders>
            <w:noWrap w:val="0"/>
            <w:vAlign w:val="center"/>
          </w:tcPr>
          <w:p w14:paraId="3FCD9778">
            <w:pPr>
              <w:spacing w:beforeLines="0" w:afterLines="0"/>
              <w:rPr>
                <w:rFonts w:hint="eastAsia" w:ascii="宋体" w:hAnsi="宋体" w:eastAsia="宋体"/>
                <w:color w:val="000000"/>
                <w:sz w:val="22"/>
              </w:rPr>
            </w:pPr>
          </w:p>
        </w:tc>
      </w:tr>
      <w:tr w14:paraId="497ED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469" w:type="dxa"/>
          <w:trHeight w:val="375" w:hRule="atLeast"/>
        </w:trPr>
        <w:tc>
          <w:tcPr>
            <w:tcW w:w="11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B17068">
            <w:pPr>
              <w:widowControl/>
              <w:spacing w:beforeLines="0" w:afterLines="0"/>
              <w:textAlignment w:val="center"/>
              <w:rPr>
                <w:rFonts w:hint="eastAsia" w:ascii="宋体" w:hAnsi="宋体" w:eastAsia="宋体"/>
                <w:color w:val="000000"/>
                <w:sz w:val="20"/>
              </w:rPr>
            </w:pPr>
            <w:r>
              <w:rPr>
                <w:rFonts w:hint="eastAsia" w:ascii="宋体" w:hAnsi="宋体" w:eastAsia="宋体"/>
                <w:color w:val="000000"/>
                <w:sz w:val="20"/>
                <w:lang w:val="en-US" w:eastAsia="zh-CN"/>
              </w:rPr>
              <w:t>项目名称：</w:t>
            </w:r>
          </w:p>
        </w:tc>
        <w:tc>
          <w:tcPr>
            <w:tcW w:w="2783"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ACDE46">
            <w:pPr>
              <w:widowControl/>
              <w:spacing w:beforeLines="0" w:afterLines="0"/>
              <w:textAlignment w:val="center"/>
              <w:rPr>
                <w:rFonts w:hint="eastAsia" w:ascii="宋体" w:hAnsi="宋体" w:eastAsia="宋体"/>
                <w:color w:val="000000"/>
                <w:sz w:val="20"/>
              </w:rPr>
            </w:pPr>
            <w:r>
              <w:rPr>
                <w:rFonts w:hint="eastAsia" w:ascii="宋体" w:hAnsi="宋体" w:eastAsia="宋体"/>
                <w:color w:val="000000"/>
                <w:sz w:val="20"/>
                <w:lang w:val="en-US" w:eastAsia="zh-CN"/>
              </w:rPr>
              <w:t>代表工作经费</w:t>
            </w:r>
          </w:p>
        </w:tc>
        <w:tc>
          <w:tcPr>
            <w:tcW w:w="119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D0DD69">
            <w:pPr>
              <w:widowControl/>
              <w:spacing w:beforeLines="0" w:afterLines="0"/>
              <w:textAlignment w:val="center"/>
              <w:rPr>
                <w:rFonts w:hint="eastAsia" w:ascii="宋体" w:hAnsi="宋体" w:eastAsia="宋体"/>
                <w:color w:val="000000"/>
                <w:sz w:val="20"/>
              </w:rPr>
            </w:pPr>
            <w:r>
              <w:rPr>
                <w:rFonts w:hint="eastAsia" w:ascii="宋体" w:hAnsi="宋体" w:eastAsia="宋体"/>
                <w:color w:val="000000"/>
                <w:sz w:val="20"/>
                <w:lang w:val="en-US" w:eastAsia="zh-CN"/>
              </w:rPr>
              <w:t>年度：</w:t>
            </w:r>
          </w:p>
        </w:tc>
        <w:tc>
          <w:tcPr>
            <w:tcW w:w="2524"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A7E407">
            <w:pPr>
              <w:widowControl/>
              <w:spacing w:beforeLines="0" w:afterLines="0"/>
              <w:textAlignment w:val="center"/>
              <w:rPr>
                <w:rFonts w:hint="eastAsia" w:ascii="宋体" w:hAnsi="宋体" w:eastAsia="宋体"/>
                <w:color w:val="000000"/>
                <w:sz w:val="20"/>
              </w:rPr>
            </w:pPr>
            <w:r>
              <w:rPr>
                <w:rFonts w:hint="eastAsia" w:ascii="宋体" w:hAnsi="宋体" w:eastAsia="宋体"/>
                <w:color w:val="000000"/>
                <w:sz w:val="20"/>
                <w:lang w:val="en-US" w:eastAsia="zh-CN"/>
              </w:rPr>
              <w:t>2022</w:t>
            </w:r>
          </w:p>
        </w:tc>
        <w:tc>
          <w:tcPr>
            <w:tcW w:w="561" w:type="dxa"/>
            <w:gridSpan w:val="4"/>
            <w:tcBorders>
              <w:top w:val="nil"/>
              <w:left w:val="nil"/>
              <w:bottom w:val="nil"/>
              <w:right w:val="nil"/>
              <w:tl2br w:val="nil"/>
              <w:tr2bl w:val="nil"/>
            </w:tcBorders>
            <w:noWrap w:val="0"/>
            <w:vAlign w:val="center"/>
          </w:tcPr>
          <w:p w14:paraId="77889A1C">
            <w:pPr>
              <w:spacing w:beforeLines="0" w:afterLines="0"/>
              <w:rPr>
                <w:rFonts w:hint="eastAsia" w:ascii="宋体" w:hAnsi="宋体" w:eastAsia="宋体"/>
                <w:color w:val="000000"/>
                <w:sz w:val="22"/>
              </w:rPr>
            </w:pPr>
          </w:p>
        </w:tc>
        <w:tc>
          <w:tcPr>
            <w:tcW w:w="556" w:type="dxa"/>
            <w:gridSpan w:val="2"/>
            <w:tcBorders>
              <w:top w:val="nil"/>
              <w:left w:val="nil"/>
              <w:bottom w:val="nil"/>
              <w:right w:val="nil"/>
              <w:tl2br w:val="nil"/>
              <w:tr2bl w:val="nil"/>
            </w:tcBorders>
            <w:noWrap w:val="0"/>
            <w:vAlign w:val="center"/>
          </w:tcPr>
          <w:p w14:paraId="416E2769">
            <w:pPr>
              <w:spacing w:beforeLines="0" w:afterLines="0"/>
              <w:rPr>
                <w:rFonts w:hint="eastAsia" w:ascii="宋体" w:hAnsi="宋体" w:eastAsia="宋体"/>
                <w:color w:val="000000"/>
                <w:sz w:val="22"/>
              </w:rPr>
            </w:pPr>
          </w:p>
        </w:tc>
      </w:tr>
      <w:tr w14:paraId="09845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469" w:type="dxa"/>
          <w:trHeight w:val="420" w:hRule="atLeast"/>
        </w:trPr>
        <w:tc>
          <w:tcPr>
            <w:tcW w:w="11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8D52D9">
            <w:pPr>
              <w:widowControl/>
              <w:spacing w:beforeLines="0" w:afterLines="0"/>
              <w:textAlignment w:val="center"/>
              <w:rPr>
                <w:rFonts w:hint="eastAsia" w:ascii="宋体" w:hAnsi="宋体" w:eastAsia="宋体"/>
                <w:color w:val="000000"/>
                <w:sz w:val="20"/>
              </w:rPr>
            </w:pPr>
            <w:r>
              <w:rPr>
                <w:rFonts w:hint="eastAsia" w:ascii="宋体" w:hAnsi="宋体" w:eastAsia="宋体"/>
                <w:color w:val="000000"/>
                <w:sz w:val="20"/>
                <w:lang w:val="en-US" w:eastAsia="zh-CN"/>
              </w:rPr>
              <w:t>主管部门：</w:t>
            </w:r>
          </w:p>
        </w:tc>
        <w:tc>
          <w:tcPr>
            <w:tcW w:w="2783"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8E9FD3">
            <w:pPr>
              <w:widowControl/>
              <w:spacing w:beforeLines="0" w:afterLines="0"/>
              <w:textAlignment w:val="center"/>
              <w:rPr>
                <w:rFonts w:hint="eastAsia" w:ascii="宋体" w:hAnsi="宋体" w:eastAsia="宋体"/>
                <w:color w:val="000000"/>
                <w:sz w:val="20"/>
              </w:rPr>
            </w:pPr>
            <w:r>
              <w:rPr>
                <w:rFonts w:hint="eastAsia" w:ascii="宋体" w:hAnsi="宋体" w:eastAsia="宋体"/>
                <w:color w:val="000000"/>
                <w:sz w:val="20"/>
                <w:lang w:val="en-US" w:eastAsia="zh-CN"/>
              </w:rPr>
              <w:t>峨边彝族自治县人大常委会办公室</w:t>
            </w:r>
          </w:p>
        </w:tc>
        <w:tc>
          <w:tcPr>
            <w:tcW w:w="119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0C96E2">
            <w:pPr>
              <w:widowControl/>
              <w:spacing w:beforeLines="0" w:afterLines="0"/>
              <w:textAlignment w:val="center"/>
              <w:rPr>
                <w:rFonts w:hint="eastAsia" w:ascii="宋体" w:hAnsi="宋体" w:eastAsia="宋体"/>
                <w:color w:val="000000"/>
                <w:sz w:val="20"/>
              </w:rPr>
            </w:pPr>
            <w:r>
              <w:rPr>
                <w:rFonts w:hint="eastAsia" w:ascii="宋体" w:hAnsi="宋体" w:eastAsia="宋体"/>
                <w:color w:val="000000"/>
                <w:sz w:val="20"/>
                <w:lang w:val="en-US" w:eastAsia="zh-CN"/>
              </w:rPr>
              <w:t>实施单位：</w:t>
            </w:r>
          </w:p>
        </w:tc>
        <w:tc>
          <w:tcPr>
            <w:tcW w:w="2524"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43E622">
            <w:pPr>
              <w:widowControl/>
              <w:spacing w:beforeLines="0" w:afterLines="0"/>
              <w:textAlignment w:val="center"/>
              <w:rPr>
                <w:rFonts w:hint="eastAsia" w:ascii="宋体" w:hAnsi="宋体" w:eastAsia="宋体"/>
                <w:color w:val="000000"/>
                <w:sz w:val="20"/>
              </w:rPr>
            </w:pPr>
            <w:r>
              <w:rPr>
                <w:rFonts w:hint="eastAsia" w:ascii="宋体" w:hAnsi="宋体" w:eastAsia="宋体"/>
                <w:color w:val="000000"/>
                <w:sz w:val="20"/>
                <w:lang w:val="en-US" w:eastAsia="zh-CN"/>
              </w:rPr>
              <w:t>峨边彝族自治县人大常委会办公室</w:t>
            </w:r>
          </w:p>
        </w:tc>
        <w:tc>
          <w:tcPr>
            <w:tcW w:w="561" w:type="dxa"/>
            <w:gridSpan w:val="4"/>
            <w:tcBorders>
              <w:top w:val="nil"/>
              <w:left w:val="nil"/>
              <w:bottom w:val="nil"/>
              <w:right w:val="nil"/>
              <w:tl2br w:val="nil"/>
              <w:tr2bl w:val="nil"/>
            </w:tcBorders>
            <w:noWrap w:val="0"/>
            <w:vAlign w:val="center"/>
          </w:tcPr>
          <w:p w14:paraId="137E51E0">
            <w:pPr>
              <w:spacing w:beforeLines="0" w:afterLines="0"/>
              <w:rPr>
                <w:rFonts w:hint="eastAsia" w:ascii="宋体" w:hAnsi="宋体" w:eastAsia="宋体"/>
                <w:color w:val="000000"/>
                <w:sz w:val="22"/>
              </w:rPr>
            </w:pPr>
          </w:p>
        </w:tc>
        <w:tc>
          <w:tcPr>
            <w:tcW w:w="556" w:type="dxa"/>
            <w:gridSpan w:val="2"/>
            <w:tcBorders>
              <w:top w:val="nil"/>
              <w:left w:val="nil"/>
              <w:bottom w:val="nil"/>
              <w:right w:val="nil"/>
              <w:tl2br w:val="nil"/>
              <w:tr2bl w:val="nil"/>
            </w:tcBorders>
            <w:noWrap w:val="0"/>
            <w:vAlign w:val="center"/>
          </w:tcPr>
          <w:p w14:paraId="17D6F5CB">
            <w:pPr>
              <w:spacing w:beforeLines="0" w:afterLines="0"/>
              <w:rPr>
                <w:rFonts w:hint="eastAsia" w:ascii="宋体" w:hAnsi="宋体" w:eastAsia="宋体"/>
                <w:color w:val="000000"/>
                <w:sz w:val="22"/>
              </w:rPr>
            </w:pPr>
          </w:p>
        </w:tc>
      </w:tr>
      <w:tr w14:paraId="1C9CB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469" w:type="dxa"/>
          <w:trHeight w:val="420" w:hRule="atLeast"/>
        </w:trPr>
        <w:tc>
          <w:tcPr>
            <w:tcW w:w="7659"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1119D5">
            <w:pPr>
              <w:widowControl/>
              <w:spacing w:beforeLines="0" w:afterLines="0"/>
              <w:jc w:val="center"/>
              <w:textAlignment w:val="center"/>
              <w:rPr>
                <w:rFonts w:hint="eastAsia" w:ascii="宋体" w:hAnsi="宋体" w:eastAsia="宋体"/>
                <w:color w:val="000000"/>
                <w:sz w:val="20"/>
              </w:rPr>
            </w:pPr>
            <w:r>
              <w:rPr>
                <w:rFonts w:hint="eastAsia" w:ascii="宋体" w:hAnsi="宋体" w:eastAsia="宋体"/>
                <w:color w:val="000000"/>
                <w:sz w:val="20"/>
                <w:lang w:val="en-US" w:eastAsia="zh-CN"/>
              </w:rPr>
              <w:t>项目资金（万元）</w:t>
            </w:r>
          </w:p>
        </w:tc>
        <w:tc>
          <w:tcPr>
            <w:tcW w:w="561" w:type="dxa"/>
            <w:gridSpan w:val="4"/>
            <w:tcBorders>
              <w:top w:val="nil"/>
              <w:left w:val="nil"/>
              <w:bottom w:val="nil"/>
              <w:right w:val="nil"/>
              <w:tl2br w:val="nil"/>
              <w:tr2bl w:val="nil"/>
            </w:tcBorders>
            <w:noWrap w:val="0"/>
            <w:vAlign w:val="center"/>
          </w:tcPr>
          <w:p w14:paraId="141999D2">
            <w:pPr>
              <w:spacing w:beforeLines="0" w:afterLines="0"/>
              <w:rPr>
                <w:rFonts w:hint="eastAsia" w:ascii="宋体" w:hAnsi="宋体" w:eastAsia="宋体"/>
                <w:color w:val="000000"/>
                <w:sz w:val="22"/>
              </w:rPr>
            </w:pPr>
          </w:p>
        </w:tc>
        <w:tc>
          <w:tcPr>
            <w:tcW w:w="556" w:type="dxa"/>
            <w:gridSpan w:val="2"/>
            <w:tcBorders>
              <w:top w:val="nil"/>
              <w:left w:val="nil"/>
              <w:bottom w:val="nil"/>
              <w:right w:val="nil"/>
              <w:tl2br w:val="nil"/>
              <w:tr2bl w:val="nil"/>
            </w:tcBorders>
            <w:noWrap w:val="0"/>
            <w:vAlign w:val="center"/>
          </w:tcPr>
          <w:p w14:paraId="76B4619C">
            <w:pPr>
              <w:spacing w:beforeLines="0" w:afterLines="0"/>
              <w:rPr>
                <w:rFonts w:hint="eastAsia" w:ascii="宋体" w:hAnsi="宋体" w:eastAsia="宋体"/>
                <w:color w:val="000000"/>
                <w:sz w:val="22"/>
              </w:rPr>
            </w:pPr>
          </w:p>
        </w:tc>
      </w:tr>
      <w:tr w14:paraId="7C4A8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469" w:type="dxa"/>
          <w:trHeight w:val="480" w:hRule="atLeast"/>
        </w:trPr>
        <w:tc>
          <w:tcPr>
            <w:tcW w:w="2285" w:type="dxa"/>
            <w:gridSpan w:val="2"/>
            <w:tcBorders>
              <w:top w:val="single" w:color="000000" w:sz="4" w:space="0"/>
              <w:left w:val="single" w:color="000000" w:sz="4" w:space="0"/>
              <w:bottom w:val="single" w:color="000000" w:sz="4" w:space="0"/>
              <w:right w:val="nil"/>
              <w:tl2br w:val="nil"/>
              <w:tr2bl w:val="nil"/>
            </w:tcBorders>
            <w:noWrap w:val="0"/>
            <w:vAlign w:val="center"/>
          </w:tcPr>
          <w:p w14:paraId="348CE6F7">
            <w:pPr>
              <w:spacing w:beforeLines="0" w:afterLines="0"/>
              <w:jc w:val="center"/>
              <w:rPr>
                <w:rFonts w:hint="eastAsia" w:ascii="宋体" w:hAnsi="宋体" w:eastAsia="宋体"/>
                <w:color w:val="000000"/>
                <w:sz w:val="20"/>
              </w:rPr>
            </w:pPr>
          </w:p>
        </w:tc>
        <w:tc>
          <w:tcPr>
            <w:tcW w:w="1659"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184104">
            <w:pPr>
              <w:widowControl/>
              <w:spacing w:beforeLines="0" w:afterLines="0"/>
              <w:jc w:val="center"/>
              <w:textAlignment w:val="center"/>
              <w:rPr>
                <w:rFonts w:hint="eastAsia" w:ascii="宋体" w:hAnsi="宋体" w:eastAsia="宋体"/>
                <w:color w:val="000000"/>
                <w:sz w:val="20"/>
              </w:rPr>
            </w:pPr>
            <w:r>
              <w:rPr>
                <w:rFonts w:hint="eastAsia" w:ascii="宋体" w:hAnsi="宋体" w:eastAsia="宋体"/>
                <w:color w:val="000000"/>
                <w:sz w:val="20"/>
                <w:lang w:val="en-US" w:eastAsia="zh-CN"/>
              </w:rPr>
              <w:t>全年预算数</w:t>
            </w:r>
          </w:p>
        </w:tc>
        <w:tc>
          <w:tcPr>
            <w:tcW w:w="3285"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B5956E">
            <w:pPr>
              <w:widowControl/>
              <w:spacing w:beforeLines="0" w:afterLines="0"/>
              <w:jc w:val="center"/>
              <w:textAlignment w:val="center"/>
              <w:rPr>
                <w:rFonts w:hint="eastAsia" w:ascii="宋体" w:hAnsi="宋体" w:eastAsia="宋体"/>
                <w:color w:val="000000"/>
                <w:sz w:val="20"/>
              </w:rPr>
            </w:pPr>
            <w:r>
              <w:rPr>
                <w:rFonts w:hint="eastAsia" w:ascii="宋体" w:hAnsi="宋体" w:eastAsia="宋体"/>
                <w:color w:val="000000"/>
                <w:sz w:val="20"/>
                <w:lang w:val="en-US" w:eastAsia="zh-CN"/>
              </w:rPr>
              <w:t>全年执行数</w:t>
            </w:r>
          </w:p>
        </w:tc>
        <w:tc>
          <w:tcPr>
            <w:tcW w:w="43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25BBE0">
            <w:pPr>
              <w:widowControl/>
              <w:spacing w:beforeLines="0" w:afterLines="0"/>
              <w:jc w:val="center"/>
              <w:textAlignment w:val="center"/>
              <w:rPr>
                <w:rFonts w:hint="eastAsia" w:ascii="宋体" w:hAnsi="宋体" w:eastAsia="宋体"/>
                <w:color w:val="000000"/>
                <w:sz w:val="20"/>
              </w:rPr>
            </w:pPr>
            <w:r>
              <w:rPr>
                <w:rFonts w:hint="eastAsia" w:ascii="宋体" w:hAnsi="宋体" w:eastAsia="宋体"/>
                <w:color w:val="000000"/>
                <w:sz w:val="20"/>
                <w:lang w:val="en-US" w:eastAsia="zh-CN"/>
              </w:rPr>
              <w:t>执行率</w:t>
            </w:r>
          </w:p>
        </w:tc>
        <w:tc>
          <w:tcPr>
            <w:tcW w:w="561" w:type="dxa"/>
            <w:gridSpan w:val="4"/>
            <w:tcBorders>
              <w:top w:val="nil"/>
              <w:left w:val="nil"/>
              <w:bottom w:val="nil"/>
              <w:right w:val="nil"/>
              <w:tl2br w:val="nil"/>
              <w:tr2bl w:val="nil"/>
            </w:tcBorders>
            <w:noWrap w:val="0"/>
            <w:vAlign w:val="center"/>
          </w:tcPr>
          <w:p w14:paraId="391B12E8">
            <w:pPr>
              <w:spacing w:beforeLines="0" w:afterLines="0"/>
              <w:rPr>
                <w:rFonts w:hint="eastAsia" w:ascii="宋体" w:hAnsi="宋体" w:eastAsia="宋体"/>
                <w:color w:val="000000"/>
                <w:sz w:val="22"/>
              </w:rPr>
            </w:pPr>
          </w:p>
        </w:tc>
        <w:tc>
          <w:tcPr>
            <w:tcW w:w="556" w:type="dxa"/>
            <w:gridSpan w:val="2"/>
            <w:tcBorders>
              <w:top w:val="nil"/>
              <w:left w:val="nil"/>
              <w:bottom w:val="nil"/>
              <w:right w:val="nil"/>
              <w:tl2br w:val="nil"/>
              <w:tr2bl w:val="nil"/>
            </w:tcBorders>
            <w:noWrap w:val="0"/>
            <w:vAlign w:val="center"/>
          </w:tcPr>
          <w:p w14:paraId="208E2FC9">
            <w:pPr>
              <w:spacing w:beforeLines="0" w:afterLines="0"/>
              <w:rPr>
                <w:rFonts w:hint="eastAsia" w:ascii="宋体" w:hAnsi="宋体" w:eastAsia="宋体"/>
                <w:color w:val="000000"/>
                <w:sz w:val="22"/>
              </w:rPr>
            </w:pPr>
          </w:p>
        </w:tc>
      </w:tr>
      <w:tr w14:paraId="0CA7B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469" w:type="dxa"/>
          <w:trHeight w:val="540" w:hRule="atLeast"/>
        </w:trPr>
        <w:tc>
          <w:tcPr>
            <w:tcW w:w="2285"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03929D8B">
            <w:pPr>
              <w:widowControl/>
              <w:spacing w:beforeLines="0" w:afterLines="0"/>
              <w:jc w:val="center"/>
              <w:textAlignment w:val="center"/>
              <w:rPr>
                <w:rFonts w:hint="eastAsia" w:ascii="宋体" w:hAnsi="宋体" w:eastAsia="宋体"/>
                <w:color w:val="000000"/>
                <w:sz w:val="20"/>
              </w:rPr>
            </w:pPr>
            <w:r>
              <w:rPr>
                <w:rFonts w:hint="eastAsia" w:ascii="宋体" w:hAnsi="宋体" w:eastAsia="宋体"/>
                <w:color w:val="000000"/>
                <w:sz w:val="20"/>
                <w:lang w:val="en-US" w:eastAsia="zh-CN"/>
              </w:rPr>
              <w:t>年度资金总额</w:t>
            </w:r>
          </w:p>
        </w:tc>
        <w:tc>
          <w:tcPr>
            <w:tcW w:w="165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00"/>
            <w:noWrap w:val="0"/>
            <w:vAlign w:val="center"/>
          </w:tcPr>
          <w:p w14:paraId="5F714680">
            <w:pPr>
              <w:widowControl/>
              <w:spacing w:beforeLines="0" w:afterLines="0"/>
              <w:jc w:val="center"/>
              <w:textAlignment w:val="center"/>
              <w:rPr>
                <w:rFonts w:hint="eastAsia" w:ascii="宋体" w:hAnsi="宋体" w:eastAsia="宋体"/>
                <w:color w:val="000000"/>
                <w:sz w:val="20"/>
              </w:rPr>
            </w:pPr>
            <w:r>
              <w:rPr>
                <w:rFonts w:hint="eastAsia" w:ascii="宋体" w:hAnsi="宋体" w:eastAsia="宋体"/>
                <w:color w:val="000000"/>
                <w:sz w:val="20"/>
                <w:lang w:val="en-US" w:eastAsia="zh-CN"/>
              </w:rPr>
              <w:t>13.3</w:t>
            </w:r>
          </w:p>
        </w:tc>
        <w:tc>
          <w:tcPr>
            <w:tcW w:w="3285"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00"/>
            <w:noWrap w:val="0"/>
            <w:vAlign w:val="center"/>
          </w:tcPr>
          <w:p w14:paraId="6DD23FDC">
            <w:pPr>
              <w:widowControl/>
              <w:spacing w:beforeLines="0" w:afterLines="0"/>
              <w:jc w:val="center"/>
              <w:textAlignment w:val="center"/>
              <w:rPr>
                <w:rFonts w:hint="eastAsia" w:ascii="宋体" w:hAnsi="宋体" w:eastAsia="宋体"/>
                <w:color w:val="000000"/>
                <w:sz w:val="20"/>
              </w:rPr>
            </w:pPr>
            <w:r>
              <w:rPr>
                <w:rFonts w:hint="eastAsia" w:ascii="宋体" w:hAnsi="宋体" w:eastAsia="宋体"/>
                <w:color w:val="000000"/>
                <w:sz w:val="20"/>
                <w:lang w:val="en-US" w:eastAsia="zh-CN"/>
              </w:rPr>
              <w:t>13.3</w:t>
            </w:r>
          </w:p>
        </w:tc>
        <w:tc>
          <w:tcPr>
            <w:tcW w:w="43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00"/>
            <w:noWrap w:val="0"/>
            <w:vAlign w:val="center"/>
          </w:tcPr>
          <w:p w14:paraId="20131045">
            <w:pPr>
              <w:widowControl/>
              <w:spacing w:beforeLines="0" w:afterLines="0"/>
              <w:jc w:val="center"/>
              <w:textAlignment w:val="center"/>
              <w:rPr>
                <w:rFonts w:hint="eastAsia" w:ascii="宋体" w:hAnsi="宋体" w:eastAsia="宋体"/>
                <w:color w:val="000000"/>
                <w:sz w:val="20"/>
              </w:rPr>
            </w:pPr>
            <w:r>
              <w:rPr>
                <w:rFonts w:hint="eastAsia" w:ascii="宋体" w:hAnsi="宋体" w:eastAsia="宋体"/>
                <w:color w:val="000000"/>
                <w:sz w:val="20"/>
                <w:lang w:val="en-US" w:eastAsia="zh-CN"/>
              </w:rPr>
              <w:t>100%</w:t>
            </w:r>
          </w:p>
        </w:tc>
        <w:tc>
          <w:tcPr>
            <w:tcW w:w="561" w:type="dxa"/>
            <w:gridSpan w:val="4"/>
            <w:tcBorders>
              <w:top w:val="nil"/>
              <w:left w:val="nil"/>
              <w:bottom w:val="nil"/>
              <w:right w:val="nil"/>
              <w:tl2br w:val="nil"/>
              <w:tr2bl w:val="nil"/>
            </w:tcBorders>
            <w:noWrap w:val="0"/>
            <w:vAlign w:val="center"/>
          </w:tcPr>
          <w:p w14:paraId="182D42BC">
            <w:pPr>
              <w:spacing w:beforeLines="0" w:afterLines="0"/>
              <w:rPr>
                <w:rFonts w:hint="eastAsia" w:ascii="宋体" w:hAnsi="宋体" w:eastAsia="宋体"/>
                <w:color w:val="000000"/>
                <w:sz w:val="22"/>
              </w:rPr>
            </w:pPr>
          </w:p>
        </w:tc>
        <w:tc>
          <w:tcPr>
            <w:tcW w:w="556" w:type="dxa"/>
            <w:gridSpan w:val="2"/>
            <w:tcBorders>
              <w:top w:val="nil"/>
              <w:left w:val="nil"/>
              <w:bottom w:val="nil"/>
              <w:right w:val="nil"/>
              <w:tl2br w:val="nil"/>
              <w:tr2bl w:val="nil"/>
            </w:tcBorders>
            <w:noWrap w:val="0"/>
            <w:vAlign w:val="center"/>
          </w:tcPr>
          <w:p w14:paraId="1C1525D8">
            <w:pPr>
              <w:spacing w:beforeLines="0" w:afterLines="0"/>
              <w:rPr>
                <w:rFonts w:hint="eastAsia" w:ascii="宋体" w:hAnsi="宋体" w:eastAsia="宋体"/>
                <w:color w:val="000000"/>
                <w:sz w:val="22"/>
              </w:rPr>
            </w:pPr>
          </w:p>
        </w:tc>
      </w:tr>
      <w:tr w14:paraId="7C637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469" w:type="dxa"/>
          <w:trHeight w:val="540" w:hRule="atLeast"/>
        </w:trPr>
        <w:tc>
          <w:tcPr>
            <w:tcW w:w="2285"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08835220">
            <w:pPr>
              <w:widowControl/>
              <w:spacing w:beforeLines="0" w:afterLines="0"/>
              <w:jc w:val="center"/>
              <w:textAlignment w:val="center"/>
              <w:rPr>
                <w:rFonts w:hint="eastAsia" w:ascii="宋体" w:hAnsi="宋体" w:eastAsia="宋体"/>
                <w:color w:val="000000"/>
                <w:sz w:val="20"/>
              </w:rPr>
            </w:pPr>
            <w:r>
              <w:rPr>
                <w:rFonts w:hint="eastAsia" w:ascii="宋体" w:hAnsi="宋体" w:eastAsia="宋体"/>
                <w:color w:val="000000"/>
                <w:sz w:val="20"/>
                <w:lang w:val="en-US" w:eastAsia="zh-CN"/>
              </w:rPr>
              <w:t>其中：中省补助资金</w:t>
            </w:r>
          </w:p>
        </w:tc>
        <w:tc>
          <w:tcPr>
            <w:tcW w:w="165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00"/>
            <w:noWrap w:val="0"/>
            <w:vAlign w:val="center"/>
          </w:tcPr>
          <w:p w14:paraId="3FCA9A92">
            <w:pPr>
              <w:spacing w:beforeLines="0" w:afterLines="0"/>
              <w:jc w:val="center"/>
              <w:rPr>
                <w:rFonts w:hint="eastAsia" w:ascii="宋体" w:hAnsi="宋体" w:eastAsia="宋体"/>
                <w:color w:val="000000"/>
                <w:sz w:val="20"/>
              </w:rPr>
            </w:pPr>
          </w:p>
        </w:tc>
        <w:tc>
          <w:tcPr>
            <w:tcW w:w="3285"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00"/>
            <w:noWrap w:val="0"/>
            <w:vAlign w:val="center"/>
          </w:tcPr>
          <w:p w14:paraId="6B2E691C">
            <w:pPr>
              <w:spacing w:beforeLines="0" w:afterLines="0"/>
              <w:jc w:val="center"/>
              <w:rPr>
                <w:rFonts w:hint="eastAsia" w:ascii="宋体" w:hAnsi="宋体" w:eastAsia="宋体"/>
                <w:color w:val="000000"/>
                <w:sz w:val="20"/>
              </w:rPr>
            </w:pPr>
          </w:p>
        </w:tc>
        <w:tc>
          <w:tcPr>
            <w:tcW w:w="43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00"/>
            <w:noWrap w:val="0"/>
            <w:vAlign w:val="center"/>
          </w:tcPr>
          <w:p w14:paraId="338B636F">
            <w:pPr>
              <w:spacing w:beforeLines="0" w:afterLines="0"/>
              <w:jc w:val="center"/>
              <w:rPr>
                <w:rFonts w:hint="eastAsia" w:ascii="宋体" w:hAnsi="宋体" w:eastAsia="宋体"/>
                <w:color w:val="000000"/>
                <w:sz w:val="20"/>
              </w:rPr>
            </w:pPr>
          </w:p>
        </w:tc>
        <w:tc>
          <w:tcPr>
            <w:tcW w:w="561" w:type="dxa"/>
            <w:gridSpan w:val="4"/>
            <w:tcBorders>
              <w:top w:val="nil"/>
              <w:left w:val="nil"/>
              <w:bottom w:val="nil"/>
              <w:right w:val="nil"/>
              <w:tl2br w:val="nil"/>
              <w:tr2bl w:val="nil"/>
            </w:tcBorders>
            <w:noWrap w:val="0"/>
            <w:vAlign w:val="center"/>
          </w:tcPr>
          <w:p w14:paraId="27954EEA">
            <w:pPr>
              <w:spacing w:beforeLines="0" w:afterLines="0"/>
              <w:rPr>
                <w:rFonts w:hint="eastAsia" w:ascii="宋体" w:hAnsi="宋体" w:eastAsia="宋体"/>
                <w:color w:val="000000"/>
                <w:sz w:val="22"/>
              </w:rPr>
            </w:pPr>
          </w:p>
        </w:tc>
        <w:tc>
          <w:tcPr>
            <w:tcW w:w="556" w:type="dxa"/>
            <w:gridSpan w:val="2"/>
            <w:tcBorders>
              <w:top w:val="nil"/>
              <w:left w:val="nil"/>
              <w:bottom w:val="nil"/>
              <w:right w:val="nil"/>
              <w:tl2br w:val="nil"/>
              <w:tr2bl w:val="nil"/>
            </w:tcBorders>
            <w:noWrap w:val="0"/>
            <w:vAlign w:val="center"/>
          </w:tcPr>
          <w:p w14:paraId="74BC5F70">
            <w:pPr>
              <w:spacing w:beforeLines="0" w:afterLines="0"/>
              <w:rPr>
                <w:rFonts w:hint="eastAsia" w:ascii="宋体" w:hAnsi="宋体" w:eastAsia="宋体"/>
                <w:color w:val="000000"/>
                <w:sz w:val="22"/>
              </w:rPr>
            </w:pPr>
          </w:p>
        </w:tc>
      </w:tr>
      <w:tr w14:paraId="0CC8B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469" w:type="dxa"/>
          <w:trHeight w:val="495" w:hRule="atLeast"/>
        </w:trPr>
        <w:tc>
          <w:tcPr>
            <w:tcW w:w="2285"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3D1EC70B">
            <w:pPr>
              <w:widowControl/>
              <w:spacing w:beforeLines="0" w:afterLines="0"/>
              <w:jc w:val="center"/>
              <w:textAlignment w:val="center"/>
              <w:rPr>
                <w:rFonts w:hint="eastAsia" w:ascii="宋体" w:hAnsi="宋体" w:eastAsia="宋体"/>
                <w:color w:val="000000"/>
                <w:sz w:val="20"/>
              </w:rPr>
            </w:pPr>
            <w:r>
              <w:rPr>
                <w:rFonts w:hint="eastAsia" w:ascii="宋体" w:hAnsi="宋体" w:eastAsia="宋体"/>
                <w:color w:val="000000"/>
                <w:sz w:val="20"/>
                <w:lang w:val="en-US" w:eastAsia="zh-CN"/>
              </w:rPr>
              <w:t xml:space="preserve">     县级预算资金</w:t>
            </w:r>
          </w:p>
        </w:tc>
        <w:tc>
          <w:tcPr>
            <w:tcW w:w="165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00"/>
            <w:noWrap w:val="0"/>
            <w:vAlign w:val="center"/>
          </w:tcPr>
          <w:p w14:paraId="60C031C3">
            <w:pPr>
              <w:widowControl/>
              <w:spacing w:beforeLines="0" w:afterLines="0"/>
              <w:jc w:val="center"/>
              <w:textAlignment w:val="center"/>
              <w:rPr>
                <w:rFonts w:hint="eastAsia" w:ascii="宋体" w:hAnsi="宋体" w:eastAsia="宋体"/>
                <w:color w:val="000000"/>
                <w:sz w:val="20"/>
              </w:rPr>
            </w:pPr>
            <w:r>
              <w:rPr>
                <w:rFonts w:hint="eastAsia" w:ascii="宋体" w:hAnsi="宋体" w:eastAsia="宋体"/>
                <w:color w:val="000000"/>
                <w:sz w:val="20"/>
                <w:lang w:val="en-US" w:eastAsia="zh-CN"/>
              </w:rPr>
              <w:t>13.3</w:t>
            </w:r>
          </w:p>
        </w:tc>
        <w:tc>
          <w:tcPr>
            <w:tcW w:w="3285"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00"/>
            <w:noWrap w:val="0"/>
            <w:vAlign w:val="center"/>
          </w:tcPr>
          <w:p w14:paraId="2534F426">
            <w:pPr>
              <w:widowControl/>
              <w:spacing w:beforeLines="0" w:afterLines="0"/>
              <w:jc w:val="center"/>
              <w:textAlignment w:val="center"/>
              <w:rPr>
                <w:rFonts w:hint="eastAsia" w:ascii="宋体" w:hAnsi="宋体" w:eastAsia="宋体"/>
                <w:color w:val="000000"/>
                <w:sz w:val="20"/>
              </w:rPr>
            </w:pPr>
            <w:r>
              <w:rPr>
                <w:rFonts w:hint="eastAsia" w:ascii="宋体" w:hAnsi="宋体" w:eastAsia="宋体"/>
                <w:color w:val="000000"/>
                <w:sz w:val="20"/>
                <w:lang w:val="en-US" w:eastAsia="zh-CN"/>
              </w:rPr>
              <w:t>13.3</w:t>
            </w:r>
          </w:p>
        </w:tc>
        <w:tc>
          <w:tcPr>
            <w:tcW w:w="43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00"/>
            <w:noWrap w:val="0"/>
            <w:vAlign w:val="center"/>
          </w:tcPr>
          <w:p w14:paraId="237A6A8B">
            <w:pPr>
              <w:widowControl/>
              <w:spacing w:beforeLines="0" w:afterLines="0"/>
              <w:jc w:val="center"/>
              <w:textAlignment w:val="center"/>
              <w:rPr>
                <w:rFonts w:hint="eastAsia" w:ascii="宋体" w:hAnsi="宋体" w:eastAsia="宋体"/>
                <w:color w:val="000000"/>
                <w:sz w:val="20"/>
              </w:rPr>
            </w:pPr>
            <w:r>
              <w:rPr>
                <w:rFonts w:hint="eastAsia" w:ascii="宋体" w:hAnsi="宋体" w:eastAsia="宋体"/>
                <w:color w:val="000000"/>
                <w:sz w:val="20"/>
                <w:lang w:val="en-US" w:eastAsia="zh-CN"/>
              </w:rPr>
              <w:t>100%</w:t>
            </w:r>
          </w:p>
        </w:tc>
        <w:tc>
          <w:tcPr>
            <w:tcW w:w="561" w:type="dxa"/>
            <w:gridSpan w:val="4"/>
            <w:tcBorders>
              <w:top w:val="nil"/>
              <w:left w:val="nil"/>
              <w:bottom w:val="nil"/>
              <w:right w:val="nil"/>
              <w:tl2br w:val="nil"/>
              <w:tr2bl w:val="nil"/>
            </w:tcBorders>
            <w:noWrap w:val="0"/>
            <w:vAlign w:val="center"/>
          </w:tcPr>
          <w:p w14:paraId="270F7247">
            <w:pPr>
              <w:spacing w:beforeLines="0" w:afterLines="0"/>
              <w:rPr>
                <w:rFonts w:hint="eastAsia" w:ascii="宋体" w:hAnsi="宋体" w:eastAsia="宋体"/>
                <w:color w:val="000000"/>
                <w:sz w:val="22"/>
              </w:rPr>
            </w:pPr>
          </w:p>
        </w:tc>
        <w:tc>
          <w:tcPr>
            <w:tcW w:w="556" w:type="dxa"/>
            <w:gridSpan w:val="2"/>
            <w:tcBorders>
              <w:top w:val="nil"/>
              <w:left w:val="nil"/>
              <w:bottom w:val="nil"/>
              <w:right w:val="nil"/>
              <w:tl2br w:val="nil"/>
              <w:tr2bl w:val="nil"/>
            </w:tcBorders>
            <w:noWrap w:val="0"/>
            <w:vAlign w:val="center"/>
          </w:tcPr>
          <w:p w14:paraId="11E427C1">
            <w:pPr>
              <w:spacing w:beforeLines="0" w:afterLines="0"/>
              <w:rPr>
                <w:rFonts w:hint="eastAsia" w:ascii="宋体" w:hAnsi="宋体" w:eastAsia="宋体"/>
                <w:color w:val="000000"/>
                <w:sz w:val="22"/>
              </w:rPr>
            </w:pPr>
          </w:p>
        </w:tc>
      </w:tr>
      <w:tr w14:paraId="25193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469" w:type="dxa"/>
          <w:trHeight w:val="480" w:hRule="atLeast"/>
        </w:trPr>
        <w:tc>
          <w:tcPr>
            <w:tcW w:w="228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C13053">
            <w:pPr>
              <w:widowControl/>
              <w:spacing w:beforeLines="0" w:afterLines="0"/>
              <w:jc w:val="center"/>
              <w:textAlignment w:val="center"/>
              <w:rPr>
                <w:rFonts w:hint="eastAsia" w:ascii="宋体" w:hAnsi="宋体" w:eastAsia="宋体"/>
                <w:color w:val="000000"/>
                <w:sz w:val="20"/>
              </w:rPr>
            </w:pPr>
            <w:r>
              <w:rPr>
                <w:rFonts w:hint="eastAsia" w:ascii="宋体" w:hAnsi="宋体" w:eastAsia="宋体"/>
                <w:color w:val="000000"/>
                <w:sz w:val="20"/>
                <w:lang w:val="en-US" w:eastAsia="zh-CN"/>
              </w:rPr>
              <w:t xml:space="preserve"> 其他资金</w:t>
            </w:r>
          </w:p>
        </w:tc>
        <w:tc>
          <w:tcPr>
            <w:tcW w:w="1659"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4AD827">
            <w:pPr>
              <w:spacing w:beforeLines="0" w:afterLines="0"/>
              <w:jc w:val="center"/>
              <w:rPr>
                <w:rFonts w:hint="eastAsia" w:ascii="宋体" w:hAnsi="宋体" w:eastAsia="宋体"/>
                <w:color w:val="000000"/>
                <w:sz w:val="20"/>
              </w:rPr>
            </w:pPr>
          </w:p>
        </w:tc>
        <w:tc>
          <w:tcPr>
            <w:tcW w:w="3285"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14B837">
            <w:pPr>
              <w:spacing w:beforeLines="0" w:afterLines="0"/>
              <w:jc w:val="center"/>
              <w:rPr>
                <w:rFonts w:hint="eastAsia" w:ascii="宋体" w:hAnsi="宋体" w:eastAsia="宋体"/>
                <w:color w:val="000000"/>
                <w:sz w:val="20"/>
              </w:rPr>
            </w:pPr>
          </w:p>
        </w:tc>
        <w:tc>
          <w:tcPr>
            <w:tcW w:w="43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3857FE">
            <w:pPr>
              <w:spacing w:beforeLines="0" w:afterLines="0"/>
              <w:jc w:val="center"/>
              <w:rPr>
                <w:rFonts w:hint="eastAsia" w:ascii="宋体" w:hAnsi="宋体" w:eastAsia="宋体"/>
                <w:color w:val="000000"/>
                <w:sz w:val="20"/>
              </w:rPr>
            </w:pPr>
          </w:p>
        </w:tc>
        <w:tc>
          <w:tcPr>
            <w:tcW w:w="561" w:type="dxa"/>
            <w:gridSpan w:val="4"/>
            <w:tcBorders>
              <w:top w:val="nil"/>
              <w:left w:val="nil"/>
              <w:bottom w:val="nil"/>
              <w:right w:val="nil"/>
              <w:tl2br w:val="nil"/>
              <w:tr2bl w:val="nil"/>
            </w:tcBorders>
            <w:noWrap w:val="0"/>
            <w:vAlign w:val="center"/>
          </w:tcPr>
          <w:p w14:paraId="54E6D556">
            <w:pPr>
              <w:spacing w:beforeLines="0" w:afterLines="0"/>
              <w:rPr>
                <w:rFonts w:hint="eastAsia" w:ascii="宋体" w:hAnsi="宋体" w:eastAsia="宋体"/>
                <w:color w:val="000000"/>
                <w:sz w:val="22"/>
              </w:rPr>
            </w:pPr>
          </w:p>
        </w:tc>
        <w:tc>
          <w:tcPr>
            <w:tcW w:w="556" w:type="dxa"/>
            <w:gridSpan w:val="2"/>
            <w:tcBorders>
              <w:top w:val="nil"/>
              <w:left w:val="nil"/>
              <w:bottom w:val="nil"/>
              <w:right w:val="nil"/>
              <w:tl2br w:val="nil"/>
              <w:tr2bl w:val="nil"/>
            </w:tcBorders>
            <w:noWrap w:val="0"/>
            <w:vAlign w:val="center"/>
          </w:tcPr>
          <w:p w14:paraId="21360057">
            <w:pPr>
              <w:spacing w:beforeLines="0" w:afterLines="0"/>
              <w:rPr>
                <w:rFonts w:hint="eastAsia" w:ascii="宋体" w:hAnsi="宋体" w:eastAsia="宋体"/>
                <w:color w:val="000000"/>
                <w:sz w:val="22"/>
              </w:rPr>
            </w:pPr>
          </w:p>
        </w:tc>
      </w:tr>
      <w:tr w14:paraId="74FF0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469" w:type="dxa"/>
          <w:trHeight w:val="480" w:hRule="atLeast"/>
        </w:trPr>
        <w:tc>
          <w:tcPr>
            <w:tcW w:w="1161"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6BC6D7">
            <w:pPr>
              <w:widowControl/>
              <w:spacing w:beforeLines="0" w:afterLines="0"/>
              <w:textAlignment w:val="center"/>
              <w:rPr>
                <w:rFonts w:hint="eastAsia" w:ascii="宋体" w:hAnsi="宋体" w:eastAsia="宋体"/>
                <w:color w:val="000000"/>
                <w:sz w:val="20"/>
              </w:rPr>
            </w:pPr>
            <w:r>
              <w:rPr>
                <w:rFonts w:hint="eastAsia" w:ascii="宋体" w:hAnsi="宋体" w:eastAsia="宋体"/>
                <w:color w:val="000000"/>
                <w:sz w:val="20"/>
                <w:lang w:val="en-US" w:eastAsia="zh-CN"/>
              </w:rPr>
              <w:t>年度总体目标</w:t>
            </w:r>
          </w:p>
        </w:tc>
        <w:tc>
          <w:tcPr>
            <w:tcW w:w="3974"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B01D00">
            <w:pPr>
              <w:widowControl/>
              <w:spacing w:beforeLines="0" w:afterLines="0"/>
              <w:jc w:val="center"/>
              <w:textAlignment w:val="center"/>
              <w:rPr>
                <w:rFonts w:hint="eastAsia" w:ascii="宋体" w:hAnsi="宋体" w:eastAsia="宋体"/>
                <w:color w:val="000000"/>
                <w:sz w:val="20"/>
              </w:rPr>
            </w:pPr>
            <w:r>
              <w:rPr>
                <w:rFonts w:hint="eastAsia" w:ascii="宋体" w:hAnsi="宋体" w:eastAsia="宋体"/>
                <w:color w:val="000000"/>
                <w:sz w:val="20"/>
                <w:lang w:val="en-US" w:eastAsia="zh-CN"/>
              </w:rPr>
              <w:t>预期目标</w:t>
            </w:r>
          </w:p>
        </w:tc>
        <w:tc>
          <w:tcPr>
            <w:tcW w:w="2524"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D5FA8E">
            <w:pPr>
              <w:widowControl/>
              <w:spacing w:beforeLines="0" w:afterLines="0"/>
              <w:jc w:val="center"/>
              <w:textAlignment w:val="center"/>
              <w:rPr>
                <w:rFonts w:hint="eastAsia" w:ascii="宋体" w:hAnsi="宋体" w:eastAsia="宋体"/>
                <w:color w:val="000000"/>
                <w:sz w:val="20"/>
              </w:rPr>
            </w:pPr>
            <w:r>
              <w:rPr>
                <w:rFonts w:hint="eastAsia" w:ascii="宋体" w:hAnsi="宋体" w:eastAsia="宋体"/>
                <w:color w:val="000000"/>
                <w:sz w:val="20"/>
                <w:lang w:val="en-US" w:eastAsia="zh-CN"/>
              </w:rPr>
              <w:t>实际完成情况</w:t>
            </w:r>
          </w:p>
        </w:tc>
        <w:tc>
          <w:tcPr>
            <w:tcW w:w="561" w:type="dxa"/>
            <w:gridSpan w:val="4"/>
            <w:tcBorders>
              <w:top w:val="nil"/>
              <w:left w:val="nil"/>
              <w:bottom w:val="nil"/>
              <w:right w:val="nil"/>
              <w:tl2br w:val="nil"/>
              <w:tr2bl w:val="nil"/>
            </w:tcBorders>
            <w:noWrap w:val="0"/>
            <w:vAlign w:val="center"/>
          </w:tcPr>
          <w:p w14:paraId="5FD21CED">
            <w:pPr>
              <w:spacing w:beforeLines="0" w:afterLines="0"/>
              <w:rPr>
                <w:rFonts w:hint="eastAsia" w:ascii="宋体" w:hAnsi="宋体" w:eastAsia="宋体"/>
                <w:color w:val="000000"/>
                <w:sz w:val="22"/>
              </w:rPr>
            </w:pPr>
          </w:p>
        </w:tc>
        <w:tc>
          <w:tcPr>
            <w:tcW w:w="556" w:type="dxa"/>
            <w:gridSpan w:val="2"/>
            <w:tcBorders>
              <w:top w:val="nil"/>
              <w:left w:val="nil"/>
              <w:bottom w:val="nil"/>
              <w:right w:val="nil"/>
              <w:tl2br w:val="nil"/>
              <w:tr2bl w:val="nil"/>
            </w:tcBorders>
            <w:noWrap w:val="0"/>
            <w:vAlign w:val="center"/>
          </w:tcPr>
          <w:p w14:paraId="54256E3F">
            <w:pPr>
              <w:spacing w:beforeLines="0" w:afterLines="0"/>
              <w:rPr>
                <w:rFonts w:hint="eastAsia" w:ascii="宋体" w:hAnsi="宋体" w:eastAsia="宋体"/>
                <w:color w:val="000000"/>
                <w:sz w:val="22"/>
              </w:rPr>
            </w:pPr>
          </w:p>
        </w:tc>
      </w:tr>
      <w:tr w14:paraId="42758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469" w:type="dxa"/>
          <w:trHeight w:val="615" w:hRule="atLeast"/>
        </w:trPr>
        <w:tc>
          <w:tcPr>
            <w:tcW w:w="116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E002F6">
            <w:pPr>
              <w:spacing w:beforeLines="0" w:afterLines="0"/>
              <w:rPr>
                <w:rFonts w:hint="eastAsia" w:ascii="宋体" w:hAnsi="宋体" w:eastAsia="宋体"/>
                <w:color w:val="000000"/>
                <w:sz w:val="20"/>
              </w:rPr>
            </w:pPr>
          </w:p>
        </w:tc>
        <w:tc>
          <w:tcPr>
            <w:tcW w:w="3974" w:type="dxa"/>
            <w:gridSpan w:val="6"/>
            <w:tcBorders>
              <w:top w:val="single" w:color="000000" w:sz="4" w:space="0"/>
              <w:left w:val="single" w:color="000000" w:sz="4" w:space="0"/>
              <w:bottom w:val="nil"/>
              <w:right w:val="single" w:color="000000" w:sz="4" w:space="0"/>
              <w:tl2br w:val="nil"/>
              <w:tr2bl w:val="nil"/>
            </w:tcBorders>
            <w:noWrap w:val="0"/>
            <w:vAlign w:val="center"/>
          </w:tcPr>
          <w:p w14:paraId="472F359E">
            <w:pPr>
              <w:widowControl/>
              <w:spacing w:beforeLines="0" w:afterLines="0"/>
              <w:textAlignment w:val="center"/>
              <w:rPr>
                <w:rFonts w:hint="eastAsia" w:ascii="宋体" w:hAnsi="宋体" w:eastAsia="宋体"/>
                <w:color w:val="000000"/>
                <w:sz w:val="20"/>
              </w:rPr>
            </w:pPr>
            <w:r>
              <w:rPr>
                <w:rFonts w:hint="eastAsia" w:ascii="宋体" w:hAnsi="宋体" w:eastAsia="宋体"/>
                <w:color w:val="000000"/>
                <w:sz w:val="20"/>
                <w:lang w:val="en-US" w:eastAsia="zh-CN"/>
              </w:rPr>
              <w:t>完成每名代表、委员一报两刊的</w:t>
            </w:r>
            <w:r>
              <w:rPr>
                <w:rFonts w:hint="eastAsia" w:ascii="宋体" w:hAnsi="宋体"/>
                <w:color w:val="000000"/>
                <w:sz w:val="20"/>
                <w:lang w:val="en-US" w:eastAsia="zh-CN"/>
              </w:rPr>
              <w:t>征订</w:t>
            </w:r>
            <w:r>
              <w:rPr>
                <w:rFonts w:hint="eastAsia" w:ascii="宋体" w:hAnsi="宋体" w:eastAsia="宋体"/>
                <w:color w:val="000000"/>
                <w:sz w:val="20"/>
                <w:lang w:val="en-US" w:eastAsia="zh-CN"/>
              </w:rPr>
              <w:t>及调研、考察等其他工作的开展</w:t>
            </w:r>
          </w:p>
        </w:tc>
        <w:tc>
          <w:tcPr>
            <w:tcW w:w="2524"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973FED">
            <w:pPr>
              <w:widowControl/>
              <w:spacing w:beforeLines="0" w:afterLines="0"/>
              <w:textAlignment w:val="center"/>
              <w:rPr>
                <w:rFonts w:hint="eastAsia" w:ascii="宋体" w:hAnsi="宋体" w:eastAsia="宋体"/>
                <w:color w:val="000000"/>
                <w:sz w:val="20"/>
              </w:rPr>
            </w:pPr>
            <w:r>
              <w:rPr>
                <w:rFonts w:hint="eastAsia" w:ascii="宋体" w:hAnsi="宋体" w:eastAsia="宋体"/>
                <w:color w:val="000000"/>
                <w:sz w:val="20"/>
                <w:lang w:val="en-US" w:eastAsia="zh-CN"/>
              </w:rPr>
              <w:t>完成了每名代表、委员一报两刊的</w:t>
            </w:r>
            <w:r>
              <w:rPr>
                <w:rFonts w:hint="eastAsia" w:ascii="宋体" w:hAnsi="宋体"/>
                <w:color w:val="000000"/>
                <w:sz w:val="20"/>
                <w:lang w:val="en-US" w:eastAsia="zh-CN"/>
              </w:rPr>
              <w:t>征订</w:t>
            </w:r>
            <w:r>
              <w:rPr>
                <w:rFonts w:hint="eastAsia" w:ascii="宋体" w:hAnsi="宋体" w:eastAsia="宋体"/>
                <w:color w:val="000000"/>
                <w:sz w:val="20"/>
                <w:lang w:val="en-US" w:eastAsia="zh-CN"/>
              </w:rPr>
              <w:t>及调研、考察等其他工作的开展。</w:t>
            </w:r>
          </w:p>
        </w:tc>
        <w:tc>
          <w:tcPr>
            <w:tcW w:w="561" w:type="dxa"/>
            <w:gridSpan w:val="4"/>
            <w:tcBorders>
              <w:top w:val="nil"/>
              <w:left w:val="nil"/>
              <w:bottom w:val="nil"/>
              <w:right w:val="nil"/>
              <w:tl2br w:val="nil"/>
              <w:tr2bl w:val="nil"/>
            </w:tcBorders>
            <w:noWrap w:val="0"/>
            <w:vAlign w:val="center"/>
          </w:tcPr>
          <w:p w14:paraId="335918C7">
            <w:pPr>
              <w:spacing w:beforeLines="0" w:afterLines="0"/>
              <w:rPr>
                <w:rFonts w:hint="eastAsia" w:ascii="宋体" w:hAnsi="宋体" w:eastAsia="宋体"/>
                <w:color w:val="000000"/>
                <w:sz w:val="22"/>
              </w:rPr>
            </w:pPr>
          </w:p>
        </w:tc>
        <w:tc>
          <w:tcPr>
            <w:tcW w:w="556" w:type="dxa"/>
            <w:gridSpan w:val="2"/>
            <w:tcBorders>
              <w:top w:val="nil"/>
              <w:left w:val="nil"/>
              <w:bottom w:val="nil"/>
              <w:right w:val="nil"/>
              <w:tl2br w:val="nil"/>
              <w:tr2bl w:val="nil"/>
            </w:tcBorders>
            <w:noWrap w:val="0"/>
            <w:vAlign w:val="center"/>
          </w:tcPr>
          <w:p w14:paraId="23B20178">
            <w:pPr>
              <w:spacing w:beforeLines="0" w:afterLines="0"/>
              <w:rPr>
                <w:rFonts w:hint="eastAsia" w:ascii="宋体" w:hAnsi="宋体" w:eastAsia="宋体"/>
                <w:color w:val="000000"/>
                <w:sz w:val="22"/>
              </w:rPr>
            </w:pPr>
          </w:p>
        </w:tc>
      </w:tr>
      <w:tr w14:paraId="3A270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469" w:type="dxa"/>
          <w:trHeight w:val="480" w:hRule="atLeast"/>
        </w:trPr>
        <w:tc>
          <w:tcPr>
            <w:tcW w:w="11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0DACAA">
            <w:pPr>
              <w:widowControl/>
              <w:spacing w:beforeLines="0" w:afterLines="0"/>
              <w:jc w:val="center"/>
              <w:textAlignment w:val="center"/>
              <w:rPr>
                <w:rFonts w:hint="eastAsia" w:ascii="宋体" w:hAnsi="宋体" w:eastAsia="宋体"/>
                <w:color w:val="000000"/>
                <w:sz w:val="20"/>
              </w:rPr>
            </w:pPr>
            <w:r>
              <w:rPr>
                <w:rFonts w:hint="eastAsia" w:ascii="宋体" w:hAnsi="宋体" w:eastAsia="宋体"/>
                <w:color w:val="000000"/>
                <w:sz w:val="20"/>
                <w:lang w:val="en-US" w:eastAsia="zh-CN"/>
              </w:rPr>
              <w:t>一级指标</w:t>
            </w:r>
          </w:p>
        </w:tc>
        <w:tc>
          <w:tcPr>
            <w:tcW w:w="116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E9F754">
            <w:pPr>
              <w:widowControl/>
              <w:spacing w:beforeLines="0" w:afterLines="0"/>
              <w:jc w:val="center"/>
              <w:textAlignment w:val="center"/>
              <w:rPr>
                <w:rFonts w:hint="eastAsia" w:ascii="宋体" w:hAnsi="宋体" w:eastAsia="宋体"/>
                <w:color w:val="000000"/>
                <w:sz w:val="20"/>
              </w:rPr>
            </w:pPr>
            <w:r>
              <w:rPr>
                <w:rFonts w:hint="eastAsia" w:ascii="宋体" w:hAnsi="宋体" w:eastAsia="宋体"/>
                <w:color w:val="000000"/>
                <w:sz w:val="20"/>
                <w:lang w:val="en-US" w:eastAsia="zh-CN"/>
              </w:rPr>
              <w:t>二级指标</w:t>
            </w:r>
          </w:p>
        </w:tc>
        <w:tc>
          <w:tcPr>
            <w:tcW w:w="162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32401F">
            <w:pPr>
              <w:widowControl/>
              <w:spacing w:beforeLines="0" w:afterLines="0"/>
              <w:jc w:val="center"/>
              <w:textAlignment w:val="center"/>
              <w:rPr>
                <w:rFonts w:hint="eastAsia" w:ascii="宋体" w:hAnsi="宋体" w:eastAsia="宋体"/>
                <w:color w:val="000000"/>
                <w:sz w:val="20"/>
              </w:rPr>
            </w:pPr>
            <w:r>
              <w:rPr>
                <w:rFonts w:hint="eastAsia" w:ascii="宋体" w:hAnsi="宋体" w:eastAsia="宋体"/>
                <w:color w:val="000000"/>
                <w:sz w:val="20"/>
                <w:lang w:val="en-US" w:eastAsia="zh-CN"/>
              </w:rPr>
              <w:t>目标指标</w:t>
            </w:r>
          </w:p>
        </w:tc>
        <w:tc>
          <w:tcPr>
            <w:tcW w:w="119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308195">
            <w:pPr>
              <w:widowControl/>
              <w:spacing w:beforeLines="0" w:afterLines="0"/>
              <w:jc w:val="center"/>
              <w:textAlignment w:val="center"/>
              <w:rPr>
                <w:rFonts w:hint="eastAsia" w:ascii="宋体" w:hAnsi="宋体" w:eastAsia="宋体"/>
                <w:color w:val="000000"/>
                <w:sz w:val="20"/>
              </w:rPr>
            </w:pPr>
            <w:r>
              <w:rPr>
                <w:rFonts w:hint="eastAsia" w:ascii="宋体" w:hAnsi="宋体" w:eastAsia="宋体"/>
                <w:color w:val="000000"/>
                <w:sz w:val="20"/>
                <w:lang w:val="en-US" w:eastAsia="zh-CN"/>
              </w:rPr>
              <w:t>目标值</w:t>
            </w:r>
          </w:p>
        </w:tc>
        <w:tc>
          <w:tcPr>
            <w:tcW w:w="209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541DA7">
            <w:pPr>
              <w:widowControl/>
              <w:spacing w:beforeLines="0" w:afterLines="0"/>
              <w:jc w:val="center"/>
              <w:textAlignment w:val="center"/>
              <w:rPr>
                <w:rFonts w:hint="eastAsia" w:ascii="宋体" w:hAnsi="宋体" w:eastAsia="宋体"/>
                <w:color w:val="000000"/>
                <w:sz w:val="20"/>
              </w:rPr>
            </w:pPr>
            <w:r>
              <w:rPr>
                <w:rFonts w:hint="eastAsia" w:ascii="宋体" w:hAnsi="宋体" w:eastAsia="宋体"/>
                <w:color w:val="000000"/>
                <w:sz w:val="20"/>
                <w:lang w:val="en-US" w:eastAsia="zh-CN"/>
              </w:rPr>
              <w:t>业绩指标</w:t>
            </w:r>
          </w:p>
        </w:tc>
        <w:tc>
          <w:tcPr>
            <w:tcW w:w="43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F3434F">
            <w:pPr>
              <w:widowControl/>
              <w:spacing w:beforeLines="0" w:afterLines="0"/>
              <w:jc w:val="center"/>
              <w:textAlignment w:val="center"/>
              <w:rPr>
                <w:rFonts w:hint="eastAsia" w:ascii="宋体" w:hAnsi="宋体" w:eastAsia="宋体"/>
                <w:color w:val="000000"/>
                <w:sz w:val="20"/>
              </w:rPr>
            </w:pPr>
            <w:r>
              <w:rPr>
                <w:rFonts w:hint="eastAsia" w:ascii="宋体" w:hAnsi="宋体" w:eastAsia="宋体"/>
                <w:color w:val="000000"/>
                <w:sz w:val="20"/>
                <w:lang w:val="en-US" w:eastAsia="zh-CN"/>
              </w:rPr>
              <w:t>完成率</w:t>
            </w:r>
          </w:p>
        </w:tc>
        <w:tc>
          <w:tcPr>
            <w:tcW w:w="561" w:type="dxa"/>
            <w:gridSpan w:val="4"/>
            <w:tcBorders>
              <w:top w:val="nil"/>
              <w:left w:val="nil"/>
              <w:bottom w:val="nil"/>
              <w:right w:val="nil"/>
              <w:tl2br w:val="nil"/>
              <w:tr2bl w:val="nil"/>
            </w:tcBorders>
            <w:noWrap w:val="0"/>
            <w:vAlign w:val="center"/>
          </w:tcPr>
          <w:p w14:paraId="44231882">
            <w:pPr>
              <w:spacing w:beforeLines="0" w:afterLines="0"/>
              <w:rPr>
                <w:rFonts w:hint="eastAsia" w:ascii="宋体" w:hAnsi="宋体" w:eastAsia="宋体"/>
                <w:color w:val="000000"/>
                <w:sz w:val="22"/>
              </w:rPr>
            </w:pPr>
          </w:p>
        </w:tc>
        <w:tc>
          <w:tcPr>
            <w:tcW w:w="556" w:type="dxa"/>
            <w:gridSpan w:val="2"/>
            <w:tcBorders>
              <w:top w:val="nil"/>
              <w:left w:val="nil"/>
              <w:bottom w:val="nil"/>
              <w:right w:val="nil"/>
              <w:tl2br w:val="nil"/>
              <w:tr2bl w:val="nil"/>
            </w:tcBorders>
            <w:noWrap w:val="0"/>
            <w:vAlign w:val="center"/>
          </w:tcPr>
          <w:p w14:paraId="79DE9DC3">
            <w:pPr>
              <w:spacing w:beforeLines="0" w:afterLines="0"/>
              <w:rPr>
                <w:rFonts w:hint="eastAsia" w:ascii="宋体" w:hAnsi="宋体" w:eastAsia="宋体"/>
                <w:color w:val="000000"/>
                <w:sz w:val="22"/>
              </w:rPr>
            </w:pPr>
          </w:p>
        </w:tc>
      </w:tr>
      <w:tr w14:paraId="601A5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469" w:type="dxa"/>
          <w:trHeight w:val="435" w:hRule="atLeast"/>
        </w:trPr>
        <w:tc>
          <w:tcPr>
            <w:tcW w:w="1161"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5DD5353">
            <w:pPr>
              <w:widowControl/>
              <w:spacing w:beforeLines="0" w:afterLines="0"/>
              <w:jc w:val="center"/>
              <w:textAlignment w:val="center"/>
              <w:rPr>
                <w:rFonts w:hint="eastAsia" w:ascii="宋体" w:hAnsi="宋体" w:eastAsia="宋体"/>
                <w:color w:val="333333"/>
                <w:sz w:val="20"/>
              </w:rPr>
            </w:pPr>
            <w:r>
              <w:rPr>
                <w:rFonts w:hint="eastAsia" w:ascii="宋体" w:hAnsi="宋体" w:eastAsia="宋体"/>
                <w:color w:val="333333"/>
                <w:sz w:val="20"/>
                <w:lang w:val="en-US" w:eastAsia="zh-CN"/>
              </w:rPr>
              <w:t>投入与管理</w:t>
            </w:r>
          </w:p>
        </w:tc>
        <w:tc>
          <w:tcPr>
            <w:tcW w:w="1161" w:type="dxa"/>
            <w:gridSpan w:val="2"/>
            <w:vMerge w:val="restart"/>
            <w:tcBorders>
              <w:top w:val="single" w:color="000000" w:sz="4" w:space="0"/>
              <w:left w:val="single" w:color="000000" w:sz="4" w:space="0"/>
              <w:bottom w:val="single" w:color="000000" w:sz="4" w:space="0"/>
              <w:right w:val="nil"/>
              <w:tl2br w:val="nil"/>
              <w:tr2bl w:val="nil"/>
            </w:tcBorders>
            <w:shd w:val="clear" w:color="auto" w:fill="FFFFFF"/>
            <w:noWrap w:val="0"/>
            <w:vAlign w:val="center"/>
          </w:tcPr>
          <w:p w14:paraId="0196D6C1">
            <w:pPr>
              <w:widowControl/>
              <w:spacing w:beforeLines="0" w:afterLines="0"/>
              <w:jc w:val="center"/>
              <w:textAlignment w:val="center"/>
              <w:rPr>
                <w:rFonts w:hint="eastAsia" w:ascii="宋体" w:hAnsi="宋体" w:eastAsia="宋体"/>
                <w:color w:val="333333"/>
                <w:sz w:val="20"/>
              </w:rPr>
            </w:pPr>
            <w:r>
              <w:rPr>
                <w:rFonts w:hint="eastAsia" w:ascii="宋体" w:hAnsi="宋体" w:eastAsia="宋体"/>
                <w:color w:val="333333"/>
                <w:sz w:val="20"/>
                <w:lang w:val="en-US" w:eastAsia="zh-CN"/>
              </w:rPr>
              <w:t>投入管理</w:t>
            </w:r>
          </w:p>
        </w:tc>
        <w:tc>
          <w:tcPr>
            <w:tcW w:w="1622"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512F5DF">
            <w:pPr>
              <w:widowControl/>
              <w:spacing w:beforeLines="0" w:afterLines="0"/>
              <w:jc w:val="center"/>
              <w:textAlignment w:val="center"/>
              <w:rPr>
                <w:rFonts w:hint="eastAsia" w:ascii="宋体" w:hAnsi="宋体" w:eastAsia="宋体"/>
                <w:color w:val="333333"/>
                <w:sz w:val="20"/>
              </w:rPr>
            </w:pPr>
            <w:r>
              <w:rPr>
                <w:rFonts w:hint="eastAsia" w:ascii="宋体" w:hAnsi="宋体" w:eastAsia="宋体"/>
                <w:color w:val="333333"/>
                <w:sz w:val="20"/>
                <w:lang w:val="en-US" w:eastAsia="zh-CN"/>
              </w:rPr>
              <w:t>预算编制合理性</w:t>
            </w:r>
          </w:p>
        </w:tc>
        <w:tc>
          <w:tcPr>
            <w:tcW w:w="1191"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FA6B4BA">
            <w:pPr>
              <w:widowControl/>
              <w:spacing w:beforeLines="0" w:afterLines="0"/>
              <w:jc w:val="center"/>
              <w:textAlignment w:val="center"/>
              <w:rPr>
                <w:rFonts w:hint="eastAsia" w:ascii="宋体" w:hAnsi="宋体" w:eastAsia="宋体"/>
                <w:color w:val="333333"/>
                <w:sz w:val="20"/>
              </w:rPr>
            </w:pPr>
            <w:r>
              <w:rPr>
                <w:rFonts w:hint="eastAsia" w:ascii="宋体" w:hAnsi="宋体" w:eastAsia="宋体"/>
                <w:color w:val="333333"/>
                <w:sz w:val="20"/>
                <w:lang w:val="en-US" w:eastAsia="zh-CN"/>
              </w:rPr>
              <w:t>合理</w:t>
            </w:r>
          </w:p>
        </w:tc>
        <w:tc>
          <w:tcPr>
            <w:tcW w:w="2094"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731484E">
            <w:pPr>
              <w:widowControl/>
              <w:spacing w:beforeLines="0" w:afterLines="0"/>
              <w:jc w:val="center"/>
              <w:textAlignment w:val="center"/>
              <w:rPr>
                <w:rFonts w:hint="eastAsia" w:ascii="宋体" w:hAnsi="宋体" w:eastAsia="宋体"/>
                <w:color w:val="333333"/>
                <w:sz w:val="20"/>
              </w:rPr>
            </w:pPr>
            <w:r>
              <w:rPr>
                <w:rFonts w:hint="eastAsia" w:ascii="宋体" w:hAnsi="宋体" w:eastAsia="宋体"/>
                <w:color w:val="333333"/>
                <w:sz w:val="20"/>
                <w:lang w:val="en-US" w:eastAsia="zh-CN"/>
              </w:rPr>
              <w:t>100%</w:t>
            </w:r>
          </w:p>
        </w:tc>
        <w:tc>
          <w:tcPr>
            <w:tcW w:w="43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E759F07">
            <w:pPr>
              <w:widowControl/>
              <w:spacing w:beforeLines="0" w:afterLines="0"/>
              <w:jc w:val="center"/>
              <w:textAlignment w:val="center"/>
              <w:rPr>
                <w:rFonts w:hint="eastAsia" w:ascii="宋体" w:hAnsi="宋体" w:eastAsia="宋体"/>
                <w:color w:val="333333"/>
                <w:sz w:val="20"/>
              </w:rPr>
            </w:pPr>
            <w:r>
              <w:rPr>
                <w:rFonts w:hint="eastAsia" w:ascii="宋体" w:hAnsi="宋体" w:eastAsia="宋体"/>
                <w:color w:val="333333"/>
                <w:sz w:val="20"/>
                <w:lang w:val="en-US" w:eastAsia="zh-CN"/>
              </w:rPr>
              <w:t>100%</w:t>
            </w:r>
          </w:p>
        </w:tc>
        <w:tc>
          <w:tcPr>
            <w:tcW w:w="561" w:type="dxa"/>
            <w:gridSpan w:val="4"/>
            <w:tcBorders>
              <w:top w:val="nil"/>
              <w:left w:val="nil"/>
              <w:bottom w:val="nil"/>
              <w:right w:val="nil"/>
              <w:tl2br w:val="nil"/>
              <w:tr2bl w:val="nil"/>
            </w:tcBorders>
            <w:noWrap w:val="0"/>
            <w:vAlign w:val="center"/>
          </w:tcPr>
          <w:p w14:paraId="3A725CFC">
            <w:pPr>
              <w:spacing w:beforeLines="0" w:afterLines="0"/>
              <w:rPr>
                <w:rFonts w:hint="eastAsia" w:ascii="宋体" w:hAnsi="宋体" w:eastAsia="宋体"/>
                <w:color w:val="000000"/>
                <w:sz w:val="22"/>
              </w:rPr>
            </w:pPr>
          </w:p>
        </w:tc>
        <w:tc>
          <w:tcPr>
            <w:tcW w:w="556" w:type="dxa"/>
            <w:gridSpan w:val="2"/>
            <w:tcBorders>
              <w:top w:val="nil"/>
              <w:left w:val="nil"/>
              <w:bottom w:val="nil"/>
              <w:right w:val="nil"/>
              <w:tl2br w:val="nil"/>
              <w:tr2bl w:val="nil"/>
            </w:tcBorders>
            <w:noWrap w:val="0"/>
            <w:vAlign w:val="center"/>
          </w:tcPr>
          <w:p w14:paraId="0D880DF6">
            <w:pPr>
              <w:spacing w:beforeLines="0" w:afterLines="0"/>
              <w:rPr>
                <w:rFonts w:hint="eastAsia" w:ascii="宋体" w:hAnsi="宋体" w:eastAsia="宋体"/>
                <w:color w:val="000000"/>
                <w:sz w:val="22"/>
              </w:rPr>
            </w:pPr>
          </w:p>
        </w:tc>
      </w:tr>
      <w:tr w14:paraId="606EE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469" w:type="dxa"/>
          <w:trHeight w:val="435" w:hRule="atLeast"/>
        </w:trPr>
        <w:tc>
          <w:tcPr>
            <w:tcW w:w="1161"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1E60365">
            <w:pPr>
              <w:spacing w:beforeLines="0" w:afterLines="0"/>
              <w:jc w:val="center"/>
              <w:rPr>
                <w:rFonts w:hint="eastAsia" w:ascii="宋体" w:hAnsi="宋体" w:eastAsia="宋体"/>
                <w:color w:val="333333"/>
                <w:sz w:val="20"/>
              </w:rPr>
            </w:pPr>
          </w:p>
        </w:tc>
        <w:tc>
          <w:tcPr>
            <w:tcW w:w="1161" w:type="dxa"/>
            <w:gridSpan w:val="2"/>
            <w:vMerge w:val="continue"/>
            <w:tcBorders>
              <w:top w:val="single" w:color="000000" w:sz="4" w:space="0"/>
              <w:left w:val="single" w:color="000000" w:sz="4" w:space="0"/>
              <w:bottom w:val="single" w:color="000000" w:sz="4" w:space="0"/>
              <w:right w:val="nil"/>
              <w:tl2br w:val="nil"/>
              <w:tr2bl w:val="nil"/>
            </w:tcBorders>
            <w:shd w:val="clear" w:color="auto" w:fill="FFFFFF"/>
            <w:noWrap w:val="0"/>
            <w:vAlign w:val="center"/>
          </w:tcPr>
          <w:p w14:paraId="7098A370">
            <w:pPr>
              <w:spacing w:beforeLines="0" w:afterLines="0"/>
              <w:jc w:val="center"/>
              <w:rPr>
                <w:rFonts w:hint="eastAsia" w:ascii="宋体" w:hAnsi="宋体" w:eastAsia="宋体"/>
                <w:color w:val="333333"/>
                <w:sz w:val="20"/>
              </w:rPr>
            </w:pPr>
          </w:p>
        </w:tc>
        <w:tc>
          <w:tcPr>
            <w:tcW w:w="1622"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E21CE02">
            <w:pPr>
              <w:widowControl/>
              <w:spacing w:beforeLines="0" w:afterLines="0"/>
              <w:jc w:val="center"/>
              <w:textAlignment w:val="center"/>
              <w:rPr>
                <w:rFonts w:hint="eastAsia" w:ascii="宋体" w:hAnsi="宋体" w:eastAsia="宋体"/>
                <w:color w:val="333333"/>
                <w:sz w:val="20"/>
              </w:rPr>
            </w:pPr>
            <w:r>
              <w:rPr>
                <w:rFonts w:hint="eastAsia" w:ascii="宋体" w:hAnsi="宋体" w:eastAsia="宋体"/>
                <w:color w:val="333333"/>
                <w:sz w:val="20"/>
                <w:lang w:val="en-US" w:eastAsia="zh-CN"/>
              </w:rPr>
              <w:t>预算执行率</w:t>
            </w:r>
          </w:p>
        </w:tc>
        <w:tc>
          <w:tcPr>
            <w:tcW w:w="1191"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7D63E0B">
            <w:pPr>
              <w:widowControl/>
              <w:spacing w:beforeLines="0" w:afterLines="0"/>
              <w:jc w:val="center"/>
              <w:textAlignment w:val="center"/>
              <w:rPr>
                <w:rFonts w:hint="eastAsia" w:ascii="宋体" w:hAnsi="宋体" w:eastAsia="宋体"/>
                <w:color w:val="333333"/>
                <w:sz w:val="20"/>
              </w:rPr>
            </w:pPr>
            <w:r>
              <w:rPr>
                <w:rFonts w:hint="eastAsia" w:ascii="宋体" w:hAnsi="宋体" w:eastAsia="宋体"/>
                <w:color w:val="333333"/>
                <w:sz w:val="20"/>
                <w:lang w:val="en-US" w:eastAsia="zh-CN"/>
              </w:rPr>
              <w:t>=100</w:t>
            </w:r>
          </w:p>
        </w:tc>
        <w:tc>
          <w:tcPr>
            <w:tcW w:w="2094"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9DE9A5E">
            <w:pPr>
              <w:widowControl/>
              <w:spacing w:beforeLines="0" w:afterLines="0"/>
              <w:jc w:val="center"/>
              <w:textAlignment w:val="center"/>
              <w:rPr>
                <w:rFonts w:hint="eastAsia" w:ascii="宋体" w:hAnsi="宋体" w:eastAsia="宋体"/>
                <w:color w:val="333333"/>
                <w:sz w:val="20"/>
              </w:rPr>
            </w:pPr>
            <w:r>
              <w:rPr>
                <w:rFonts w:hint="eastAsia" w:ascii="宋体" w:hAnsi="宋体" w:eastAsia="宋体"/>
                <w:color w:val="333333"/>
                <w:sz w:val="20"/>
                <w:lang w:val="en-US" w:eastAsia="zh-CN"/>
              </w:rPr>
              <w:t>100</w:t>
            </w:r>
          </w:p>
        </w:tc>
        <w:tc>
          <w:tcPr>
            <w:tcW w:w="43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1198053">
            <w:pPr>
              <w:widowControl/>
              <w:spacing w:beforeLines="0" w:afterLines="0"/>
              <w:jc w:val="center"/>
              <w:textAlignment w:val="center"/>
              <w:rPr>
                <w:rFonts w:hint="eastAsia" w:ascii="宋体" w:hAnsi="宋体" w:eastAsia="宋体"/>
                <w:color w:val="333333"/>
                <w:sz w:val="20"/>
              </w:rPr>
            </w:pPr>
            <w:r>
              <w:rPr>
                <w:rFonts w:hint="eastAsia" w:ascii="宋体" w:hAnsi="宋体" w:eastAsia="宋体"/>
                <w:color w:val="333333"/>
                <w:sz w:val="20"/>
                <w:lang w:val="en-US" w:eastAsia="zh-CN"/>
              </w:rPr>
              <w:t>100%</w:t>
            </w:r>
          </w:p>
        </w:tc>
        <w:tc>
          <w:tcPr>
            <w:tcW w:w="561" w:type="dxa"/>
            <w:gridSpan w:val="4"/>
            <w:tcBorders>
              <w:top w:val="nil"/>
              <w:left w:val="nil"/>
              <w:bottom w:val="nil"/>
              <w:right w:val="nil"/>
              <w:tl2br w:val="nil"/>
              <w:tr2bl w:val="nil"/>
            </w:tcBorders>
            <w:noWrap w:val="0"/>
            <w:vAlign w:val="center"/>
          </w:tcPr>
          <w:p w14:paraId="672DC313">
            <w:pPr>
              <w:spacing w:beforeLines="0" w:afterLines="0"/>
              <w:rPr>
                <w:rFonts w:hint="eastAsia" w:ascii="宋体" w:hAnsi="宋体" w:eastAsia="宋体"/>
                <w:color w:val="000000"/>
                <w:sz w:val="22"/>
              </w:rPr>
            </w:pPr>
          </w:p>
        </w:tc>
        <w:tc>
          <w:tcPr>
            <w:tcW w:w="556" w:type="dxa"/>
            <w:gridSpan w:val="2"/>
            <w:tcBorders>
              <w:top w:val="nil"/>
              <w:left w:val="nil"/>
              <w:bottom w:val="nil"/>
              <w:right w:val="nil"/>
              <w:tl2br w:val="nil"/>
              <w:tr2bl w:val="nil"/>
            </w:tcBorders>
            <w:noWrap w:val="0"/>
            <w:vAlign w:val="center"/>
          </w:tcPr>
          <w:p w14:paraId="797B6A1B">
            <w:pPr>
              <w:spacing w:beforeLines="0" w:afterLines="0"/>
              <w:rPr>
                <w:rFonts w:hint="eastAsia" w:ascii="宋体" w:hAnsi="宋体" w:eastAsia="宋体"/>
                <w:color w:val="000000"/>
                <w:sz w:val="22"/>
              </w:rPr>
            </w:pPr>
          </w:p>
        </w:tc>
      </w:tr>
      <w:tr w14:paraId="058C4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469" w:type="dxa"/>
          <w:trHeight w:val="435" w:hRule="atLeast"/>
        </w:trPr>
        <w:tc>
          <w:tcPr>
            <w:tcW w:w="1161"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4AEC0FD">
            <w:pPr>
              <w:spacing w:beforeLines="0" w:afterLines="0"/>
              <w:jc w:val="center"/>
              <w:rPr>
                <w:rFonts w:hint="eastAsia" w:ascii="宋体" w:hAnsi="宋体" w:eastAsia="宋体"/>
                <w:color w:val="333333"/>
                <w:sz w:val="20"/>
              </w:rPr>
            </w:pPr>
          </w:p>
        </w:tc>
        <w:tc>
          <w:tcPr>
            <w:tcW w:w="1161" w:type="dxa"/>
            <w:gridSpan w:val="2"/>
            <w:vMerge w:val="continue"/>
            <w:tcBorders>
              <w:top w:val="single" w:color="000000" w:sz="4" w:space="0"/>
              <w:left w:val="single" w:color="000000" w:sz="4" w:space="0"/>
              <w:bottom w:val="single" w:color="000000" w:sz="4" w:space="0"/>
              <w:right w:val="nil"/>
              <w:tl2br w:val="nil"/>
              <w:tr2bl w:val="nil"/>
            </w:tcBorders>
            <w:shd w:val="clear" w:color="auto" w:fill="FFFFFF"/>
            <w:noWrap w:val="0"/>
            <w:vAlign w:val="center"/>
          </w:tcPr>
          <w:p w14:paraId="2344AB11">
            <w:pPr>
              <w:spacing w:beforeLines="0" w:afterLines="0"/>
              <w:jc w:val="center"/>
              <w:rPr>
                <w:rFonts w:hint="eastAsia" w:ascii="宋体" w:hAnsi="宋体" w:eastAsia="宋体"/>
                <w:color w:val="333333"/>
                <w:sz w:val="20"/>
              </w:rPr>
            </w:pPr>
          </w:p>
        </w:tc>
        <w:tc>
          <w:tcPr>
            <w:tcW w:w="1622"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419A6CA">
            <w:pPr>
              <w:widowControl/>
              <w:spacing w:beforeLines="0" w:afterLines="0"/>
              <w:jc w:val="center"/>
              <w:textAlignment w:val="center"/>
              <w:rPr>
                <w:rFonts w:hint="eastAsia" w:ascii="宋体" w:hAnsi="宋体" w:eastAsia="宋体"/>
                <w:color w:val="333333"/>
                <w:sz w:val="20"/>
              </w:rPr>
            </w:pPr>
            <w:r>
              <w:rPr>
                <w:rFonts w:hint="eastAsia" w:ascii="宋体" w:hAnsi="宋体" w:eastAsia="宋体"/>
                <w:color w:val="333333"/>
                <w:sz w:val="20"/>
                <w:lang w:val="en-US" w:eastAsia="zh-CN"/>
              </w:rPr>
              <w:t>预算资金到位率</w:t>
            </w:r>
          </w:p>
        </w:tc>
        <w:tc>
          <w:tcPr>
            <w:tcW w:w="1191"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DFA7E7A">
            <w:pPr>
              <w:widowControl/>
              <w:spacing w:beforeLines="0" w:afterLines="0"/>
              <w:jc w:val="center"/>
              <w:textAlignment w:val="center"/>
              <w:rPr>
                <w:rFonts w:hint="eastAsia" w:ascii="宋体" w:hAnsi="宋体" w:eastAsia="宋体"/>
                <w:color w:val="333333"/>
                <w:sz w:val="20"/>
              </w:rPr>
            </w:pPr>
            <w:r>
              <w:rPr>
                <w:rFonts w:hint="eastAsia" w:ascii="宋体" w:hAnsi="宋体" w:eastAsia="宋体"/>
                <w:color w:val="333333"/>
                <w:sz w:val="20"/>
                <w:lang w:val="en-US" w:eastAsia="zh-CN"/>
              </w:rPr>
              <w:t>=100</w:t>
            </w:r>
          </w:p>
        </w:tc>
        <w:tc>
          <w:tcPr>
            <w:tcW w:w="2094"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11AD667">
            <w:pPr>
              <w:widowControl/>
              <w:spacing w:beforeLines="0" w:afterLines="0"/>
              <w:jc w:val="center"/>
              <w:textAlignment w:val="center"/>
              <w:rPr>
                <w:rFonts w:hint="eastAsia" w:ascii="宋体" w:hAnsi="宋体" w:eastAsia="宋体"/>
                <w:color w:val="333333"/>
                <w:sz w:val="20"/>
              </w:rPr>
            </w:pPr>
            <w:r>
              <w:rPr>
                <w:rFonts w:hint="eastAsia" w:ascii="宋体" w:hAnsi="宋体" w:eastAsia="宋体"/>
                <w:color w:val="333333"/>
                <w:sz w:val="20"/>
                <w:lang w:val="en-US" w:eastAsia="zh-CN"/>
              </w:rPr>
              <w:t>100</w:t>
            </w:r>
          </w:p>
        </w:tc>
        <w:tc>
          <w:tcPr>
            <w:tcW w:w="43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53FEA73">
            <w:pPr>
              <w:widowControl/>
              <w:spacing w:beforeLines="0" w:afterLines="0"/>
              <w:jc w:val="center"/>
              <w:textAlignment w:val="center"/>
              <w:rPr>
                <w:rFonts w:hint="eastAsia" w:ascii="宋体" w:hAnsi="宋体" w:eastAsia="宋体"/>
                <w:color w:val="333333"/>
                <w:sz w:val="20"/>
              </w:rPr>
            </w:pPr>
            <w:r>
              <w:rPr>
                <w:rFonts w:hint="eastAsia" w:ascii="宋体" w:hAnsi="宋体" w:eastAsia="宋体"/>
                <w:color w:val="333333"/>
                <w:sz w:val="20"/>
                <w:lang w:val="en-US" w:eastAsia="zh-CN"/>
              </w:rPr>
              <w:t>100%</w:t>
            </w:r>
          </w:p>
        </w:tc>
        <w:tc>
          <w:tcPr>
            <w:tcW w:w="561" w:type="dxa"/>
            <w:gridSpan w:val="4"/>
            <w:tcBorders>
              <w:top w:val="nil"/>
              <w:left w:val="nil"/>
              <w:bottom w:val="nil"/>
              <w:right w:val="nil"/>
              <w:tl2br w:val="nil"/>
              <w:tr2bl w:val="nil"/>
            </w:tcBorders>
            <w:noWrap w:val="0"/>
            <w:vAlign w:val="center"/>
          </w:tcPr>
          <w:p w14:paraId="4FEDEF89">
            <w:pPr>
              <w:spacing w:beforeLines="0" w:afterLines="0"/>
              <w:rPr>
                <w:rFonts w:hint="eastAsia" w:ascii="宋体" w:hAnsi="宋体" w:eastAsia="宋体"/>
                <w:color w:val="000000"/>
                <w:sz w:val="22"/>
              </w:rPr>
            </w:pPr>
          </w:p>
        </w:tc>
        <w:tc>
          <w:tcPr>
            <w:tcW w:w="556" w:type="dxa"/>
            <w:gridSpan w:val="2"/>
            <w:tcBorders>
              <w:top w:val="nil"/>
              <w:left w:val="nil"/>
              <w:bottom w:val="nil"/>
              <w:right w:val="nil"/>
              <w:tl2br w:val="nil"/>
              <w:tr2bl w:val="nil"/>
            </w:tcBorders>
            <w:noWrap w:val="0"/>
            <w:vAlign w:val="center"/>
          </w:tcPr>
          <w:p w14:paraId="27037AD1">
            <w:pPr>
              <w:spacing w:beforeLines="0" w:afterLines="0"/>
              <w:rPr>
                <w:rFonts w:hint="eastAsia" w:ascii="宋体" w:hAnsi="宋体" w:eastAsia="宋体"/>
                <w:color w:val="000000"/>
                <w:sz w:val="22"/>
              </w:rPr>
            </w:pPr>
          </w:p>
        </w:tc>
      </w:tr>
      <w:tr w14:paraId="5B530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469" w:type="dxa"/>
          <w:trHeight w:val="435" w:hRule="atLeast"/>
        </w:trPr>
        <w:tc>
          <w:tcPr>
            <w:tcW w:w="1161"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F062854">
            <w:pPr>
              <w:spacing w:beforeLines="0" w:afterLines="0"/>
              <w:jc w:val="center"/>
              <w:rPr>
                <w:rFonts w:hint="eastAsia" w:ascii="宋体" w:hAnsi="宋体" w:eastAsia="宋体"/>
                <w:color w:val="333333"/>
                <w:sz w:val="20"/>
              </w:rPr>
            </w:pPr>
          </w:p>
        </w:tc>
        <w:tc>
          <w:tcPr>
            <w:tcW w:w="1161" w:type="dxa"/>
            <w:gridSpan w:val="2"/>
            <w:vMerge w:val="restart"/>
            <w:tcBorders>
              <w:top w:val="single" w:color="000000" w:sz="4" w:space="0"/>
              <w:left w:val="single" w:color="000000" w:sz="4" w:space="0"/>
              <w:bottom w:val="single" w:color="000000" w:sz="4" w:space="0"/>
              <w:right w:val="nil"/>
              <w:tl2br w:val="nil"/>
              <w:tr2bl w:val="nil"/>
            </w:tcBorders>
            <w:shd w:val="clear" w:color="auto" w:fill="FFFFFF"/>
            <w:noWrap w:val="0"/>
            <w:vAlign w:val="center"/>
          </w:tcPr>
          <w:p w14:paraId="16A7E44D">
            <w:pPr>
              <w:widowControl/>
              <w:spacing w:beforeLines="0" w:afterLines="0"/>
              <w:jc w:val="center"/>
              <w:textAlignment w:val="center"/>
              <w:rPr>
                <w:rFonts w:hint="eastAsia" w:ascii="宋体" w:hAnsi="宋体" w:eastAsia="宋体"/>
                <w:color w:val="333333"/>
                <w:sz w:val="20"/>
              </w:rPr>
            </w:pPr>
            <w:r>
              <w:rPr>
                <w:rFonts w:hint="eastAsia" w:ascii="宋体" w:hAnsi="宋体" w:eastAsia="宋体"/>
                <w:color w:val="333333"/>
                <w:sz w:val="20"/>
                <w:lang w:val="en-US" w:eastAsia="zh-CN"/>
              </w:rPr>
              <w:t>财务管理</w:t>
            </w:r>
          </w:p>
        </w:tc>
        <w:tc>
          <w:tcPr>
            <w:tcW w:w="1622"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171B082">
            <w:pPr>
              <w:widowControl/>
              <w:spacing w:beforeLines="0" w:afterLines="0"/>
              <w:jc w:val="center"/>
              <w:textAlignment w:val="center"/>
              <w:rPr>
                <w:rFonts w:hint="eastAsia" w:ascii="宋体" w:hAnsi="宋体" w:eastAsia="宋体"/>
                <w:color w:val="333333"/>
                <w:sz w:val="20"/>
              </w:rPr>
            </w:pPr>
            <w:r>
              <w:rPr>
                <w:rFonts w:hint="eastAsia" w:ascii="宋体" w:hAnsi="宋体" w:eastAsia="宋体"/>
                <w:color w:val="333333"/>
                <w:sz w:val="20"/>
                <w:lang w:val="en-US" w:eastAsia="zh-CN"/>
              </w:rPr>
              <w:t>财务管理制度健全性</w:t>
            </w:r>
          </w:p>
        </w:tc>
        <w:tc>
          <w:tcPr>
            <w:tcW w:w="1191"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9445D4A">
            <w:pPr>
              <w:widowControl/>
              <w:spacing w:beforeLines="0" w:afterLines="0"/>
              <w:jc w:val="center"/>
              <w:textAlignment w:val="center"/>
              <w:rPr>
                <w:rFonts w:hint="eastAsia" w:ascii="宋体" w:hAnsi="宋体" w:eastAsia="宋体"/>
                <w:color w:val="333333"/>
                <w:sz w:val="20"/>
              </w:rPr>
            </w:pPr>
            <w:r>
              <w:rPr>
                <w:rFonts w:hint="eastAsia" w:ascii="宋体" w:hAnsi="宋体" w:eastAsia="宋体"/>
                <w:color w:val="333333"/>
                <w:sz w:val="20"/>
                <w:lang w:val="en-US" w:eastAsia="zh-CN"/>
              </w:rPr>
              <w:t>健全</w:t>
            </w:r>
          </w:p>
        </w:tc>
        <w:tc>
          <w:tcPr>
            <w:tcW w:w="2094"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AB6C585">
            <w:pPr>
              <w:widowControl/>
              <w:spacing w:beforeLines="0" w:afterLines="0"/>
              <w:jc w:val="center"/>
              <w:textAlignment w:val="center"/>
              <w:rPr>
                <w:rFonts w:hint="eastAsia" w:ascii="宋体" w:hAnsi="宋体" w:eastAsia="宋体"/>
                <w:color w:val="333333"/>
                <w:sz w:val="20"/>
              </w:rPr>
            </w:pPr>
            <w:r>
              <w:rPr>
                <w:rFonts w:hint="eastAsia" w:ascii="宋体" w:hAnsi="宋体" w:eastAsia="宋体"/>
                <w:color w:val="333333"/>
                <w:sz w:val="20"/>
                <w:lang w:val="en-US" w:eastAsia="zh-CN"/>
              </w:rPr>
              <w:t>100%</w:t>
            </w:r>
          </w:p>
        </w:tc>
        <w:tc>
          <w:tcPr>
            <w:tcW w:w="43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950F040">
            <w:pPr>
              <w:widowControl/>
              <w:spacing w:beforeLines="0" w:afterLines="0"/>
              <w:jc w:val="center"/>
              <w:textAlignment w:val="center"/>
              <w:rPr>
                <w:rFonts w:hint="eastAsia" w:ascii="宋体" w:hAnsi="宋体" w:eastAsia="宋体"/>
                <w:color w:val="333333"/>
                <w:sz w:val="20"/>
              </w:rPr>
            </w:pPr>
            <w:r>
              <w:rPr>
                <w:rFonts w:hint="eastAsia" w:ascii="宋体" w:hAnsi="宋体" w:eastAsia="宋体"/>
                <w:color w:val="333333"/>
                <w:sz w:val="20"/>
                <w:lang w:val="en-US" w:eastAsia="zh-CN"/>
              </w:rPr>
              <w:t>100%</w:t>
            </w:r>
          </w:p>
        </w:tc>
        <w:tc>
          <w:tcPr>
            <w:tcW w:w="561" w:type="dxa"/>
            <w:gridSpan w:val="4"/>
            <w:tcBorders>
              <w:top w:val="nil"/>
              <w:left w:val="nil"/>
              <w:bottom w:val="nil"/>
              <w:right w:val="nil"/>
              <w:tl2br w:val="nil"/>
              <w:tr2bl w:val="nil"/>
            </w:tcBorders>
            <w:noWrap w:val="0"/>
            <w:vAlign w:val="center"/>
          </w:tcPr>
          <w:p w14:paraId="033FC246">
            <w:pPr>
              <w:spacing w:beforeLines="0" w:afterLines="0"/>
              <w:rPr>
                <w:rFonts w:hint="eastAsia" w:ascii="宋体" w:hAnsi="宋体" w:eastAsia="宋体"/>
                <w:color w:val="000000"/>
                <w:sz w:val="22"/>
              </w:rPr>
            </w:pPr>
          </w:p>
        </w:tc>
        <w:tc>
          <w:tcPr>
            <w:tcW w:w="556" w:type="dxa"/>
            <w:gridSpan w:val="2"/>
            <w:tcBorders>
              <w:top w:val="nil"/>
              <w:left w:val="nil"/>
              <w:bottom w:val="nil"/>
              <w:right w:val="nil"/>
              <w:tl2br w:val="nil"/>
              <w:tr2bl w:val="nil"/>
            </w:tcBorders>
            <w:noWrap w:val="0"/>
            <w:vAlign w:val="center"/>
          </w:tcPr>
          <w:p w14:paraId="60382F3D">
            <w:pPr>
              <w:spacing w:beforeLines="0" w:afterLines="0"/>
              <w:rPr>
                <w:rFonts w:hint="eastAsia" w:ascii="宋体" w:hAnsi="宋体" w:eastAsia="宋体"/>
                <w:color w:val="000000"/>
                <w:sz w:val="22"/>
              </w:rPr>
            </w:pPr>
          </w:p>
        </w:tc>
      </w:tr>
      <w:tr w14:paraId="0F2B2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469" w:type="dxa"/>
          <w:trHeight w:val="435" w:hRule="atLeast"/>
        </w:trPr>
        <w:tc>
          <w:tcPr>
            <w:tcW w:w="1161"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E6346DE">
            <w:pPr>
              <w:spacing w:beforeLines="0" w:afterLines="0"/>
              <w:jc w:val="center"/>
              <w:rPr>
                <w:rFonts w:hint="eastAsia" w:ascii="宋体" w:hAnsi="宋体" w:eastAsia="宋体"/>
                <w:color w:val="333333"/>
                <w:sz w:val="20"/>
              </w:rPr>
            </w:pPr>
          </w:p>
        </w:tc>
        <w:tc>
          <w:tcPr>
            <w:tcW w:w="1161" w:type="dxa"/>
            <w:gridSpan w:val="2"/>
            <w:vMerge w:val="continue"/>
            <w:tcBorders>
              <w:top w:val="single" w:color="000000" w:sz="4" w:space="0"/>
              <w:left w:val="single" w:color="000000" w:sz="4" w:space="0"/>
              <w:bottom w:val="single" w:color="000000" w:sz="4" w:space="0"/>
              <w:right w:val="nil"/>
              <w:tl2br w:val="nil"/>
              <w:tr2bl w:val="nil"/>
            </w:tcBorders>
            <w:shd w:val="clear" w:color="auto" w:fill="FFFFFF"/>
            <w:noWrap w:val="0"/>
            <w:vAlign w:val="center"/>
          </w:tcPr>
          <w:p w14:paraId="1950CA59">
            <w:pPr>
              <w:spacing w:beforeLines="0" w:afterLines="0"/>
              <w:jc w:val="center"/>
              <w:rPr>
                <w:rFonts w:hint="eastAsia" w:ascii="宋体" w:hAnsi="宋体" w:eastAsia="宋体"/>
                <w:color w:val="333333"/>
                <w:sz w:val="20"/>
              </w:rPr>
            </w:pPr>
          </w:p>
        </w:tc>
        <w:tc>
          <w:tcPr>
            <w:tcW w:w="1622"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A775E09">
            <w:pPr>
              <w:widowControl/>
              <w:spacing w:beforeLines="0" w:afterLines="0"/>
              <w:jc w:val="center"/>
              <w:textAlignment w:val="center"/>
              <w:rPr>
                <w:rFonts w:hint="eastAsia" w:ascii="宋体" w:hAnsi="宋体" w:eastAsia="宋体"/>
                <w:color w:val="333333"/>
                <w:sz w:val="20"/>
              </w:rPr>
            </w:pPr>
            <w:r>
              <w:rPr>
                <w:rFonts w:hint="eastAsia" w:ascii="宋体" w:hAnsi="宋体" w:eastAsia="宋体"/>
                <w:color w:val="333333"/>
                <w:sz w:val="20"/>
                <w:lang w:val="en-US" w:eastAsia="zh-CN"/>
              </w:rPr>
              <w:t>财务监控有效性</w:t>
            </w:r>
          </w:p>
        </w:tc>
        <w:tc>
          <w:tcPr>
            <w:tcW w:w="1191"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B664465">
            <w:pPr>
              <w:widowControl/>
              <w:spacing w:beforeLines="0" w:afterLines="0"/>
              <w:jc w:val="center"/>
              <w:textAlignment w:val="center"/>
              <w:rPr>
                <w:rFonts w:hint="eastAsia" w:ascii="宋体" w:hAnsi="宋体" w:eastAsia="宋体"/>
                <w:color w:val="333333"/>
                <w:sz w:val="20"/>
              </w:rPr>
            </w:pPr>
            <w:r>
              <w:rPr>
                <w:rFonts w:hint="eastAsia" w:ascii="宋体" w:hAnsi="宋体" w:eastAsia="宋体"/>
                <w:color w:val="333333"/>
                <w:sz w:val="20"/>
                <w:lang w:val="en-US" w:eastAsia="zh-CN"/>
              </w:rPr>
              <w:t>有效</w:t>
            </w:r>
          </w:p>
        </w:tc>
        <w:tc>
          <w:tcPr>
            <w:tcW w:w="2094"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5794691">
            <w:pPr>
              <w:widowControl/>
              <w:spacing w:beforeLines="0" w:afterLines="0"/>
              <w:jc w:val="center"/>
              <w:textAlignment w:val="center"/>
              <w:rPr>
                <w:rFonts w:hint="eastAsia" w:ascii="宋体" w:hAnsi="宋体" w:eastAsia="宋体"/>
                <w:color w:val="333333"/>
                <w:sz w:val="20"/>
              </w:rPr>
            </w:pPr>
            <w:r>
              <w:rPr>
                <w:rFonts w:hint="eastAsia" w:ascii="宋体" w:hAnsi="宋体" w:eastAsia="宋体"/>
                <w:color w:val="333333"/>
                <w:sz w:val="20"/>
                <w:lang w:val="en-US" w:eastAsia="zh-CN"/>
              </w:rPr>
              <w:t>100%</w:t>
            </w:r>
          </w:p>
        </w:tc>
        <w:tc>
          <w:tcPr>
            <w:tcW w:w="43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053C70A">
            <w:pPr>
              <w:widowControl/>
              <w:spacing w:beforeLines="0" w:afterLines="0"/>
              <w:jc w:val="center"/>
              <w:textAlignment w:val="center"/>
              <w:rPr>
                <w:rFonts w:hint="eastAsia" w:ascii="宋体" w:hAnsi="宋体" w:eastAsia="宋体"/>
                <w:color w:val="333333"/>
                <w:sz w:val="20"/>
              </w:rPr>
            </w:pPr>
            <w:r>
              <w:rPr>
                <w:rFonts w:hint="eastAsia" w:ascii="宋体" w:hAnsi="宋体" w:eastAsia="宋体"/>
                <w:color w:val="333333"/>
                <w:sz w:val="20"/>
                <w:lang w:val="en-US" w:eastAsia="zh-CN"/>
              </w:rPr>
              <w:t>100%</w:t>
            </w:r>
          </w:p>
        </w:tc>
        <w:tc>
          <w:tcPr>
            <w:tcW w:w="561" w:type="dxa"/>
            <w:gridSpan w:val="4"/>
            <w:tcBorders>
              <w:top w:val="nil"/>
              <w:left w:val="nil"/>
              <w:bottom w:val="nil"/>
              <w:right w:val="nil"/>
              <w:tl2br w:val="nil"/>
              <w:tr2bl w:val="nil"/>
            </w:tcBorders>
            <w:noWrap w:val="0"/>
            <w:vAlign w:val="center"/>
          </w:tcPr>
          <w:p w14:paraId="3069658D">
            <w:pPr>
              <w:spacing w:beforeLines="0" w:afterLines="0"/>
              <w:rPr>
                <w:rFonts w:hint="eastAsia" w:ascii="宋体" w:hAnsi="宋体" w:eastAsia="宋体"/>
                <w:color w:val="000000"/>
                <w:sz w:val="22"/>
              </w:rPr>
            </w:pPr>
          </w:p>
        </w:tc>
        <w:tc>
          <w:tcPr>
            <w:tcW w:w="556" w:type="dxa"/>
            <w:gridSpan w:val="2"/>
            <w:tcBorders>
              <w:top w:val="nil"/>
              <w:left w:val="nil"/>
              <w:bottom w:val="nil"/>
              <w:right w:val="nil"/>
              <w:tl2br w:val="nil"/>
              <w:tr2bl w:val="nil"/>
            </w:tcBorders>
            <w:noWrap w:val="0"/>
            <w:vAlign w:val="center"/>
          </w:tcPr>
          <w:p w14:paraId="5DF1E054">
            <w:pPr>
              <w:spacing w:beforeLines="0" w:afterLines="0"/>
              <w:rPr>
                <w:rFonts w:hint="eastAsia" w:ascii="宋体" w:hAnsi="宋体" w:eastAsia="宋体"/>
                <w:color w:val="000000"/>
                <w:sz w:val="22"/>
              </w:rPr>
            </w:pPr>
          </w:p>
        </w:tc>
      </w:tr>
      <w:tr w14:paraId="50CA2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469" w:type="dxa"/>
          <w:trHeight w:val="435" w:hRule="atLeast"/>
        </w:trPr>
        <w:tc>
          <w:tcPr>
            <w:tcW w:w="1161"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482BF85">
            <w:pPr>
              <w:spacing w:beforeLines="0" w:afterLines="0"/>
              <w:jc w:val="center"/>
              <w:rPr>
                <w:rFonts w:hint="eastAsia" w:ascii="宋体" w:hAnsi="宋体" w:eastAsia="宋体"/>
                <w:color w:val="333333"/>
                <w:sz w:val="20"/>
              </w:rPr>
            </w:pPr>
          </w:p>
        </w:tc>
        <w:tc>
          <w:tcPr>
            <w:tcW w:w="1161" w:type="dxa"/>
            <w:gridSpan w:val="2"/>
            <w:vMerge w:val="continue"/>
            <w:tcBorders>
              <w:top w:val="single" w:color="000000" w:sz="4" w:space="0"/>
              <w:left w:val="single" w:color="000000" w:sz="4" w:space="0"/>
              <w:bottom w:val="single" w:color="000000" w:sz="4" w:space="0"/>
              <w:right w:val="nil"/>
              <w:tl2br w:val="nil"/>
              <w:tr2bl w:val="nil"/>
            </w:tcBorders>
            <w:shd w:val="clear" w:color="auto" w:fill="FFFFFF"/>
            <w:noWrap w:val="0"/>
            <w:vAlign w:val="center"/>
          </w:tcPr>
          <w:p w14:paraId="2A0FE9FD">
            <w:pPr>
              <w:spacing w:beforeLines="0" w:afterLines="0"/>
              <w:jc w:val="center"/>
              <w:rPr>
                <w:rFonts w:hint="eastAsia" w:ascii="宋体" w:hAnsi="宋体" w:eastAsia="宋体"/>
                <w:color w:val="333333"/>
                <w:sz w:val="20"/>
              </w:rPr>
            </w:pPr>
          </w:p>
        </w:tc>
        <w:tc>
          <w:tcPr>
            <w:tcW w:w="1622"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1EF18B1">
            <w:pPr>
              <w:widowControl/>
              <w:spacing w:beforeLines="0" w:afterLines="0"/>
              <w:jc w:val="center"/>
              <w:textAlignment w:val="center"/>
              <w:rPr>
                <w:rFonts w:hint="eastAsia" w:ascii="宋体" w:hAnsi="宋体" w:eastAsia="宋体"/>
                <w:color w:val="333333"/>
                <w:sz w:val="20"/>
              </w:rPr>
            </w:pPr>
            <w:r>
              <w:rPr>
                <w:rFonts w:hint="eastAsia" w:ascii="宋体" w:hAnsi="宋体" w:eastAsia="宋体"/>
                <w:color w:val="333333"/>
                <w:sz w:val="20"/>
                <w:lang w:val="en-US" w:eastAsia="zh-CN"/>
              </w:rPr>
              <w:t>资金使用规范性</w:t>
            </w:r>
          </w:p>
        </w:tc>
        <w:tc>
          <w:tcPr>
            <w:tcW w:w="1191"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247390D">
            <w:pPr>
              <w:widowControl/>
              <w:spacing w:beforeLines="0" w:afterLines="0"/>
              <w:jc w:val="center"/>
              <w:textAlignment w:val="center"/>
              <w:rPr>
                <w:rFonts w:hint="eastAsia" w:ascii="宋体" w:hAnsi="宋体" w:eastAsia="宋体"/>
                <w:color w:val="333333"/>
                <w:sz w:val="20"/>
              </w:rPr>
            </w:pPr>
            <w:r>
              <w:rPr>
                <w:rFonts w:hint="eastAsia" w:ascii="宋体" w:hAnsi="宋体" w:eastAsia="宋体"/>
                <w:color w:val="333333"/>
                <w:sz w:val="20"/>
                <w:lang w:val="en-US" w:eastAsia="zh-CN"/>
              </w:rPr>
              <w:t>规范</w:t>
            </w:r>
          </w:p>
        </w:tc>
        <w:tc>
          <w:tcPr>
            <w:tcW w:w="2094"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37BFA6A">
            <w:pPr>
              <w:widowControl/>
              <w:spacing w:beforeLines="0" w:afterLines="0"/>
              <w:jc w:val="center"/>
              <w:textAlignment w:val="center"/>
              <w:rPr>
                <w:rFonts w:hint="eastAsia" w:ascii="宋体" w:hAnsi="宋体" w:eastAsia="宋体"/>
                <w:color w:val="333333"/>
                <w:sz w:val="20"/>
              </w:rPr>
            </w:pPr>
            <w:r>
              <w:rPr>
                <w:rFonts w:hint="eastAsia" w:ascii="宋体" w:hAnsi="宋体" w:eastAsia="宋体"/>
                <w:color w:val="333333"/>
                <w:sz w:val="20"/>
                <w:lang w:val="en-US" w:eastAsia="zh-CN"/>
              </w:rPr>
              <w:t>100%</w:t>
            </w:r>
          </w:p>
        </w:tc>
        <w:tc>
          <w:tcPr>
            <w:tcW w:w="43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0FD95B0">
            <w:pPr>
              <w:widowControl/>
              <w:spacing w:beforeLines="0" w:afterLines="0"/>
              <w:jc w:val="center"/>
              <w:textAlignment w:val="center"/>
              <w:rPr>
                <w:rFonts w:hint="eastAsia" w:ascii="宋体" w:hAnsi="宋体" w:eastAsia="宋体"/>
                <w:color w:val="333333"/>
                <w:sz w:val="20"/>
              </w:rPr>
            </w:pPr>
            <w:r>
              <w:rPr>
                <w:rFonts w:hint="eastAsia" w:ascii="宋体" w:hAnsi="宋体" w:eastAsia="宋体"/>
                <w:color w:val="333333"/>
                <w:sz w:val="20"/>
                <w:lang w:val="en-US" w:eastAsia="zh-CN"/>
              </w:rPr>
              <w:t>100%</w:t>
            </w:r>
          </w:p>
        </w:tc>
        <w:tc>
          <w:tcPr>
            <w:tcW w:w="561" w:type="dxa"/>
            <w:gridSpan w:val="4"/>
            <w:tcBorders>
              <w:top w:val="nil"/>
              <w:left w:val="nil"/>
              <w:bottom w:val="nil"/>
              <w:right w:val="nil"/>
              <w:tl2br w:val="nil"/>
              <w:tr2bl w:val="nil"/>
            </w:tcBorders>
            <w:noWrap w:val="0"/>
            <w:vAlign w:val="center"/>
          </w:tcPr>
          <w:p w14:paraId="6D54EA78">
            <w:pPr>
              <w:spacing w:beforeLines="0" w:afterLines="0"/>
              <w:rPr>
                <w:rFonts w:hint="eastAsia" w:ascii="宋体" w:hAnsi="宋体" w:eastAsia="宋体"/>
                <w:color w:val="000000"/>
                <w:sz w:val="22"/>
              </w:rPr>
            </w:pPr>
          </w:p>
        </w:tc>
        <w:tc>
          <w:tcPr>
            <w:tcW w:w="556" w:type="dxa"/>
            <w:gridSpan w:val="2"/>
            <w:tcBorders>
              <w:top w:val="nil"/>
              <w:left w:val="nil"/>
              <w:bottom w:val="nil"/>
              <w:right w:val="nil"/>
              <w:tl2br w:val="nil"/>
              <w:tr2bl w:val="nil"/>
            </w:tcBorders>
            <w:noWrap w:val="0"/>
            <w:vAlign w:val="center"/>
          </w:tcPr>
          <w:p w14:paraId="45680D6C">
            <w:pPr>
              <w:spacing w:beforeLines="0" w:afterLines="0"/>
              <w:rPr>
                <w:rFonts w:hint="eastAsia" w:ascii="宋体" w:hAnsi="宋体" w:eastAsia="宋体"/>
                <w:color w:val="000000"/>
                <w:sz w:val="22"/>
              </w:rPr>
            </w:pPr>
          </w:p>
        </w:tc>
      </w:tr>
      <w:tr w14:paraId="41E97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469" w:type="dxa"/>
          <w:trHeight w:val="435" w:hRule="atLeast"/>
        </w:trPr>
        <w:tc>
          <w:tcPr>
            <w:tcW w:w="1161"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90A3C45">
            <w:pPr>
              <w:spacing w:beforeLines="0" w:afterLines="0"/>
              <w:jc w:val="center"/>
              <w:rPr>
                <w:rFonts w:hint="eastAsia" w:ascii="宋体" w:hAnsi="宋体" w:eastAsia="宋体"/>
                <w:color w:val="333333"/>
                <w:sz w:val="20"/>
              </w:rPr>
            </w:pPr>
          </w:p>
        </w:tc>
        <w:tc>
          <w:tcPr>
            <w:tcW w:w="1161" w:type="dxa"/>
            <w:gridSpan w:val="2"/>
            <w:vMerge w:val="restart"/>
            <w:tcBorders>
              <w:top w:val="single" w:color="000000" w:sz="4" w:space="0"/>
              <w:left w:val="single" w:color="000000" w:sz="4" w:space="0"/>
              <w:bottom w:val="single" w:color="000000" w:sz="4" w:space="0"/>
              <w:right w:val="nil"/>
              <w:tl2br w:val="nil"/>
              <w:tr2bl w:val="nil"/>
            </w:tcBorders>
            <w:shd w:val="clear" w:color="auto" w:fill="FFFFFF"/>
            <w:noWrap w:val="0"/>
            <w:vAlign w:val="center"/>
          </w:tcPr>
          <w:p w14:paraId="7816D224">
            <w:pPr>
              <w:widowControl/>
              <w:spacing w:beforeLines="0" w:afterLines="0"/>
              <w:jc w:val="center"/>
              <w:textAlignment w:val="center"/>
              <w:rPr>
                <w:rFonts w:hint="eastAsia" w:ascii="宋体" w:hAnsi="宋体" w:eastAsia="宋体"/>
                <w:color w:val="333333"/>
                <w:sz w:val="20"/>
              </w:rPr>
            </w:pPr>
            <w:r>
              <w:rPr>
                <w:rFonts w:hint="eastAsia" w:ascii="宋体" w:hAnsi="宋体" w:eastAsia="宋体"/>
                <w:color w:val="333333"/>
                <w:sz w:val="20"/>
                <w:lang w:val="en-US" w:eastAsia="zh-CN"/>
              </w:rPr>
              <w:t>实施管理</w:t>
            </w:r>
          </w:p>
        </w:tc>
        <w:tc>
          <w:tcPr>
            <w:tcW w:w="1622"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22B979D">
            <w:pPr>
              <w:widowControl/>
              <w:spacing w:beforeLines="0" w:afterLines="0"/>
              <w:jc w:val="center"/>
              <w:textAlignment w:val="center"/>
              <w:rPr>
                <w:rFonts w:hint="eastAsia" w:ascii="宋体" w:hAnsi="宋体" w:eastAsia="宋体"/>
                <w:color w:val="333333"/>
                <w:sz w:val="20"/>
              </w:rPr>
            </w:pPr>
            <w:r>
              <w:rPr>
                <w:rFonts w:hint="eastAsia" w:ascii="宋体" w:hAnsi="宋体" w:eastAsia="宋体"/>
                <w:color w:val="333333"/>
                <w:sz w:val="20"/>
                <w:lang w:val="en-US" w:eastAsia="zh-CN"/>
              </w:rPr>
              <w:t>供应商资质符合程度</w:t>
            </w:r>
          </w:p>
        </w:tc>
        <w:tc>
          <w:tcPr>
            <w:tcW w:w="1191"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B534500">
            <w:pPr>
              <w:widowControl/>
              <w:spacing w:beforeLines="0" w:afterLines="0"/>
              <w:jc w:val="center"/>
              <w:textAlignment w:val="center"/>
              <w:rPr>
                <w:rFonts w:hint="eastAsia" w:ascii="宋体" w:hAnsi="宋体" w:eastAsia="宋体"/>
                <w:color w:val="333333"/>
                <w:sz w:val="20"/>
              </w:rPr>
            </w:pPr>
            <w:r>
              <w:rPr>
                <w:rFonts w:hint="eastAsia" w:ascii="宋体" w:hAnsi="宋体" w:eastAsia="宋体"/>
                <w:color w:val="333333"/>
                <w:sz w:val="20"/>
                <w:lang w:val="en-US" w:eastAsia="zh-CN"/>
              </w:rPr>
              <w:t>符合</w:t>
            </w:r>
          </w:p>
        </w:tc>
        <w:tc>
          <w:tcPr>
            <w:tcW w:w="2094"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0832A0C">
            <w:pPr>
              <w:widowControl/>
              <w:spacing w:beforeLines="0" w:afterLines="0"/>
              <w:jc w:val="center"/>
              <w:textAlignment w:val="center"/>
              <w:rPr>
                <w:rFonts w:hint="eastAsia" w:ascii="宋体" w:hAnsi="宋体" w:eastAsia="宋体"/>
                <w:color w:val="333333"/>
                <w:sz w:val="20"/>
              </w:rPr>
            </w:pPr>
            <w:r>
              <w:rPr>
                <w:rFonts w:hint="eastAsia" w:ascii="宋体" w:hAnsi="宋体" w:eastAsia="宋体"/>
                <w:color w:val="333333"/>
                <w:sz w:val="20"/>
                <w:lang w:val="en-US" w:eastAsia="zh-CN"/>
              </w:rPr>
              <w:t>100%</w:t>
            </w:r>
          </w:p>
        </w:tc>
        <w:tc>
          <w:tcPr>
            <w:tcW w:w="43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00"/>
            <w:noWrap w:val="0"/>
            <w:vAlign w:val="center"/>
          </w:tcPr>
          <w:p w14:paraId="1107F188">
            <w:pPr>
              <w:widowControl/>
              <w:spacing w:beforeLines="0" w:afterLines="0"/>
              <w:jc w:val="center"/>
              <w:textAlignment w:val="center"/>
              <w:rPr>
                <w:rFonts w:hint="eastAsia" w:ascii="宋体" w:hAnsi="宋体" w:eastAsia="宋体"/>
                <w:color w:val="333333"/>
                <w:sz w:val="20"/>
              </w:rPr>
            </w:pPr>
            <w:r>
              <w:rPr>
                <w:rFonts w:hint="eastAsia" w:ascii="宋体" w:hAnsi="宋体" w:eastAsia="宋体"/>
                <w:color w:val="333333"/>
                <w:sz w:val="20"/>
                <w:lang w:val="en-US" w:eastAsia="zh-CN"/>
              </w:rPr>
              <w:t>100%</w:t>
            </w:r>
          </w:p>
        </w:tc>
        <w:tc>
          <w:tcPr>
            <w:tcW w:w="561" w:type="dxa"/>
            <w:gridSpan w:val="4"/>
            <w:tcBorders>
              <w:top w:val="nil"/>
              <w:left w:val="nil"/>
              <w:bottom w:val="nil"/>
              <w:right w:val="nil"/>
              <w:tl2br w:val="nil"/>
              <w:tr2bl w:val="nil"/>
            </w:tcBorders>
            <w:noWrap w:val="0"/>
            <w:vAlign w:val="center"/>
          </w:tcPr>
          <w:p w14:paraId="40158000">
            <w:pPr>
              <w:spacing w:beforeLines="0" w:afterLines="0"/>
              <w:rPr>
                <w:rFonts w:hint="eastAsia" w:ascii="宋体" w:hAnsi="宋体" w:eastAsia="宋体"/>
                <w:color w:val="000000"/>
                <w:sz w:val="22"/>
              </w:rPr>
            </w:pPr>
          </w:p>
        </w:tc>
        <w:tc>
          <w:tcPr>
            <w:tcW w:w="556" w:type="dxa"/>
            <w:gridSpan w:val="2"/>
            <w:tcBorders>
              <w:top w:val="nil"/>
              <w:left w:val="nil"/>
              <w:bottom w:val="nil"/>
              <w:right w:val="nil"/>
              <w:tl2br w:val="nil"/>
              <w:tr2bl w:val="nil"/>
            </w:tcBorders>
            <w:noWrap w:val="0"/>
            <w:vAlign w:val="center"/>
          </w:tcPr>
          <w:p w14:paraId="03E283ED">
            <w:pPr>
              <w:spacing w:beforeLines="0" w:afterLines="0"/>
              <w:rPr>
                <w:rFonts w:hint="eastAsia" w:ascii="宋体" w:hAnsi="宋体" w:eastAsia="宋体"/>
                <w:color w:val="000000"/>
                <w:sz w:val="22"/>
              </w:rPr>
            </w:pPr>
          </w:p>
        </w:tc>
      </w:tr>
      <w:tr w14:paraId="624C5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469" w:type="dxa"/>
          <w:trHeight w:val="435" w:hRule="atLeast"/>
        </w:trPr>
        <w:tc>
          <w:tcPr>
            <w:tcW w:w="1161"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CC713C3">
            <w:pPr>
              <w:spacing w:beforeLines="0" w:afterLines="0"/>
              <w:jc w:val="center"/>
              <w:rPr>
                <w:rFonts w:hint="eastAsia" w:ascii="宋体" w:hAnsi="宋体" w:eastAsia="宋体"/>
                <w:color w:val="333333"/>
                <w:sz w:val="20"/>
              </w:rPr>
            </w:pPr>
          </w:p>
        </w:tc>
        <w:tc>
          <w:tcPr>
            <w:tcW w:w="1161" w:type="dxa"/>
            <w:gridSpan w:val="2"/>
            <w:vMerge w:val="continue"/>
            <w:tcBorders>
              <w:top w:val="single" w:color="000000" w:sz="4" w:space="0"/>
              <w:left w:val="single" w:color="000000" w:sz="4" w:space="0"/>
              <w:bottom w:val="single" w:color="000000" w:sz="4" w:space="0"/>
              <w:right w:val="nil"/>
              <w:tl2br w:val="nil"/>
              <w:tr2bl w:val="nil"/>
            </w:tcBorders>
            <w:shd w:val="clear" w:color="auto" w:fill="FFFFFF"/>
            <w:noWrap w:val="0"/>
            <w:vAlign w:val="center"/>
          </w:tcPr>
          <w:p w14:paraId="58D9156A">
            <w:pPr>
              <w:spacing w:beforeLines="0" w:afterLines="0"/>
              <w:jc w:val="center"/>
              <w:rPr>
                <w:rFonts w:hint="eastAsia" w:ascii="宋体" w:hAnsi="宋体" w:eastAsia="宋体"/>
                <w:color w:val="333333"/>
                <w:sz w:val="20"/>
              </w:rPr>
            </w:pPr>
          </w:p>
        </w:tc>
        <w:tc>
          <w:tcPr>
            <w:tcW w:w="1622"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4BE214C">
            <w:pPr>
              <w:widowControl/>
              <w:spacing w:beforeLines="0" w:afterLines="0"/>
              <w:jc w:val="center"/>
              <w:textAlignment w:val="center"/>
              <w:rPr>
                <w:rFonts w:hint="eastAsia" w:ascii="宋体" w:hAnsi="宋体" w:eastAsia="宋体"/>
                <w:color w:val="333333"/>
                <w:sz w:val="20"/>
              </w:rPr>
            </w:pPr>
            <w:r>
              <w:rPr>
                <w:rFonts w:hint="eastAsia" w:ascii="宋体" w:hAnsi="宋体" w:eastAsia="宋体"/>
                <w:color w:val="333333"/>
                <w:sz w:val="20"/>
                <w:lang w:val="en-US" w:eastAsia="zh-CN"/>
              </w:rPr>
              <w:t>合同管理完备性</w:t>
            </w:r>
          </w:p>
        </w:tc>
        <w:tc>
          <w:tcPr>
            <w:tcW w:w="1191"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020B80C">
            <w:pPr>
              <w:widowControl/>
              <w:spacing w:beforeLines="0" w:afterLines="0"/>
              <w:jc w:val="center"/>
              <w:textAlignment w:val="center"/>
              <w:rPr>
                <w:rFonts w:hint="eastAsia" w:ascii="宋体" w:hAnsi="宋体" w:eastAsia="宋体"/>
                <w:color w:val="333333"/>
                <w:sz w:val="20"/>
              </w:rPr>
            </w:pPr>
            <w:r>
              <w:rPr>
                <w:rFonts w:hint="eastAsia" w:ascii="宋体" w:hAnsi="宋体" w:eastAsia="宋体"/>
                <w:color w:val="333333"/>
                <w:sz w:val="20"/>
                <w:lang w:val="en-US" w:eastAsia="zh-CN"/>
              </w:rPr>
              <w:t>完备</w:t>
            </w:r>
          </w:p>
        </w:tc>
        <w:tc>
          <w:tcPr>
            <w:tcW w:w="2094"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7F48EF0">
            <w:pPr>
              <w:widowControl/>
              <w:spacing w:beforeLines="0" w:afterLines="0"/>
              <w:jc w:val="center"/>
              <w:textAlignment w:val="center"/>
              <w:rPr>
                <w:rFonts w:hint="eastAsia" w:ascii="宋体" w:hAnsi="宋体" w:eastAsia="宋体"/>
                <w:color w:val="333333"/>
                <w:sz w:val="20"/>
              </w:rPr>
            </w:pPr>
            <w:r>
              <w:rPr>
                <w:rFonts w:hint="eastAsia" w:ascii="宋体" w:hAnsi="宋体" w:eastAsia="宋体"/>
                <w:color w:val="333333"/>
                <w:sz w:val="20"/>
                <w:lang w:val="en-US" w:eastAsia="zh-CN"/>
              </w:rPr>
              <w:t>100%</w:t>
            </w:r>
          </w:p>
        </w:tc>
        <w:tc>
          <w:tcPr>
            <w:tcW w:w="43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00"/>
            <w:noWrap w:val="0"/>
            <w:vAlign w:val="center"/>
          </w:tcPr>
          <w:p w14:paraId="586C670E">
            <w:pPr>
              <w:widowControl/>
              <w:spacing w:beforeLines="0" w:afterLines="0"/>
              <w:jc w:val="center"/>
              <w:textAlignment w:val="center"/>
              <w:rPr>
                <w:rFonts w:hint="eastAsia" w:ascii="宋体" w:hAnsi="宋体" w:eastAsia="宋体"/>
                <w:color w:val="333333"/>
                <w:sz w:val="20"/>
              </w:rPr>
            </w:pPr>
            <w:r>
              <w:rPr>
                <w:rFonts w:hint="eastAsia" w:ascii="宋体" w:hAnsi="宋体" w:eastAsia="宋体"/>
                <w:color w:val="333333"/>
                <w:sz w:val="20"/>
                <w:lang w:val="en-US" w:eastAsia="zh-CN"/>
              </w:rPr>
              <w:t>100%</w:t>
            </w:r>
          </w:p>
        </w:tc>
        <w:tc>
          <w:tcPr>
            <w:tcW w:w="561" w:type="dxa"/>
            <w:gridSpan w:val="4"/>
            <w:tcBorders>
              <w:top w:val="nil"/>
              <w:left w:val="nil"/>
              <w:bottom w:val="nil"/>
              <w:right w:val="nil"/>
              <w:tl2br w:val="nil"/>
              <w:tr2bl w:val="nil"/>
            </w:tcBorders>
            <w:noWrap w:val="0"/>
            <w:vAlign w:val="center"/>
          </w:tcPr>
          <w:p w14:paraId="630571A1">
            <w:pPr>
              <w:spacing w:beforeLines="0" w:afterLines="0"/>
              <w:rPr>
                <w:rFonts w:hint="eastAsia" w:ascii="宋体" w:hAnsi="宋体" w:eastAsia="宋体"/>
                <w:color w:val="000000"/>
                <w:sz w:val="22"/>
              </w:rPr>
            </w:pPr>
          </w:p>
        </w:tc>
        <w:tc>
          <w:tcPr>
            <w:tcW w:w="556" w:type="dxa"/>
            <w:gridSpan w:val="2"/>
            <w:tcBorders>
              <w:top w:val="nil"/>
              <w:left w:val="nil"/>
              <w:bottom w:val="nil"/>
              <w:right w:val="nil"/>
              <w:tl2br w:val="nil"/>
              <w:tr2bl w:val="nil"/>
            </w:tcBorders>
            <w:noWrap w:val="0"/>
            <w:vAlign w:val="center"/>
          </w:tcPr>
          <w:p w14:paraId="30A989AC">
            <w:pPr>
              <w:spacing w:beforeLines="0" w:afterLines="0"/>
              <w:rPr>
                <w:rFonts w:hint="eastAsia" w:ascii="宋体" w:hAnsi="宋体" w:eastAsia="宋体"/>
                <w:color w:val="000000"/>
                <w:sz w:val="22"/>
              </w:rPr>
            </w:pPr>
          </w:p>
        </w:tc>
      </w:tr>
      <w:tr w14:paraId="3398F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469" w:type="dxa"/>
          <w:trHeight w:val="435" w:hRule="atLeast"/>
        </w:trPr>
        <w:tc>
          <w:tcPr>
            <w:tcW w:w="1161"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237C9C5">
            <w:pPr>
              <w:spacing w:beforeLines="0" w:afterLines="0"/>
              <w:jc w:val="center"/>
              <w:rPr>
                <w:rFonts w:hint="eastAsia" w:ascii="宋体" w:hAnsi="宋体" w:eastAsia="宋体"/>
                <w:color w:val="333333"/>
                <w:sz w:val="20"/>
              </w:rPr>
            </w:pPr>
          </w:p>
        </w:tc>
        <w:tc>
          <w:tcPr>
            <w:tcW w:w="1161" w:type="dxa"/>
            <w:gridSpan w:val="2"/>
            <w:vMerge w:val="continue"/>
            <w:tcBorders>
              <w:top w:val="single" w:color="000000" w:sz="4" w:space="0"/>
              <w:left w:val="single" w:color="000000" w:sz="4" w:space="0"/>
              <w:bottom w:val="single" w:color="000000" w:sz="4" w:space="0"/>
              <w:right w:val="nil"/>
              <w:tl2br w:val="nil"/>
              <w:tr2bl w:val="nil"/>
            </w:tcBorders>
            <w:shd w:val="clear" w:color="auto" w:fill="FFFFFF"/>
            <w:noWrap w:val="0"/>
            <w:vAlign w:val="center"/>
          </w:tcPr>
          <w:p w14:paraId="70AF1941">
            <w:pPr>
              <w:spacing w:beforeLines="0" w:afterLines="0"/>
              <w:jc w:val="center"/>
              <w:rPr>
                <w:rFonts w:hint="eastAsia" w:ascii="宋体" w:hAnsi="宋体" w:eastAsia="宋体"/>
                <w:color w:val="333333"/>
                <w:sz w:val="20"/>
              </w:rPr>
            </w:pPr>
          </w:p>
        </w:tc>
        <w:tc>
          <w:tcPr>
            <w:tcW w:w="1622"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A64BEAD">
            <w:pPr>
              <w:widowControl/>
              <w:spacing w:beforeLines="0" w:afterLines="0"/>
              <w:jc w:val="center"/>
              <w:textAlignment w:val="center"/>
              <w:rPr>
                <w:rFonts w:hint="eastAsia" w:ascii="宋体" w:hAnsi="宋体" w:eastAsia="宋体"/>
                <w:color w:val="333333"/>
                <w:sz w:val="20"/>
              </w:rPr>
            </w:pPr>
            <w:r>
              <w:rPr>
                <w:rFonts w:hint="eastAsia" w:ascii="宋体" w:hAnsi="宋体" w:eastAsia="宋体"/>
                <w:color w:val="333333"/>
                <w:sz w:val="20"/>
                <w:lang w:val="en-US" w:eastAsia="zh-CN"/>
              </w:rPr>
              <w:t>监理规范性</w:t>
            </w:r>
          </w:p>
        </w:tc>
        <w:tc>
          <w:tcPr>
            <w:tcW w:w="1191"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19E44BD">
            <w:pPr>
              <w:widowControl/>
              <w:spacing w:beforeLines="0" w:afterLines="0"/>
              <w:jc w:val="center"/>
              <w:textAlignment w:val="center"/>
              <w:rPr>
                <w:rFonts w:hint="eastAsia" w:ascii="宋体" w:hAnsi="宋体" w:eastAsia="宋体"/>
                <w:color w:val="333333"/>
                <w:sz w:val="20"/>
              </w:rPr>
            </w:pPr>
            <w:r>
              <w:rPr>
                <w:rFonts w:hint="eastAsia" w:ascii="宋体" w:hAnsi="宋体" w:eastAsia="宋体"/>
                <w:color w:val="333333"/>
                <w:sz w:val="20"/>
                <w:lang w:val="en-US" w:eastAsia="zh-CN"/>
              </w:rPr>
              <w:t>规范</w:t>
            </w:r>
          </w:p>
        </w:tc>
        <w:tc>
          <w:tcPr>
            <w:tcW w:w="2094"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637CC47">
            <w:pPr>
              <w:widowControl/>
              <w:spacing w:beforeLines="0" w:afterLines="0"/>
              <w:jc w:val="center"/>
              <w:textAlignment w:val="center"/>
              <w:rPr>
                <w:rFonts w:hint="eastAsia" w:ascii="宋体" w:hAnsi="宋体" w:eastAsia="宋体"/>
                <w:color w:val="333333"/>
                <w:sz w:val="20"/>
              </w:rPr>
            </w:pPr>
            <w:r>
              <w:rPr>
                <w:rFonts w:hint="eastAsia" w:ascii="宋体" w:hAnsi="宋体" w:eastAsia="宋体"/>
                <w:color w:val="333333"/>
                <w:sz w:val="20"/>
                <w:lang w:val="en-US" w:eastAsia="zh-CN"/>
              </w:rPr>
              <w:t>100%</w:t>
            </w:r>
          </w:p>
        </w:tc>
        <w:tc>
          <w:tcPr>
            <w:tcW w:w="43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00"/>
            <w:noWrap w:val="0"/>
            <w:vAlign w:val="center"/>
          </w:tcPr>
          <w:p w14:paraId="219357A1">
            <w:pPr>
              <w:widowControl/>
              <w:spacing w:beforeLines="0" w:afterLines="0"/>
              <w:jc w:val="center"/>
              <w:textAlignment w:val="center"/>
              <w:rPr>
                <w:rFonts w:hint="eastAsia" w:ascii="宋体" w:hAnsi="宋体" w:eastAsia="宋体"/>
                <w:color w:val="333333"/>
                <w:sz w:val="20"/>
              </w:rPr>
            </w:pPr>
            <w:r>
              <w:rPr>
                <w:rFonts w:hint="eastAsia" w:ascii="宋体" w:hAnsi="宋体" w:eastAsia="宋体"/>
                <w:color w:val="333333"/>
                <w:sz w:val="20"/>
                <w:lang w:val="en-US" w:eastAsia="zh-CN"/>
              </w:rPr>
              <w:t>100%</w:t>
            </w:r>
          </w:p>
        </w:tc>
        <w:tc>
          <w:tcPr>
            <w:tcW w:w="561" w:type="dxa"/>
            <w:gridSpan w:val="4"/>
            <w:tcBorders>
              <w:top w:val="nil"/>
              <w:left w:val="nil"/>
              <w:bottom w:val="nil"/>
              <w:right w:val="nil"/>
              <w:tl2br w:val="nil"/>
              <w:tr2bl w:val="nil"/>
            </w:tcBorders>
            <w:noWrap w:val="0"/>
            <w:vAlign w:val="center"/>
          </w:tcPr>
          <w:p w14:paraId="2F41CC79">
            <w:pPr>
              <w:spacing w:beforeLines="0" w:afterLines="0"/>
              <w:rPr>
                <w:rFonts w:hint="eastAsia" w:ascii="宋体" w:hAnsi="宋体" w:eastAsia="宋体"/>
                <w:color w:val="000000"/>
                <w:sz w:val="22"/>
              </w:rPr>
            </w:pPr>
          </w:p>
        </w:tc>
        <w:tc>
          <w:tcPr>
            <w:tcW w:w="556" w:type="dxa"/>
            <w:gridSpan w:val="2"/>
            <w:tcBorders>
              <w:top w:val="nil"/>
              <w:left w:val="nil"/>
              <w:bottom w:val="nil"/>
              <w:right w:val="nil"/>
              <w:tl2br w:val="nil"/>
              <w:tr2bl w:val="nil"/>
            </w:tcBorders>
            <w:noWrap w:val="0"/>
            <w:vAlign w:val="center"/>
          </w:tcPr>
          <w:p w14:paraId="4F64408D">
            <w:pPr>
              <w:spacing w:beforeLines="0" w:afterLines="0"/>
              <w:rPr>
                <w:rFonts w:hint="eastAsia" w:ascii="宋体" w:hAnsi="宋体" w:eastAsia="宋体"/>
                <w:color w:val="000000"/>
                <w:sz w:val="22"/>
              </w:rPr>
            </w:pPr>
          </w:p>
        </w:tc>
      </w:tr>
      <w:tr w14:paraId="2E943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469" w:type="dxa"/>
          <w:trHeight w:val="435" w:hRule="atLeast"/>
        </w:trPr>
        <w:tc>
          <w:tcPr>
            <w:tcW w:w="1161"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207D492">
            <w:pPr>
              <w:spacing w:beforeLines="0" w:afterLines="0"/>
              <w:jc w:val="center"/>
              <w:rPr>
                <w:rFonts w:hint="eastAsia" w:ascii="宋体" w:hAnsi="宋体" w:eastAsia="宋体"/>
                <w:color w:val="333333"/>
                <w:sz w:val="20"/>
              </w:rPr>
            </w:pPr>
          </w:p>
        </w:tc>
        <w:tc>
          <w:tcPr>
            <w:tcW w:w="1161" w:type="dxa"/>
            <w:gridSpan w:val="2"/>
            <w:vMerge w:val="continue"/>
            <w:tcBorders>
              <w:top w:val="single" w:color="000000" w:sz="4" w:space="0"/>
              <w:left w:val="single" w:color="000000" w:sz="4" w:space="0"/>
              <w:bottom w:val="single" w:color="000000" w:sz="4" w:space="0"/>
              <w:right w:val="nil"/>
              <w:tl2br w:val="nil"/>
              <w:tr2bl w:val="nil"/>
            </w:tcBorders>
            <w:shd w:val="clear" w:color="auto" w:fill="FFFFFF"/>
            <w:noWrap w:val="0"/>
            <w:vAlign w:val="center"/>
          </w:tcPr>
          <w:p w14:paraId="2C53F707">
            <w:pPr>
              <w:spacing w:beforeLines="0" w:afterLines="0"/>
              <w:jc w:val="center"/>
              <w:rPr>
                <w:rFonts w:hint="eastAsia" w:ascii="宋体" w:hAnsi="宋体" w:eastAsia="宋体"/>
                <w:color w:val="333333"/>
                <w:sz w:val="20"/>
              </w:rPr>
            </w:pPr>
          </w:p>
        </w:tc>
        <w:tc>
          <w:tcPr>
            <w:tcW w:w="1622"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BFA81E9">
            <w:pPr>
              <w:widowControl/>
              <w:spacing w:beforeLines="0" w:afterLines="0"/>
              <w:jc w:val="center"/>
              <w:textAlignment w:val="center"/>
              <w:rPr>
                <w:rFonts w:hint="eastAsia" w:ascii="宋体" w:hAnsi="宋体" w:eastAsia="宋体"/>
                <w:color w:val="333333"/>
                <w:sz w:val="20"/>
              </w:rPr>
            </w:pPr>
            <w:r>
              <w:rPr>
                <w:rFonts w:hint="eastAsia" w:ascii="宋体" w:hAnsi="宋体" w:eastAsia="宋体"/>
                <w:color w:val="333333"/>
                <w:sz w:val="20"/>
                <w:lang w:val="en-US" w:eastAsia="zh-CN"/>
              </w:rPr>
              <w:t>系统运维规范性</w:t>
            </w:r>
          </w:p>
        </w:tc>
        <w:tc>
          <w:tcPr>
            <w:tcW w:w="1191"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11E2F10">
            <w:pPr>
              <w:widowControl/>
              <w:spacing w:beforeLines="0" w:afterLines="0"/>
              <w:jc w:val="center"/>
              <w:textAlignment w:val="center"/>
              <w:rPr>
                <w:rFonts w:hint="eastAsia" w:ascii="宋体" w:hAnsi="宋体" w:eastAsia="宋体"/>
                <w:color w:val="333333"/>
                <w:sz w:val="20"/>
              </w:rPr>
            </w:pPr>
            <w:r>
              <w:rPr>
                <w:rFonts w:hint="eastAsia" w:ascii="宋体" w:hAnsi="宋体" w:eastAsia="宋体"/>
                <w:color w:val="333333"/>
                <w:sz w:val="20"/>
                <w:lang w:val="en-US" w:eastAsia="zh-CN"/>
              </w:rPr>
              <w:t>规范</w:t>
            </w:r>
          </w:p>
        </w:tc>
        <w:tc>
          <w:tcPr>
            <w:tcW w:w="2094"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7C3EDAE">
            <w:pPr>
              <w:widowControl/>
              <w:spacing w:beforeLines="0" w:afterLines="0"/>
              <w:jc w:val="center"/>
              <w:textAlignment w:val="center"/>
              <w:rPr>
                <w:rFonts w:hint="eastAsia" w:ascii="宋体" w:hAnsi="宋体" w:eastAsia="宋体"/>
                <w:color w:val="333333"/>
                <w:sz w:val="20"/>
              </w:rPr>
            </w:pPr>
            <w:r>
              <w:rPr>
                <w:rFonts w:hint="eastAsia" w:ascii="宋体" w:hAnsi="宋体" w:eastAsia="宋体"/>
                <w:color w:val="333333"/>
                <w:sz w:val="20"/>
                <w:lang w:val="en-US" w:eastAsia="zh-CN"/>
              </w:rPr>
              <w:t>100%</w:t>
            </w:r>
          </w:p>
        </w:tc>
        <w:tc>
          <w:tcPr>
            <w:tcW w:w="43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00"/>
            <w:noWrap w:val="0"/>
            <w:vAlign w:val="center"/>
          </w:tcPr>
          <w:p w14:paraId="018B9192">
            <w:pPr>
              <w:widowControl/>
              <w:spacing w:beforeLines="0" w:afterLines="0"/>
              <w:jc w:val="center"/>
              <w:textAlignment w:val="center"/>
              <w:rPr>
                <w:rFonts w:hint="eastAsia" w:ascii="宋体" w:hAnsi="宋体" w:eastAsia="宋体"/>
                <w:color w:val="333333"/>
                <w:sz w:val="20"/>
              </w:rPr>
            </w:pPr>
            <w:r>
              <w:rPr>
                <w:rFonts w:hint="eastAsia" w:ascii="宋体" w:hAnsi="宋体" w:eastAsia="宋体"/>
                <w:color w:val="333333"/>
                <w:sz w:val="20"/>
                <w:lang w:val="en-US" w:eastAsia="zh-CN"/>
              </w:rPr>
              <w:t>100%</w:t>
            </w:r>
          </w:p>
        </w:tc>
        <w:tc>
          <w:tcPr>
            <w:tcW w:w="561" w:type="dxa"/>
            <w:gridSpan w:val="4"/>
            <w:tcBorders>
              <w:top w:val="nil"/>
              <w:left w:val="nil"/>
              <w:bottom w:val="nil"/>
              <w:right w:val="nil"/>
              <w:tl2br w:val="nil"/>
              <w:tr2bl w:val="nil"/>
            </w:tcBorders>
            <w:noWrap w:val="0"/>
            <w:vAlign w:val="center"/>
          </w:tcPr>
          <w:p w14:paraId="472CD885">
            <w:pPr>
              <w:spacing w:beforeLines="0" w:afterLines="0"/>
              <w:rPr>
                <w:rFonts w:hint="eastAsia" w:ascii="宋体" w:hAnsi="宋体" w:eastAsia="宋体"/>
                <w:color w:val="000000"/>
                <w:sz w:val="22"/>
              </w:rPr>
            </w:pPr>
          </w:p>
        </w:tc>
        <w:tc>
          <w:tcPr>
            <w:tcW w:w="556" w:type="dxa"/>
            <w:gridSpan w:val="2"/>
            <w:tcBorders>
              <w:top w:val="nil"/>
              <w:left w:val="nil"/>
              <w:bottom w:val="nil"/>
              <w:right w:val="nil"/>
              <w:tl2br w:val="nil"/>
              <w:tr2bl w:val="nil"/>
            </w:tcBorders>
            <w:noWrap w:val="0"/>
            <w:vAlign w:val="center"/>
          </w:tcPr>
          <w:p w14:paraId="68B21A61">
            <w:pPr>
              <w:spacing w:beforeLines="0" w:afterLines="0"/>
              <w:rPr>
                <w:rFonts w:hint="eastAsia" w:ascii="宋体" w:hAnsi="宋体" w:eastAsia="宋体"/>
                <w:color w:val="000000"/>
                <w:sz w:val="22"/>
              </w:rPr>
            </w:pPr>
          </w:p>
        </w:tc>
      </w:tr>
      <w:tr w14:paraId="4E2B0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469" w:type="dxa"/>
          <w:trHeight w:val="435" w:hRule="atLeast"/>
        </w:trPr>
        <w:tc>
          <w:tcPr>
            <w:tcW w:w="1161"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CEFB55C">
            <w:pPr>
              <w:spacing w:beforeLines="0" w:afterLines="0"/>
              <w:jc w:val="center"/>
              <w:rPr>
                <w:rFonts w:hint="eastAsia" w:ascii="宋体" w:hAnsi="宋体" w:eastAsia="宋体"/>
                <w:color w:val="333333"/>
                <w:sz w:val="20"/>
              </w:rPr>
            </w:pPr>
          </w:p>
        </w:tc>
        <w:tc>
          <w:tcPr>
            <w:tcW w:w="1161" w:type="dxa"/>
            <w:gridSpan w:val="2"/>
            <w:vMerge w:val="continue"/>
            <w:tcBorders>
              <w:top w:val="single" w:color="000000" w:sz="4" w:space="0"/>
              <w:left w:val="single" w:color="000000" w:sz="4" w:space="0"/>
              <w:bottom w:val="single" w:color="000000" w:sz="4" w:space="0"/>
              <w:right w:val="nil"/>
              <w:tl2br w:val="nil"/>
              <w:tr2bl w:val="nil"/>
            </w:tcBorders>
            <w:shd w:val="clear" w:color="auto" w:fill="FFFFFF"/>
            <w:noWrap w:val="0"/>
            <w:vAlign w:val="center"/>
          </w:tcPr>
          <w:p w14:paraId="02472D3A">
            <w:pPr>
              <w:spacing w:beforeLines="0" w:afterLines="0"/>
              <w:jc w:val="center"/>
              <w:rPr>
                <w:rFonts w:hint="eastAsia" w:ascii="宋体" w:hAnsi="宋体" w:eastAsia="宋体"/>
                <w:color w:val="333333"/>
                <w:sz w:val="20"/>
              </w:rPr>
            </w:pPr>
          </w:p>
        </w:tc>
        <w:tc>
          <w:tcPr>
            <w:tcW w:w="1622"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B69554A">
            <w:pPr>
              <w:widowControl/>
              <w:spacing w:beforeLines="0" w:afterLines="0"/>
              <w:jc w:val="center"/>
              <w:textAlignment w:val="center"/>
              <w:rPr>
                <w:rFonts w:hint="eastAsia" w:ascii="宋体" w:hAnsi="宋体" w:eastAsia="宋体"/>
                <w:color w:val="333333"/>
                <w:sz w:val="20"/>
              </w:rPr>
            </w:pPr>
            <w:r>
              <w:rPr>
                <w:rFonts w:hint="eastAsia" w:ascii="宋体" w:hAnsi="宋体" w:eastAsia="宋体"/>
                <w:color w:val="333333"/>
                <w:sz w:val="20"/>
                <w:lang w:val="en-US" w:eastAsia="zh-CN"/>
              </w:rPr>
              <w:t>项目管理制度健全性</w:t>
            </w:r>
          </w:p>
        </w:tc>
        <w:tc>
          <w:tcPr>
            <w:tcW w:w="1191"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D06B343">
            <w:pPr>
              <w:widowControl/>
              <w:spacing w:beforeLines="0" w:afterLines="0"/>
              <w:jc w:val="center"/>
              <w:textAlignment w:val="center"/>
              <w:rPr>
                <w:rFonts w:hint="eastAsia" w:ascii="宋体" w:hAnsi="宋体" w:eastAsia="宋体"/>
                <w:color w:val="333333"/>
                <w:sz w:val="20"/>
              </w:rPr>
            </w:pPr>
            <w:r>
              <w:rPr>
                <w:rFonts w:hint="eastAsia" w:ascii="宋体" w:hAnsi="宋体" w:eastAsia="宋体"/>
                <w:color w:val="333333"/>
                <w:sz w:val="20"/>
                <w:lang w:val="en-US" w:eastAsia="zh-CN"/>
              </w:rPr>
              <w:t>健全</w:t>
            </w:r>
          </w:p>
        </w:tc>
        <w:tc>
          <w:tcPr>
            <w:tcW w:w="2094"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D2F846E">
            <w:pPr>
              <w:widowControl/>
              <w:spacing w:beforeLines="0" w:afterLines="0"/>
              <w:jc w:val="center"/>
              <w:textAlignment w:val="center"/>
              <w:rPr>
                <w:rFonts w:hint="eastAsia" w:ascii="宋体" w:hAnsi="宋体" w:eastAsia="宋体"/>
                <w:color w:val="333333"/>
                <w:sz w:val="20"/>
              </w:rPr>
            </w:pPr>
            <w:r>
              <w:rPr>
                <w:rFonts w:hint="eastAsia" w:ascii="宋体" w:hAnsi="宋体" w:eastAsia="宋体"/>
                <w:color w:val="333333"/>
                <w:sz w:val="20"/>
                <w:lang w:val="en-US" w:eastAsia="zh-CN"/>
              </w:rPr>
              <w:t>100%</w:t>
            </w:r>
          </w:p>
        </w:tc>
        <w:tc>
          <w:tcPr>
            <w:tcW w:w="43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00"/>
            <w:noWrap w:val="0"/>
            <w:vAlign w:val="center"/>
          </w:tcPr>
          <w:p w14:paraId="6E2B7D6A">
            <w:pPr>
              <w:widowControl/>
              <w:spacing w:beforeLines="0" w:afterLines="0"/>
              <w:jc w:val="center"/>
              <w:textAlignment w:val="center"/>
              <w:rPr>
                <w:rFonts w:hint="eastAsia" w:ascii="宋体" w:hAnsi="宋体" w:eastAsia="宋体"/>
                <w:color w:val="333333"/>
                <w:sz w:val="20"/>
              </w:rPr>
            </w:pPr>
            <w:r>
              <w:rPr>
                <w:rFonts w:hint="eastAsia" w:ascii="宋体" w:hAnsi="宋体" w:eastAsia="宋体"/>
                <w:color w:val="333333"/>
                <w:sz w:val="20"/>
                <w:lang w:val="en-US" w:eastAsia="zh-CN"/>
              </w:rPr>
              <w:t>100%</w:t>
            </w:r>
          </w:p>
        </w:tc>
        <w:tc>
          <w:tcPr>
            <w:tcW w:w="561" w:type="dxa"/>
            <w:gridSpan w:val="4"/>
            <w:tcBorders>
              <w:top w:val="nil"/>
              <w:left w:val="nil"/>
              <w:bottom w:val="nil"/>
              <w:right w:val="nil"/>
              <w:tl2br w:val="nil"/>
              <w:tr2bl w:val="nil"/>
            </w:tcBorders>
            <w:noWrap w:val="0"/>
            <w:vAlign w:val="center"/>
          </w:tcPr>
          <w:p w14:paraId="5377A131">
            <w:pPr>
              <w:spacing w:beforeLines="0" w:afterLines="0"/>
              <w:rPr>
                <w:rFonts w:hint="eastAsia" w:ascii="宋体" w:hAnsi="宋体" w:eastAsia="宋体"/>
                <w:color w:val="000000"/>
                <w:sz w:val="22"/>
              </w:rPr>
            </w:pPr>
          </w:p>
        </w:tc>
        <w:tc>
          <w:tcPr>
            <w:tcW w:w="556" w:type="dxa"/>
            <w:gridSpan w:val="2"/>
            <w:tcBorders>
              <w:top w:val="nil"/>
              <w:left w:val="nil"/>
              <w:bottom w:val="nil"/>
              <w:right w:val="nil"/>
              <w:tl2br w:val="nil"/>
              <w:tr2bl w:val="nil"/>
            </w:tcBorders>
            <w:noWrap w:val="0"/>
            <w:vAlign w:val="center"/>
          </w:tcPr>
          <w:p w14:paraId="467325EA">
            <w:pPr>
              <w:spacing w:beforeLines="0" w:afterLines="0"/>
              <w:rPr>
                <w:rFonts w:hint="eastAsia" w:ascii="宋体" w:hAnsi="宋体" w:eastAsia="宋体"/>
                <w:color w:val="000000"/>
                <w:sz w:val="22"/>
              </w:rPr>
            </w:pPr>
          </w:p>
        </w:tc>
      </w:tr>
      <w:tr w14:paraId="2642E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469" w:type="dxa"/>
          <w:trHeight w:val="435" w:hRule="atLeast"/>
        </w:trPr>
        <w:tc>
          <w:tcPr>
            <w:tcW w:w="1161"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7962B96">
            <w:pPr>
              <w:spacing w:beforeLines="0" w:afterLines="0"/>
              <w:jc w:val="center"/>
              <w:rPr>
                <w:rFonts w:hint="eastAsia" w:ascii="宋体" w:hAnsi="宋体" w:eastAsia="宋体"/>
                <w:color w:val="333333"/>
                <w:sz w:val="20"/>
              </w:rPr>
            </w:pPr>
          </w:p>
        </w:tc>
        <w:tc>
          <w:tcPr>
            <w:tcW w:w="1161" w:type="dxa"/>
            <w:gridSpan w:val="2"/>
            <w:vMerge w:val="continue"/>
            <w:tcBorders>
              <w:top w:val="single" w:color="000000" w:sz="4" w:space="0"/>
              <w:left w:val="single" w:color="000000" w:sz="4" w:space="0"/>
              <w:bottom w:val="single" w:color="000000" w:sz="4" w:space="0"/>
              <w:right w:val="nil"/>
              <w:tl2br w:val="nil"/>
              <w:tr2bl w:val="nil"/>
            </w:tcBorders>
            <w:shd w:val="clear" w:color="auto" w:fill="FFFFFF"/>
            <w:noWrap w:val="0"/>
            <w:vAlign w:val="center"/>
          </w:tcPr>
          <w:p w14:paraId="0CB3B361">
            <w:pPr>
              <w:spacing w:beforeLines="0" w:afterLines="0"/>
              <w:jc w:val="center"/>
              <w:rPr>
                <w:rFonts w:hint="eastAsia" w:ascii="宋体" w:hAnsi="宋体" w:eastAsia="宋体"/>
                <w:color w:val="333333"/>
                <w:sz w:val="20"/>
              </w:rPr>
            </w:pPr>
          </w:p>
        </w:tc>
        <w:tc>
          <w:tcPr>
            <w:tcW w:w="1622"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51190A3">
            <w:pPr>
              <w:widowControl/>
              <w:spacing w:beforeLines="0" w:afterLines="0"/>
              <w:jc w:val="center"/>
              <w:textAlignment w:val="center"/>
              <w:rPr>
                <w:rFonts w:hint="eastAsia" w:ascii="宋体" w:hAnsi="宋体" w:eastAsia="宋体"/>
                <w:color w:val="333333"/>
                <w:sz w:val="20"/>
              </w:rPr>
            </w:pPr>
            <w:r>
              <w:rPr>
                <w:rFonts w:hint="eastAsia" w:ascii="宋体" w:hAnsi="宋体" w:eastAsia="宋体"/>
                <w:color w:val="333333"/>
                <w:sz w:val="20"/>
                <w:lang w:val="en-US" w:eastAsia="zh-CN"/>
              </w:rPr>
              <w:t>项目验收规范性</w:t>
            </w:r>
          </w:p>
        </w:tc>
        <w:tc>
          <w:tcPr>
            <w:tcW w:w="1191"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15E0DB8">
            <w:pPr>
              <w:widowControl/>
              <w:spacing w:beforeLines="0" w:afterLines="0"/>
              <w:jc w:val="center"/>
              <w:textAlignment w:val="center"/>
              <w:rPr>
                <w:rFonts w:hint="eastAsia" w:ascii="宋体" w:hAnsi="宋体" w:eastAsia="宋体"/>
                <w:color w:val="333333"/>
                <w:sz w:val="20"/>
              </w:rPr>
            </w:pPr>
            <w:r>
              <w:rPr>
                <w:rFonts w:hint="eastAsia" w:ascii="宋体" w:hAnsi="宋体" w:eastAsia="宋体"/>
                <w:color w:val="333333"/>
                <w:sz w:val="20"/>
                <w:lang w:val="en-US" w:eastAsia="zh-CN"/>
              </w:rPr>
              <w:t>规范</w:t>
            </w:r>
          </w:p>
        </w:tc>
        <w:tc>
          <w:tcPr>
            <w:tcW w:w="2094"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67DFEF7">
            <w:pPr>
              <w:widowControl/>
              <w:spacing w:beforeLines="0" w:afterLines="0"/>
              <w:jc w:val="center"/>
              <w:textAlignment w:val="center"/>
              <w:rPr>
                <w:rFonts w:hint="eastAsia" w:ascii="宋体" w:hAnsi="宋体" w:eastAsia="宋体"/>
                <w:color w:val="333333"/>
                <w:sz w:val="20"/>
              </w:rPr>
            </w:pPr>
            <w:r>
              <w:rPr>
                <w:rFonts w:hint="eastAsia" w:ascii="宋体" w:hAnsi="宋体" w:eastAsia="宋体"/>
                <w:color w:val="333333"/>
                <w:sz w:val="20"/>
                <w:lang w:val="en-US" w:eastAsia="zh-CN"/>
              </w:rPr>
              <w:t>100%</w:t>
            </w:r>
          </w:p>
        </w:tc>
        <w:tc>
          <w:tcPr>
            <w:tcW w:w="43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00"/>
            <w:noWrap w:val="0"/>
            <w:vAlign w:val="center"/>
          </w:tcPr>
          <w:p w14:paraId="74EB90DD">
            <w:pPr>
              <w:widowControl/>
              <w:spacing w:beforeLines="0" w:afterLines="0"/>
              <w:jc w:val="center"/>
              <w:textAlignment w:val="center"/>
              <w:rPr>
                <w:rFonts w:hint="eastAsia" w:ascii="宋体" w:hAnsi="宋体" w:eastAsia="宋体"/>
                <w:color w:val="333333"/>
                <w:sz w:val="20"/>
              </w:rPr>
            </w:pPr>
            <w:r>
              <w:rPr>
                <w:rFonts w:hint="eastAsia" w:ascii="宋体" w:hAnsi="宋体" w:eastAsia="宋体"/>
                <w:color w:val="333333"/>
                <w:sz w:val="20"/>
                <w:lang w:val="en-US" w:eastAsia="zh-CN"/>
              </w:rPr>
              <w:t>100%</w:t>
            </w:r>
          </w:p>
        </w:tc>
        <w:tc>
          <w:tcPr>
            <w:tcW w:w="561" w:type="dxa"/>
            <w:gridSpan w:val="4"/>
            <w:tcBorders>
              <w:top w:val="nil"/>
              <w:left w:val="nil"/>
              <w:bottom w:val="nil"/>
              <w:right w:val="nil"/>
              <w:tl2br w:val="nil"/>
              <w:tr2bl w:val="nil"/>
            </w:tcBorders>
            <w:noWrap w:val="0"/>
            <w:vAlign w:val="center"/>
          </w:tcPr>
          <w:p w14:paraId="080C132B">
            <w:pPr>
              <w:spacing w:beforeLines="0" w:afterLines="0"/>
              <w:rPr>
                <w:rFonts w:hint="eastAsia" w:ascii="宋体" w:hAnsi="宋体" w:eastAsia="宋体"/>
                <w:color w:val="000000"/>
                <w:sz w:val="22"/>
              </w:rPr>
            </w:pPr>
          </w:p>
        </w:tc>
        <w:tc>
          <w:tcPr>
            <w:tcW w:w="556" w:type="dxa"/>
            <w:gridSpan w:val="2"/>
            <w:tcBorders>
              <w:top w:val="nil"/>
              <w:left w:val="nil"/>
              <w:bottom w:val="nil"/>
              <w:right w:val="nil"/>
              <w:tl2br w:val="nil"/>
              <w:tr2bl w:val="nil"/>
            </w:tcBorders>
            <w:noWrap w:val="0"/>
            <w:vAlign w:val="center"/>
          </w:tcPr>
          <w:p w14:paraId="36BDB85C">
            <w:pPr>
              <w:spacing w:beforeLines="0" w:afterLines="0"/>
              <w:rPr>
                <w:rFonts w:hint="eastAsia" w:ascii="宋体" w:hAnsi="宋体" w:eastAsia="宋体"/>
                <w:color w:val="000000"/>
                <w:sz w:val="22"/>
              </w:rPr>
            </w:pPr>
          </w:p>
        </w:tc>
      </w:tr>
      <w:tr w14:paraId="558E9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469" w:type="dxa"/>
          <w:trHeight w:val="435" w:hRule="atLeast"/>
        </w:trPr>
        <w:tc>
          <w:tcPr>
            <w:tcW w:w="1161"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4EF59AE">
            <w:pPr>
              <w:spacing w:beforeLines="0" w:afterLines="0"/>
              <w:jc w:val="center"/>
              <w:rPr>
                <w:rFonts w:hint="eastAsia" w:ascii="宋体" w:hAnsi="宋体" w:eastAsia="宋体"/>
                <w:color w:val="333333"/>
                <w:sz w:val="20"/>
              </w:rPr>
            </w:pPr>
          </w:p>
        </w:tc>
        <w:tc>
          <w:tcPr>
            <w:tcW w:w="1161" w:type="dxa"/>
            <w:gridSpan w:val="2"/>
            <w:vMerge w:val="continue"/>
            <w:tcBorders>
              <w:top w:val="single" w:color="000000" w:sz="4" w:space="0"/>
              <w:left w:val="single" w:color="000000" w:sz="4" w:space="0"/>
              <w:bottom w:val="single" w:color="000000" w:sz="4" w:space="0"/>
              <w:right w:val="nil"/>
              <w:tl2br w:val="nil"/>
              <w:tr2bl w:val="nil"/>
            </w:tcBorders>
            <w:shd w:val="clear" w:color="auto" w:fill="FFFFFF"/>
            <w:noWrap w:val="0"/>
            <w:vAlign w:val="center"/>
          </w:tcPr>
          <w:p w14:paraId="4F0A589A">
            <w:pPr>
              <w:spacing w:beforeLines="0" w:afterLines="0"/>
              <w:jc w:val="center"/>
              <w:rPr>
                <w:rFonts w:hint="eastAsia" w:ascii="宋体" w:hAnsi="宋体" w:eastAsia="宋体"/>
                <w:color w:val="333333"/>
                <w:sz w:val="20"/>
              </w:rPr>
            </w:pPr>
          </w:p>
        </w:tc>
        <w:tc>
          <w:tcPr>
            <w:tcW w:w="1622"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593F80A">
            <w:pPr>
              <w:widowControl/>
              <w:spacing w:beforeLines="0" w:afterLines="0"/>
              <w:jc w:val="center"/>
              <w:textAlignment w:val="center"/>
              <w:rPr>
                <w:rFonts w:hint="eastAsia" w:ascii="宋体" w:hAnsi="宋体" w:eastAsia="宋体"/>
                <w:color w:val="333333"/>
                <w:sz w:val="20"/>
              </w:rPr>
            </w:pPr>
            <w:r>
              <w:rPr>
                <w:rFonts w:hint="eastAsia" w:ascii="宋体" w:hAnsi="宋体" w:eastAsia="宋体"/>
                <w:color w:val="333333"/>
                <w:sz w:val="20"/>
                <w:lang w:val="en-US" w:eastAsia="zh-CN"/>
              </w:rPr>
              <w:t>政府采购规范性</w:t>
            </w:r>
          </w:p>
        </w:tc>
        <w:tc>
          <w:tcPr>
            <w:tcW w:w="1191"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C86CC54">
            <w:pPr>
              <w:widowControl/>
              <w:spacing w:beforeLines="0" w:afterLines="0"/>
              <w:jc w:val="center"/>
              <w:textAlignment w:val="center"/>
              <w:rPr>
                <w:rFonts w:hint="eastAsia" w:ascii="宋体" w:hAnsi="宋体" w:eastAsia="宋体"/>
                <w:color w:val="333333"/>
                <w:sz w:val="20"/>
              </w:rPr>
            </w:pPr>
            <w:r>
              <w:rPr>
                <w:rFonts w:hint="eastAsia" w:ascii="宋体" w:hAnsi="宋体" w:eastAsia="宋体"/>
                <w:color w:val="333333"/>
                <w:sz w:val="20"/>
                <w:lang w:val="en-US" w:eastAsia="zh-CN"/>
              </w:rPr>
              <w:t>规范</w:t>
            </w:r>
          </w:p>
        </w:tc>
        <w:tc>
          <w:tcPr>
            <w:tcW w:w="2094"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36B4E78">
            <w:pPr>
              <w:widowControl/>
              <w:spacing w:beforeLines="0" w:afterLines="0"/>
              <w:jc w:val="center"/>
              <w:textAlignment w:val="center"/>
              <w:rPr>
                <w:rFonts w:hint="eastAsia" w:ascii="宋体" w:hAnsi="宋体" w:eastAsia="宋体"/>
                <w:color w:val="333333"/>
                <w:sz w:val="20"/>
              </w:rPr>
            </w:pPr>
            <w:r>
              <w:rPr>
                <w:rFonts w:hint="eastAsia" w:ascii="宋体" w:hAnsi="宋体" w:eastAsia="宋体"/>
                <w:color w:val="333333"/>
                <w:sz w:val="20"/>
                <w:lang w:val="en-US" w:eastAsia="zh-CN"/>
              </w:rPr>
              <w:t>100%</w:t>
            </w:r>
          </w:p>
        </w:tc>
        <w:tc>
          <w:tcPr>
            <w:tcW w:w="43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00"/>
            <w:noWrap w:val="0"/>
            <w:vAlign w:val="center"/>
          </w:tcPr>
          <w:p w14:paraId="2F8C6AF2">
            <w:pPr>
              <w:widowControl/>
              <w:spacing w:beforeLines="0" w:afterLines="0"/>
              <w:jc w:val="center"/>
              <w:textAlignment w:val="center"/>
              <w:rPr>
                <w:rFonts w:hint="eastAsia" w:ascii="宋体" w:hAnsi="宋体" w:eastAsia="宋体"/>
                <w:color w:val="333333"/>
                <w:sz w:val="20"/>
              </w:rPr>
            </w:pPr>
            <w:r>
              <w:rPr>
                <w:rFonts w:hint="eastAsia" w:ascii="宋体" w:hAnsi="宋体" w:eastAsia="宋体"/>
                <w:color w:val="333333"/>
                <w:sz w:val="20"/>
                <w:lang w:val="en-US" w:eastAsia="zh-CN"/>
              </w:rPr>
              <w:t>100%</w:t>
            </w:r>
          </w:p>
        </w:tc>
        <w:tc>
          <w:tcPr>
            <w:tcW w:w="561" w:type="dxa"/>
            <w:gridSpan w:val="4"/>
            <w:tcBorders>
              <w:top w:val="nil"/>
              <w:left w:val="nil"/>
              <w:bottom w:val="nil"/>
              <w:right w:val="nil"/>
              <w:tl2br w:val="nil"/>
              <w:tr2bl w:val="nil"/>
            </w:tcBorders>
            <w:noWrap w:val="0"/>
            <w:vAlign w:val="center"/>
          </w:tcPr>
          <w:p w14:paraId="30D2C792">
            <w:pPr>
              <w:spacing w:beforeLines="0" w:afterLines="0"/>
              <w:rPr>
                <w:rFonts w:hint="eastAsia" w:ascii="宋体" w:hAnsi="宋体" w:eastAsia="宋体"/>
                <w:color w:val="000000"/>
                <w:sz w:val="22"/>
              </w:rPr>
            </w:pPr>
          </w:p>
        </w:tc>
        <w:tc>
          <w:tcPr>
            <w:tcW w:w="556" w:type="dxa"/>
            <w:gridSpan w:val="2"/>
            <w:tcBorders>
              <w:top w:val="nil"/>
              <w:left w:val="nil"/>
              <w:bottom w:val="nil"/>
              <w:right w:val="nil"/>
              <w:tl2br w:val="nil"/>
              <w:tr2bl w:val="nil"/>
            </w:tcBorders>
            <w:noWrap w:val="0"/>
            <w:vAlign w:val="center"/>
          </w:tcPr>
          <w:p w14:paraId="029F9447">
            <w:pPr>
              <w:spacing w:beforeLines="0" w:afterLines="0"/>
              <w:rPr>
                <w:rFonts w:hint="eastAsia" w:ascii="宋体" w:hAnsi="宋体" w:eastAsia="宋体"/>
                <w:color w:val="000000"/>
                <w:sz w:val="22"/>
              </w:rPr>
            </w:pPr>
          </w:p>
        </w:tc>
      </w:tr>
      <w:tr w14:paraId="5C92B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469" w:type="dxa"/>
          <w:trHeight w:val="435" w:hRule="atLeast"/>
        </w:trPr>
        <w:tc>
          <w:tcPr>
            <w:tcW w:w="1161"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D5450DC">
            <w:pPr>
              <w:spacing w:beforeLines="0" w:afterLines="0"/>
              <w:jc w:val="center"/>
              <w:rPr>
                <w:rFonts w:hint="eastAsia" w:ascii="宋体" w:hAnsi="宋体" w:eastAsia="宋体"/>
                <w:color w:val="333333"/>
                <w:sz w:val="20"/>
              </w:rPr>
            </w:pPr>
          </w:p>
        </w:tc>
        <w:tc>
          <w:tcPr>
            <w:tcW w:w="1161" w:type="dxa"/>
            <w:gridSpan w:val="2"/>
            <w:tcBorders>
              <w:top w:val="single" w:color="000000" w:sz="4" w:space="0"/>
              <w:left w:val="single" w:color="000000" w:sz="4" w:space="0"/>
              <w:bottom w:val="single" w:color="000000" w:sz="4" w:space="0"/>
              <w:right w:val="nil"/>
              <w:tl2br w:val="nil"/>
              <w:tr2bl w:val="nil"/>
            </w:tcBorders>
            <w:shd w:val="clear" w:color="auto" w:fill="FFFFFF"/>
            <w:noWrap w:val="0"/>
            <w:vAlign w:val="center"/>
          </w:tcPr>
          <w:p w14:paraId="1F52E549">
            <w:pPr>
              <w:widowControl/>
              <w:spacing w:beforeLines="0" w:afterLines="0"/>
              <w:jc w:val="center"/>
              <w:textAlignment w:val="center"/>
              <w:rPr>
                <w:rFonts w:hint="eastAsia" w:ascii="宋体" w:hAnsi="宋体" w:eastAsia="宋体"/>
                <w:color w:val="333333"/>
                <w:sz w:val="20"/>
              </w:rPr>
            </w:pPr>
            <w:r>
              <w:rPr>
                <w:rFonts w:hint="eastAsia" w:ascii="宋体" w:hAnsi="宋体" w:eastAsia="宋体"/>
                <w:color w:val="333333"/>
                <w:sz w:val="20"/>
                <w:lang w:val="en-US" w:eastAsia="zh-CN"/>
              </w:rPr>
              <w:t>资产管理</w:t>
            </w:r>
          </w:p>
        </w:tc>
        <w:tc>
          <w:tcPr>
            <w:tcW w:w="1622"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A810630">
            <w:pPr>
              <w:spacing w:beforeLines="0" w:afterLines="0"/>
              <w:jc w:val="center"/>
              <w:rPr>
                <w:rFonts w:hint="eastAsia" w:ascii="宋体" w:hAnsi="宋体" w:eastAsia="宋体"/>
                <w:color w:val="333333"/>
                <w:sz w:val="20"/>
              </w:rPr>
            </w:pPr>
          </w:p>
        </w:tc>
        <w:tc>
          <w:tcPr>
            <w:tcW w:w="1191"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826F491">
            <w:pPr>
              <w:spacing w:beforeLines="0" w:afterLines="0"/>
              <w:jc w:val="center"/>
              <w:rPr>
                <w:rFonts w:hint="eastAsia" w:ascii="宋体" w:hAnsi="宋体" w:eastAsia="宋体"/>
                <w:color w:val="333333"/>
                <w:sz w:val="20"/>
              </w:rPr>
            </w:pPr>
          </w:p>
        </w:tc>
        <w:tc>
          <w:tcPr>
            <w:tcW w:w="2094"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12B474E">
            <w:pPr>
              <w:spacing w:beforeLines="0" w:afterLines="0"/>
              <w:jc w:val="center"/>
              <w:rPr>
                <w:rFonts w:hint="eastAsia" w:ascii="宋体" w:hAnsi="宋体" w:eastAsia="宋体"/>
                <w:color w:val="333333"/>
                <w:sz w:val="20"/>
              </w:rPr>
            </w:pPr>
          </w:p>
        </w:tc>
        <w:tc>
          <w:tcPr>
            <w:tcW w:w="43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E5181F3">
            <w:pPr>
              <w:spacing w:beforeLines="0" w:afterLines="0"/>
              <w:jc w:val="center"/>
              <w:rPr>
                <w:rFonts w:hint="eastAsia" w:ascii="宋体" w:hAnsi="宋体" w:eastAsia="宋体"/>
                <w:color w:val="333333"/>
                <w:sz w:val="20"/>
              </w:rPr>
            </w:pPr>
          </w:p>
        </w:tc>
        <w:tc>
          <w:tcPr>
            <w:tcW w:w="561" w:type="dxa"/>
            <w:gridSpan w:val="4"/>
            <w:tcBorders>
              <w:top w:val="nil"/>
              <w:left w:val="nil"/>
              <w:bottom w:val="nil"/>
              <w:right w:val="nil"/>
              <w:tl2br w:val="nil"/>
              <w:tr2bl w:val="nil"/>
            </w:tcBorders>
            <w:noWrap w:val="0"/>
            <w:vAlign w:val="center"/>
          </w:tcPr>
          <w:p w14:paraId="3CD3488A">
            <w:pPr>
              <w:spacing w:beforeLines="0" w:afterLines="0"/>
              <w:rPr>
                <w:rFonts w:hint="eastAsia" w:ascii="宋体" w:hAnsi="宋体" w:eastAsia="宋体"/>
                <w:color w:val="000000"/>
                <w:sz w:val="22"/>
              </w:rPr>
            </w:pPr>
          </w:p>
        </w:tc>
        <w:tc>
          <w:tcPr>
            <w:tcW w:w="556" w:type="dxa"/>
            <w:gridSpan w:val="2"/>
            <w:tcBorders>
              <w:top w:val="nil"/>
              <w:left w:val="nil"/>
              <w:bottom w:val="nil"/>
              <w:right w:val="nil"/>
              <w:tl2br w:val="nil"/>
              <w:tr2bl w:val="nil"/>
            </w:tcBorders>
            <w:noWrap w:val="0"/>
            <w:vAlign w:val="center"/>
          </w:tcPr>
          <w:p w14:paraId="4F951855">
            <w:pPr>
              <w:spacing w:beforeLines="0" w:afterLines="0"/>
              <w:rPr>
                <w:rFonts w:hint="eastAsia" w:ascii="宋体" w:hAnsi="宋体" w:eastAsia="宋体"/>
                <w:color w:val="000000"/>
                <w:sz w:val="22"/>
              </w:rPr>
            </w:pPr>
          </w:p>
        </w:tc>
      </w:tr>
      <w:tr w14:paraId="5D390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469" w:type="dxa"/>
          <w:trHeight w:val="435" w:hRule="atLeast"/>
        </w:trPr>
        <w:tc>
          <w:tcPr>
            <w:tcW w:w="1161"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6F3B6B9">
            <w:pPr>
              <w:widowControl/>
              <w:spacing w:beforeLines="0" w:afterLines="0"/>
              <w:jc w:val="center"/>
              <w:textAlignment w:val="center"/>
              <w:rPr>
                <w:rFonts w:hint="eastAsia" w:ascii="宋体" w:hAnsi="宋体" w:eastAsia="宋体"/>
                <w:color w:val="333333"/>
                <w:sz w:val="20"/>
              </w:rPr>
            </w:pPr>
            <w:r>
              <w:rPr>
                <w:rFonts w:hint="eastAsia" w:ascii="宋体" w:hAnsi="宋体" w:eastAsia="宋体"/>
                <w:color w:val="333333"/>
                <w:sz w:val="20"/>
                <w:lang w:val="en-US" w:eastAsia="zh-CN"/>
              </w:rPr>
              <w:t>产出指标</w:t>
            </w:r>
          </w:p>
        </w:tc>
        <w:tc>
          <w:tcPr>
            <w:tcW w:w="1161" w:type="dxa"/>
            <w:gridSpan w:val="2"/>
            <w:tcBorders>
              <w:top w:val="single" w:color="000000" w:sz="4" w:space="0"/>
              <w:left w:val="single" w:color="000000" w:sz="4" w:space="0"/>
              <w:bottom w:val="single" w:color="000000" w:sz="4" w:space="0"/>
              <w:right w:val="nil"/>
              <w:tl2br w:val="nil"/>
              <w:tr2bl w:val="nil"/>
            </w:tcBorders>
            <w:shd w:val="clear" w:color="auto" w:fill="FFFFFF"/>
            <w:noWrap w:val="0"/>
            <w:vAlign w:val="center"/>
          </w:tcPr>
          <w:p w14:paraId="6540B175">
            <w:pPr>
              <w:widowControl/>
              <w:spacing w:beforeLines="0" w:afterLines="0"/>
              <w:jc w:val="center"/>
              <w:textAlignment w:val="center"/>
              <w:rPr>
                <w:rFonts w:hint="eastAsia" w:ascii="宋体" w:hAnsi="宋体" w:eastAsia="宋体"/>
                <w:color w:val="333333"/>
                <w:sz w:val="20"/>
              </w:rPr>
            </w:pPr>
            <w:r>
              <w:rPr>
                <w:rFonts w:hint="eastAsia" w:ascii="宋体" w:hAnsi="宋体" w:eastAsia="宋体"/>
                <w:color w:val="333333"/>
                <w:sz w:val="20"/>
                <w:lang w:val="en-US" w:eastAsia="zh-CN"/>
              </w:rPr>
              <w:t>数量指标</w:t>
            </w:r>
          </w:p>
        </w:tc>
        <w:tc>
          <w:tcPr>
            <w:tcW w:w="1622"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1D410C0">
            <w:pPr>
              <w:widowControl/>
              <w:spacing w:beforeLines="0" w:afterLines="0"/>
              <w:jc w:val="center"/>
              <w:textAlignment w:val="center"/>
              <w:rPr>
                <w:rFonts w:hint="eastAsia" w:ascii="宋体" w:hAnsi="宋体" w:eastAsia="宋体"/>
                <w:color w:val="333333"/>
                <w:sz w:val="20"/>
              </w:rPr>
            </w:pPr>
            <w:r>
              <w:rPr>
                <w:rFonts w:hint="eastAsia" w:ascii="宋体" w:hAnsi="宋体" w:eastAsia="宋体"/>
                <w:color w:val="333333"/>
                <w:sz w:val="20"/>
                <w:lang w:val="en-US" w:eastAsia="zh-CN"/>
              </w:rPr>
              <w:t>完成一报两刊的</w:t>
            </w:r>
            <w:r>
              <w:rPr>
                <w:rFonts w:hint="eastAsia" w:ascii="宋体" w:hAnsi="宋体" w:eastAsia="宋体"/>
                <w:color w:val="333333"/>
                <w:sz w:val="20"/>
                <w:lang w:val="en-US" w:eastAsia="zh-CN"/>
              </w:rPr>
              <w:br w:type="textWrapping"/>
            </w:r>
            <w:r>
              <w:rPr>
                <w:rFonts w:hint="eastAsia" w:ascii="宋体" w:hAnsi="宋体" w:eastAsia="宋体"/>
                <w:color w:val="333333"/>
                <w:sz w:val="20"/>
                <w:lang w:val="en-US" w:eastAsia="zh-CN"/>
              </w:rPr>
              <w:t>订制和送达。</w:t>
            </w:r>
          </w:p>
        </w:tc>
        <w:tc>
          <w:tcPr>
            <w:tcW w:w="1191"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320BDEF">
            <w:pPr>
              <w:widowControl/>
              <w:spacing w:beforeLines="0" w:afterLines="0"/>
              <w:jc w:val="center"/>
              <w:textAlignment w:val="center"/>
              <w:rPr>
                <w:rFonts w:hint="eastAsia" w:ascii="宋体" w:hAnsi="宋体" w:eastAsia="宋体"/>
                <w:color w:val="333333"/>
                <w:sz w:val="20"/>
              </w:rPr>
            </w:pPr>
            <w:r>
              <w:rPr>
                <w:rFonts w:hint="eastAsia" w:ascii="宋体" w:hAnsi="宋体" w:eastAsia="宋体"/>
                <w:color w:val="333333"/>
                <w:sz w:val="20"/>
                <w:lang w:val="en-US" w:eastAsia="zh-CN"/>
              </w:rPr>
              <w:t>组织代表及委员履职能力提升的培训。</w:t>
            </w:r>
          </w:p>
        </w:tc>
        <w:tc>
          <w:tcPr>
            <w:tcW w:w="2094"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35F3275">
            <w:pPr>
              <w:widowControl/>
              <w:spacing w:beforeLines="0" w:afterLines="0"/>
              <w:jc w:val="center"/>
              <w:textAlignment w:val="center"/>
              <w:rPr>
                <w:rFonts w:hint="eastAsia" w:ascii="宋体" w:hAnsi="宋体" w:eastAsia="宋体"/>
                <w:color w:val="333333"/>
                <w:sz w:val="20"/>
              </w:rPr>
            </w:pPr>
            <w:r>
              <w:rPr>
                <w:rFonts w:hint="eastAsia" w:ascii="宋体" w:hAnsi="宋体" w:eastAsia="宋体"/>
                <w:color w:val="333333"/>
                <w:sz w:val="20"/>
                <w:lang w:val="en-US" w:eastAsia="zh-CN"/>
              </w:rPr>
              <w:t>100%</w:t>
            </w:r>
          </w:p>
        </w:tc>
        <w:tc>
          <w:tcPr>
            <w:tcW w:w="43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00"/>
            <w:noWrap w:val="0"/>
            <w:vAlign w:val="center"/>
          </w:tcPr>
          <w:p w14:paraId="09FD8417">
            <w:pPr>
              <w:widowControl/>
              <w:spacing w:beforeLines="0" w:afterLines="0"/>
              <w:jc w:val="center"/>
              <w:textAlignment w:val="center"/>
              <w:rPr>
                <w:rFonts w:hint="eastAsia" w:ascii="宋体" w:hAnsi="宋体" w:eastAsia="宋体"/>
                <w:color w:val="333333"/>
                <w:sz w:val="20"/>
              </w:rPr>
            </w:pPr>
            <w:r>
              <w:rPr>
                <w:rFonts w:hint="eastAsia" w:ascii="宋体" w:hAnsi="宋体" w:eastAsia="宋体"/>
                <w:color w:val="333333"/>
                <w:sz w:val="20"/>
                <w:lang w:val="en-US" w:eastAsia="zh-CN"/>
              </w:rPr>
              <w:t>100%</w:t>
            </w:r>
          </w:p>
        </w:tc>
        <w:tc>
          <w:tcPr>
            <w:tcW w:w="561" w:type="dxa"/>
            <w:gridSpan w:val="4"/>
            <w:tcBorders>
              <w:top w:val="nil"/>
              <w:left w:val="nil"/>
              <w:bottom w:val="nil"/>
              <w:right w:val="nil"/>
              <w:tl2br w:val="nil"/>
              <w:tr2bl w:val="nil"/>
            </w:tcBorders>
            <w:noWrap w:val="0"/>
            <w:vAlign w:val="center"/>
          </w:tcPr>
          <w:p w14:paraId="3615DE03">
            <w:pPr>
              <w:spacing w:beforeLines="0" w:afterLines="0"/>
              <w:rPr>
                <w:rFonts w:hint="eastAsia" w:ascii="宋体" w:hAnsi="宋体" w:eastAsia="宋体"/>
                <w:color w:val="000000"/>
                <w:sz w:val="22"/>
              </w:rPr>
            </w:pPr>
          </w:p>
        </w:tc>
        <w:tc>
          <w:tcPr>
            <w:tcW w:w="556" w:type="dxa"/>
            <w:gridSpan w:val="2"/>
            <w:tcBorders>
              <w:top w:val="nil"/>
              <w:left w:val="nil"/>
              <w:bottom w:val="nil"/>
              <w:right w:val="nil"/>
              <w:tl2br w:val="nil"/>
              <w:tr2bl w:val="nil"/>
            </w:tcBorders>
            <w:noWrap w:val="0"/>
            <w:vAlign w:val="center"/>
          </w:tcPr>
          <w:p w14:paraId="0BE6FC14">
            <w:pPr>
              <w:spacing w:beforeLines="0" w:afterLines="0"/>
              <w:rPr>
                <w:rFonts w:hint="eastAsia" w:ascii="宋体" w:hAnsi="宋体" w:eastAsia="宋体"/>
                <w:color w:val="000000"/>
                <w:sz w:val="22"/>
              </w:rPr>
            </w:pPr>
          </w:p>
        </w:tc>
      </w:tr>
      <w:tr w14:paraId="51CD8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469" w:type="dxa"/>
          <w:trHeight w:val="435" w:hRule="atLeast"/>
        </w:trPr>
        <w:tc>
          <w:tcPr>
            <w:tcW w:w="1161"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948E798">
            <w:pPr>
              <w:spacing w:beforeLines="0" w:afterLines="0"/>
              <w:jc w:val="center"/>
              <w:rPr>
                <w:rFonts w:hint="eastAsia" w:ascii="宋体" w:hAnsi="宋体" w:eastAsia="宋体"/>
                <w:color w:val="333333"/>
                <w:sz w:val="20"/>
              </w:rPr>
            </w:pPr>
          </w:p>
        </w:tc>
        <w:tc>
          <w:tcPr>
            <w:tcW w:w="1161" w:type="dxa"/>
            <w:gridSpan w:val="2"/>
            <w:tcBorders>
              <w:top w:val="single" w:color="000000" w:sz="4" w:space="0"/>
              <w:left w:val="single" w:color="000000" w:sz="4" w:space="0"/>
              <w:bottom w:val="single" w:color="000000" w:sz="4" w:space="0"/>
              <w:right w:val="nil"/>
              <w:tl2br w:val="nil"/>
              <w:tr2bl w:val="nil"/>
            </w:tcBorders>
            <w:shd w:val="clear" w:color="auto" w:fill="FFFFFF"/>
            <w:noWrap w:val="0"/>
            <w:vAlign w:val="center"/>
          </w:tcPr>
          <w:p w14:paraId="796EC23F">
            <w:pPr>
              <w:widowControl/>
              <w:spacing w:beforeLines="0" w:afterLines="0"/>
              <w:jc w:val="center"/>
              <w:textAlignment w:val="center"/>
              <w:rPr>
                <w:rFonts w:hint="eastAsia" w:ascii="宋体" w:hAnsi="宋体" w:eastAsia="宋体"/>
                <w:color w:val="333333"/>
                <w:sz w:val="20"/>
              </w:rPr>
            </w:pPr>
            <w:r>
              <w:rPr>
                <w:rFonts w:hint="eastAsia" w:ascii="宋体" w:hAnsi="宋体" w:eastAsia="宋体"/>
                <w:color w:val="333333"/>
                <w:sz w:val="20"/>
                <w:lang w:val="en-US" w:eastAsia="zh-CN"/>
              </w:rPr>
              <w:t>质量指标</w:t>
            </w:r>
          </w:p>
        </w:tc>
        <w:tc>
          <w:tcPr>
            <w:tcW w:w="1622"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FC76A29">
            <w:pPr>
              <w:widowControl/>
              <w:spacing w:beforeLines="0" w:afterLines="0"/>
              <w:jc w:val="center"/>
              <w:textAlignment w:val="center"/>
              <w:rPr>
                <w:rFonts w:hint="eastAsia" w:ascii="宋体" w:hAnsi="宋体" w:eastAsia="宋体"/>
                <w:color w:val="333333"/>
                <w:sz w:val="20"/>
              </w:rPr>
            </w:pPr>
            <w:r>
              <w:rPr>
                <w:rFonts w:hint="eastAsia" w:ascii="宋体" w:hAnsi="宋体" w:eastAsia="宋体"/>
                <w:color w:val="333333"/>
                <w:sz w:val="20"/>
                <w:lang w:val="en-US" w:eastAsia="zh-CN"/>
              </w:rPr>
              <w:t>完成了144名代表及委员的工作</w:t>
            </w:r>
          </w:p>
        </w:tc>
        <w:tc>
          <w:tcPr>
            <w:tcW w:w="1191"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358EF65">
            <w:pPr>
              <w:widowControl/>
              <w:spacing w:beforeLines="0" w:afterLines="0"/>
              <w:jc w:val="center"/>
              <w:textAlignment w:val="center"/>
              <w:rPr>
                <w:rFonts w:hint="eastAsia" w:ascii="宋体" w:hAnsi="宋体" w:eastAsia="宋体"/>
                <w:color w:val="333333"/>
                <w:sz w:val="20"/>
              </w:rPr>
            </w:pPr>
            <w:r>
              <w:rPr>
                <w:rFonts w:hint="eastAsia" w:ascii="宋体" w:hAnsi="宋体" w:eastAsia="宋体"/>
                <w:color w:val="333333"/>
                <w:sz w:val="20"/>
                <w:lang w:val="en-US" w:eastAsia="zh-CN"/>
              </w:rPr>
              <w:t>优良</w:t>
            </w:r>
          </w:p>
        </w:tc>
        <w:tc>
          <w:tcPr>
            <w:tcW w:w="2094"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28FFB98">
            <w:pPr>
              <w:widowControl/>
              <w:spacing w:beforeLines="0" w:afterLines="0"/>
              <w:jc w:val="center"/>
              <w:textAlignment w:val="center"/>
              <w:rPr>
                <w:rFonts w:hint="eastAsia" w:ascii="宋体" w:hAnsi="宋体" w:eastAsia="宋体"/>
                <w:color w:val="333333"/>
                <w:sz w:val="20"/>
              </w:rPr>
            </w:pPr>
            <w:r>
              <w:rPr>
                <w:rFonts w:hint="eastAsia" w:ascii="宋体" w:hAnsi="宋体" w:eastAsia="宋体"/>
                <w:color w:val="333333"/>
                <w:sz w:val="20"/>
                <w:lang w:val="en-US" w:eastAsia="zh-CN"/>
              </w:rPr>
              <w:t>100%</w:t>
            </w:r>
          </w:p>
        </w:tc>
        <w:tc>
          <w:tcPr>
            <w:tcW w:w="43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00"/>
            <w:noWrap w:val="0"/>
            <w:vAlign w:val="center"/>
          </w:tcPr>
          <w:p w14:paraId="27E2898F">
            <w:pPr>
              <w:widowControl/>
              <w:spacing w:beforeLines="0" w:afterLines="0"/>
              <w:jc w:val="center"/>
              <w:textAlignment w:val="center"/>
              <w:rPr>
                <w:rFonts w:hint="eastAsia" w:ascii="宋体" w:hAnsi="宋体" w:eastAsia="宋体"/>
                <w:color w:val="333333"/>
                <w:sz w:val="20"/>
              </w:rPr>
            </w:pPr>
            <w:r>
              <w:rPr>
                <w:rFonts w:hint="eastAsia" w:ascii="宋体" w:hAnsi="宋体" w:eastAsia="宋体"/>
                <w:color w:val="333333"/>
                <w:sz w:val="20"/>
                <w:lang w:val="en-US" w:eastAsia="zh-CN"/>
              </w:rPr>
              <w:t>100%</w:t>
            </w:r>
          </w:p>
        </w:tc>
        <w:tc>
          <w:tcPr>
            <w:tcW w:w="561" w:type="dxa"/>
            <w:gridSpan w:val="4"/>
            <w:tcBorders>
              <w:top w:val="nil"/>
              <w:left w:val="nil"/>
              <w:bottom w:val="nil"/>
              <w:right w:val="nil"/>
              <w:tl2br w:val="nil"/>
              <w:tr2bl w:val="nil"/>
            </w:tcBorders>
            <w:noWrap w:val="0"/>
            <w:vAlign w:val="center"/>
          </w:tcPr>
          <w:p w14:paraId="3B9FB20C">
            <w:pPr>
              <w:spacing w:beforeLines="0" w:afterLines="0"/>
              <w:rPr>
                <w:rFonts w:hint="eastAsia" w:ascii="宋体" w:hAnsi="宋体" w:eastAsia="宋体"/>
                <w:color w:val="000000"/>
                <w:sz w:val="22"/>
              </w:rPr>
            </w:pPr>
          </w:p>
        </w:tc>
        <w:tc>
          <w:tcPr>
            <w:tcW w:w="556" w:type="dxa"/>
            <w:gridSpan w:val="2"/>
            <w:tcBorders>
              <w:top w:val="nil"/>
              <w:left w:val="nil"/>
              <w:bottom w:val="nil"/>
              <w:right w:val="nil"/>
              <w:tl2br w:val="nil"/>
              <w:tr2bl w:val="nil"/>
            </w:tcBorders>
            <w:noWrap w:val="0"/>
            <w:vAlign w:val="center"/>
          </w:tcPr>
          <w:p w14:paraId="40D8B2D3">
            <w:pPr>
              <w:spacing w:beforeLines="0" w:afterLines="0"/>
              <w:rPr>
                <w:rFonts w:hint="eastAsia" w:ascii="宋体" w:hAnsi="宋体" w:eastAsia="宋体"/>
                <w:color w:val="000000"/>
                <w:sz w:val="22"/>
              </w:rPr>
            </w:pPr>
          </w:p>
        </w:tc>
      </w:tr>
      <w:tr w14:paraId="0761B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469" w:type="dxa"/>
          <w:trHeight w:val="435" w:hRule="atLeast"/>
        </w:trPr>
        <w:tc>
          <w:tcPr>
            <w:tcW w:w="1161"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1B77A05">
            <w:pPr>
              <w:spacing w:beforeLines="0" w:afterLines="0"/>
              <w:jc w:val="center"/>
              <w:rPr>
                <w:rFonts w:hint="eastAsia" w:ascii="宋体" w:hAnsi="宋体" w:eastAsia="宋体"/>
                <w:color w:val="333333"/>
                <w:sz w:val="20"/>
              </w:rPr>
            </w:pPr>
          </w:p>
        </w:tc>
        <w:tc>
          <w:tcPr>
            <w:tcW w:w="1161" w:type="dxa"/>
            <w:gridSpan w:val="2"/>
            <w:tcBorders>
              <w:top w:val="single" w:color="000000" w:sz="4" w:space="0"/>
              <w:left w:val="single" w:color="000000" w:sz="4" w:space="0"/>
              <w:bottom w:val="single" w:color="000000" w:sz="4" w:space="0"/>
              <w:right w:val="nil"/>
              <w:tl2br w:val="nil"/>
              <w:tr2bl w:val="nil"/>
            </w:tcBorders>
            <w:shd w:val="clear" w:color="auto" w:fill="FFFFFF"/>
            <w:noWrap w:val="0"/>
            <w:vAlign w:val="center"/>
          </w:tcPr>
          <w:p w14:paraId="77ACC035">
            <w:pPr>
              <w:widowControl/>
              <w:spacing w:beforeLines="0" w:afterLines="0"/>
              <w:jc w:val="center"/>
              <w:textAlignment w:val="center"/>
              <w:rPr>
                <w:rFonts w:hint="eastAsia" w:ascii="宋体" w:hAnsi="宋体" w:eastAsia="宋体"/>
                <w:color w:val="333333"/>
                <w:sz w:val="20"/>
              </w:rPr>
            </w:pPr>
            <w:r>
              <w:rPr>
                <w:rFonts w:hint="eastAsia" w:ascii="宋体" w:hAnsi="宋体" w:eastAsia="宋体"/>
                <w:color w:val="333333"/>
                <w:sz w:val="20"/>
                <w:lang w:val="en-US" w:eastAsia="zh-CN"/>
              </w:rPr>
              <w:t>时效指标</w:t>
            </w:r>
          </w:p>
        </w:tc>
        <w:tc>
          <w:tcPr>
            <w:tcW w:w="1622"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14E394E">
            <w:pPr>
              <w:spacing w:beforeLines="0" w:afterLines="0"/>
              <w:jc w:val="center"/>
              <w:rPr>
                <w:rFonts w:hint="eastAsia" w:ascii="宋体" w:hAnsi="宋体" w:eastAsia="宋体"/>
                <w:color w:val="333333"/>
                <w:sz w:val="20"/>
              </w:rPr>
            </w:pPr>
          </w:p>
        </w:tc>
        <w:tc>
          <w:tcPr>
            <w:tcW w:w="1191"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60ECC4B">
            <w:pPr>
              <w:spacing w:beforeLines="0" w:afterLines="0"/>
              <w:jc w:val="center"/>
              <w:rPr>
                <w:rFonts w:hint="eastAsia" w:ascii="宋体" w:hAnsi="宋体" w:eastAsia="宋体"/>
                <w:color w:val="333333"/>
                <w:sz w:val="20"/>
              </w:rPr>
            </w:pPr>
          </w:p>
        </w:tc>
        <w:tc>
          <w:tcPr>
            <w:tcW w:w="2094"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3704FAF">
            <w:pPr>
              <w:spacing w:beforeLines="0" w:afterLines="0"/>
              <w:jc w:val="center"/>
              <w:rPr>
                <w:rFonts w:hint="eastAsia" w:ascii="宋体" w:hAnsi="宋体" w:eastAsia="宋体"/>
                <w:color w:val="333333"/>
                <w:sz w:val="20"/>
              </w:rPr>
            </w:pPr>
          </w:p>
        </w:tc>
        <w:tc>
          <w:tcPr>
            <w:tcW w:w="43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FB8B8C7">
            <w:pPr>
              <w:spacing w:beforeLines="0" w:afterLines="0"/>
              <w:jc w:val="center"/>
              <w:rPr>
                <w:rFonts w:hint="eastAsia" w:ascii="宋体" w:hAnsi="宋体" w:eastAsia="宋体"/>
                <w:color w:val="333333"/>
                <w:sz w:val="20"/>
              </w:rPr>
            </w:pPr>
          </w:p>
        </w:tc>
        <w:tc>
          <w:tcPr>
            <w:tcW w:w="561" w:type="dxa"/>
            <w:gridSpan w:val="4"/>
            <w:tcBorders>
              <w:top w:val="nil"/>
              <w:left w:val="nil"/>
              <w:bottom w:val="nil"/>
              <w:right w:val="nil"/>
              <w:tl2br w:val="nil"/>
              <w:tr2bl w:val="nil"/>
            </w:tcBorders>
            <w:noWrap w:val="0"/>
            <w:vAlign w:val="center"/>
          </w:tcPr>
          <w:p w14:paraId="3F2666D0">
            <w:pPr>
              <w:spacing w:beforeLines="0" w:afterLines="0"/>
              <w:rPr>
                <w:rFonts w:hint="eastAsia" w:ascii="宋体" w:hAnsi="宋体" w:eastAsia="宋体"/>
                <w:color w:val="000000"/>
                <w:sz w:val="22"/>
              </w:rPr>
            </w:pPr>
          </w:p>
        </w:tc>
        <w:tc>
          <w:tcPr>
            <w:tcW w:w="556" w:type="dxa"/>
            <w:gridSpan w:val="2"/>
            <w:tcBorders>
              <w:top w:val="nil"/>
              <w:left w:val="nil"/>
              <w:bottom w:val="nil"/>
              <w:right w:val="nil"/>
              <w:tl2br w:val="nil"/>
              <w:tr2bl w:val="nil"/>
            </w:tcBorders>
            <w:noWrap w:val="0"/>
            <w:vAlign w:val="center"/>
          </w:tcPr>
          <w:p w14:paraId="0D25B72A">
            <w:pPr>
              <w:spacing w:beforeLines="0" w:afterLines="0"/>
              <w:rPr>
                <w:rFonts w:hint="eastAsia" w:ascii="宋体" w:hAnsi="宋体" w:eastAsia="宋体"/>
                <w:color w:val="000000"/>
                <w:sz w:val="22"/>
              </w:rPr>
            </w:pPr>
          </w:p>
        </w:tc>
      </w:tr>
      <w:tr w14:paraId="302A6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469" w:type="dxa"/>
          <w:trHeight w:val="435" w:hRule="atLeast"/>
        </w:trPr>
        <w:tc>
          <w:tcPr>
            <w:tcW w:w="1161"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C9A502E">
            <w:pPr>
              <w:spacing w:beforeLines="0" w:afterLines="0"/>
              <w:jc w:val="center"/>
              <w:rPr>
                <w:rFonts w:hint="eastAsia" w:ascii="宋体" w:hAnsi="宋体" w:eastAsia="宋体"/>
                <w:color w:val="333333"/>
                <w:sz w:val="20"/>
              </w:rPr>
            </w:pPr>
          </w:p>
        </w:tc>
        <w:tc>
          <w:tcPr>
            <w:tcW w:w="1161" w:type="dxa"/>
            <w:gridSpan w:val="2"/>
            <w:tcBorders>
              <w:top w:val="single" w:color="000000" w:sz="4" w:space="0"/>
              <w:left w:val="single" w:color="000000" w:sz="4" w:space="0"/>
              <w:bottom w:val="single" w:color="000000" w:sz="4" w:space="0"/>
              <w:right w:val="nil"/>
              <w:tl2br w:val="nil"/>
              <w:tr2bl w:val="nil"/>
            </w:tcBorders>
            <w:shd w:val="clear" w:color="auto" w:fill="FFFFFF"/>
            <w:noWrap w:val="0"/>
            <w:vAlign w:val="center"/>
          </w:tcPr>
          <w:p w14:paraId="3E64FFFF">
            <w:pPr>
              <w:widowControl/>
              <w:spacing w:beforeLines="0" w:afterLines="0"/>
              <w:jc w:val="center"/>
              <w:textAlignment w:val="center"/>
              <w:rPr>
                <w:rFonts w:hint="eastAsia" w:ascii="宋体" w:hAnsi="宋体" w:eastAsia="宋体"/>
                <w:color w:val="333333"/>
                <w:sz w:val="20"/>
              </w:rPr>
            </w:pPr>
            <w:r>
              <w:rPr>
                <w:rFonts w:hint="eastAsia" w:ascii="宋体" w:hAnsi="宋体" w:eastAsia="宋体"/>
                <w:color w:val="333333"/>
                <w:sz w:val="20"/>
                <w:lang w:val="en-US" w:eastAsia="zh-CN"/>
              </w:rPr>
              <w:t>成本指标</w:t>
            </w:r>
          </w:p>
        </w:tc>
        <w:tc>
          <w:tcPr>
            <w:tcW w:w="1622"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C4140D3">
            <w:pPr>
              <w:spacing w:beforeLines="0" w:afterLines="0"/>
              <w:jc w:val="center"/>
              <w:rPr>
                <w:rFonts w:hint="eastAsia" w:ascii="宋体" w:hAnsi="宋体" w:eastAsia="宋体"/>
                <w:color w:val="333333"/>
                <w:sz w:val="20"/>
              </w:rPr>
            </w:pPr>
          </w:p>
        </w:tc>
        <w:tc>
          <w:tcPr>
            <w:tcW w:w="1191"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CBDF31E">
            <w:pPr>
              <w:spacing w:beforeLines="0" w:afterLines="0"/>
              <w:jc w:val="center"/>
              <w:rPr>
                <w:rFonts w:hint="eastAsia" w:ascii="宋体" w:hAnsi="宋体" w:eastAsia="宋体"/>
                <w:color w:val="333333"/>
                <w:sz w:val="20"/>
              </w:rPr>
            </w:pPr>
          </w:p>
        </w:tc>
        <w:tc>
          <w:tcPr>
            <w:tcW w:w="2094"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2FE553A">
            <w:pPr>
              <w:spacing w:beforeLines="0" w:afterLines="0"/>
              <w:jc w:val="center"/>
              <w:rPr>
                <w:rFonts w:hint="eastAsia" w:ascii="宋体" w:hAnsi="宋体" w:eastAsia="宋体"/>
                <w:color w:val="333333"/>
                <w:sz w:val="20"/>
              </w:rPr>
            </w:pPr>
          </w:p>
        </w:tc>
        <w:tc>
          <w:tcPr>
            <w:tcW w:w="43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43D8421">
            <w:pPr>
              <w:spacing w:beforeLines="0" w:afterLines="0"/>
              <w:jc w:val="center"/>
              <w:rPr>
                <w:rFonts w:hint="eastAsia" w:ascii="宋体" w:hAnsi="宋体" w:eastAsia="宋体"/>
                <w:color w:val="333333"/>
                <w:sz w:val="20"/>
              </w:rPr>
            </w:pPr>
          </w:p>
        </w:tc>
        <w:tc>
          <w:tcPr>
            <w:tcW w:w="561" w:type="dxa"/>
            <w:gridSpan w:val="4"/>
            <w:tcBorders>
              <w:top w:val="nil"/>
              <w:left w:val="nil"/>
              <w:bottom w:val="nil"/>
              <w:right w:val="nil"/>
              <w:tl2br w:val="nil"/>
              <w:tr2bl w:val="nil"/>
            </w:tcBorders>
            <w:noWrap w:val="0"/>
            <w:vAlign w:val="center"/>
          </w:tcPr>
          <w:p w14:paraId="49226925">
            <w:pPr>
              <w:spacing w:beforeLines="0" w:afterLines="0"/>
              <w:rPr>
                <w:rFonts w:hint="eastAsia" w:ascii="宋体" w:hAnsi="宋体" w:eastAsia="宋体"/>
                <w:color w:val="000000"/>
                <w:sz w:val="22"/>
              </w:rPr>
            </w:pPr>
          </w:p>
        </w:tc>
        <w:tc>
          <w:tcPr>
            <w:tcW w:w="556" w:type="dxa"/>
            <w:gridSpan w:val="2"/>
            <w:tcBorders>
              <w:top w:val="nil"/>
              <w:left w:val="nil"/>
              <w:bottom w:val="nil"/>
              <w:right w:val="nil"/>
              <w:tl2br w:val="nil"/>
              <w:tr2bl w:val="nil"/>
            </w:tcBorders>
            <w:noWrap w:val="0"/>
            <w:vAlign w:val="center"/>
          </w:tcPr>
          <w:p w14:paraId="27E3A5FC">
            <w:pPr>
              <w:spacing w:beforeLines="0" w:afterLines="0"/>
              <w:rPr>
                <w:rFonts w:hint="eastAsia" w:ascii="宋体" w:hAnsi="宋体" w:eastAsia="宋体"/>
                <w:color w:val="000000"/>
                <w:sz w:val="22"/>
              </w:rPr>
            </w:pPr>
          </w:p>
        </w:tc>
      </w:tr>
      <w:tr w14:paraId="77BFF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469" w:type="dxa"/>
          <w:trHeight w:val="435" w:hRule="atLeast"/>
        </w:trPr>
        <w:tc>
          <w:tcPr>
            <w:tcW w:w="1161"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4573D39">
            <w:pPr>
              <w:widowControl/>
              <w:spacing w:beforeLines="0" w:afterLines="0"/>
              <w:jc w:val="center"/>
              <w:textAlignment w:val="center"/>
              <w:rPr>
                <w:rFonts w:hint="eastAsia" w:ascii="宋体" w:hAnsi="宋体" w:eastAsia="宋体"/>
                <w:color w:val="333333"/>
                <w:sz w:val="20"/>
              </w:rPr>
            </w:pPr>
            <w:r>
              <w:rPr>
                <w:rFonts w:hint="eastAsia" w:ascii="宋体" w:hAnsi="宋体" w:eastAsia="宋体"/>
                <w:color w:val="333333"/>
                <w:sz w:val="20"/>
                <w:lang w:val="en-US" w:eastAsia="zh-CN"/>
              </w:rPr>
              <w:t>效益指标</w:t>
            </w:r>
          </w:p>
        </w:tc>
        <w:tc>
          <w:tcPr>
            <w:tcW w:w="1161" w:type="dxa"/>
            <w:gridSpan w:val="2"/>
            <w:tcBorders>
              <w:top w:val="single" w:color="000000" w:sz="4" w:space="0"/>
              <w:left w:val="single" w:color="000000" w:sz="4" w:space="0"/>
              <w:bottom w:val="single" w:color="000000" w:sz="4" w:space="0"/>
              <w:right w:val="nil"/>
              <w:tl2br w:val="nil"/>
              <w:tr2bl w:val="nil"/>
            </w:tcBorders>
            <w:shd w:val="clear" w:color="auto" w:fill="FFFFFF"/>
            <w:noWrap w:val="0"/>
            <w:vAlign w:val="center"/>
          </w:tcPr>
          <w:p w14:paraId="0C57411E">
            <w:pPr>
              <w:widowControl/>
              <w:spacing w:beforeLines="0" w:afterLines="0"/>
              <w:jc w:val="center"/>
              <w:textAlignment w:val="center"/>
              <w:rPr>
                <w:rFonts w:hint="eastAsia" w:ascii="宋体" w:hAnsi="宋体" w:eastAsia="宋体"/>
                <w:color w:val="333333"/>
                <w:sz w:val="20"/>
              </w:rPr>
            </w:pPr>
            <w:r>
              <w:rPr>
                <w:rFonts w:hint="eastAsia" w:ascii="宋体" w:hAnsi="宋体" w:eastAsia="宋体"/>
                <w:color w:val="333333"/>
                <w:sz w:val="20"/>
                <w:lang w:val="en-US" w:eastAsia="zh-CN"/>
              </w:rPr>
              <w:t>经济效益指标</w:t>
            </w:r>
          </w:p>
        </w:tc>
        <w:tc>
          <w:tcPr>
            <w:tcW w:w="1622"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2973BFA">
            <w:pPr>
              <w:spacing w:beforeLines="0" w:afterLines="0"/>
              <w:jc w:val="center"/>
              <w:rPr>
                <w:rFonts w:hint="eastAsia" w:ascii="宋体" w:hAnsi="宋体" w:eastAsia="宋体"/>
                <w:color w:val="333333"/>
                <w:sz w:val="20"/>
              </w:rPr>
            </w:pPr>
          </w:p>
        </w:tc>
        <w:tc>
          <w:tcPr>
            <w:tcW w:w="1191"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C360ADD">
            <w:pPr>
              <w:spacing w:beforeLines="0" w:afterLines="0"/>
              <w:jc w:val="center"/>
              <w:rPr>
                <w:rFonts w:hint="eastAsia" w:ascii="宋体" w:hAnsi="宋体" w:eastAsia="宋体"/>
                <w:color w:val="333333"/>
                <w:sz w:val="20"/>
              </w:rPr>
            </w:pPr>
          </w:p>
        </w:tc>
        <w:tc>
          <w:tcPr>
            <w:tcW w:w="2094"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6BB4687">
            <w:pPr>
              <w:spacing w:beforeLines="0" w:afterLines="0"/>
              <w:jc w:val="center"/>
              <w:rPr>
                <w:rFonts w:hint="eastAsia" w:ascii="宋体" w:hAnsi="宋体" w:eastAsia="宋体"/>
                <w:color w:val="333333"/>
                <w:sz w:val="20"/>
              </w:rPr>
            </w:pPr>
          </w:p>
        </w:tc>
        <w:tc>
          <w:tcPr>
            <w:tcW w:w="43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EFEF5BB">
            <w:pPr>
              <w:spacing w:beforeLines="0" w:afterLines="0"/>
              <w:jc w:val="center"/>
              <w:rPr>
                <w:rFonts w:hint="eastAsia" w:ascii="宋体" w:hAnsi="宋体" w:eastAsia="宋体"/>
                <w:color w:val="333333"/>
                <w:sz w:val="20"/>
              </w:rPr>
            </w:pPr>
          </w:p>
        </w:tc>
        <w:tc>
          <w:tcPr>
            <w:tcW w:w="561" w:type="dxa"/>
            <w:gridSpan w:val="4"/>
            <w:tcBorders>
              <w:top w:val="nil"/>
              <w:left w:val="nil"/>
              <w:bottom w:val="nil"/>
              <w:right w:val="nil"/>
              <w:tl2br w:val="nil"/>
              <w:tr2bl w:val="nil"/>
            </w:tcBorders>
            <w:noWrap w:val="0"/>
            <w:vAlign w:val="center"/>
          </w:tcPr>
          <w:p w14:paraId="57D039F1">
            <w:pPr>
              <w:spacing w:beforeLines="0" w:afterLines="0"/>
              <w:rPr>
                <w:rFonts w:hint="eastAsia" w:ascii="宋体" w:hAnsi="宋体" w:eastAsia="宋体"/>
                <w:color w:val="000000"/>
                <w:sz w:val="22"/>
              </w:rPr>
            </w:pPr>
          </w:p>
        </w:tc>
        <w:tc>
          <w:tcPr>
            <w:tcW w:w="556" w:type="dxa"/>
            <w:gridSpan w:val="2"/>
            <w:tcBorders>
              <w:top w:val="nil"/>
              <w:left w:val="nil"/>
              <w:bottom w:val="nil"/>
              <w:right w:val="nil"/>
              <w:tl2br w:val="nil"/>
              <w:tr2bl w:val="nil"/>
            </w:tcBorders>
            <w:noWrap w:val="0"/>
            <w:vAlign w:val="center"/>
          </w:tcPr>
          <w:p w14:paraId="6324D00E">
            <w:pPr>
              <w:spacing w:beforeLines="0" w:afterLines="0"/>
              <w:rPr>
                <w:rFonts w:hint="eastAsia" w:ascii="宋体" w:hAnsi="宋体" w:eastAsia="宋体"/>
                <w:color w:val="000000"/>
                <w:sz w:val="22"/>
              </w:rPr>
            </w:pPr>
          </w:p>
        </w:tc>
      </w:tr>
      <w:tr w14:paraId="2FC1B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469" w:type="dxa"/>
          <w:trHeight w:val="435" w:hRule="atLeast"/>
        </w:trPr>
        <w:tc>
          <w:tcPr>
            <w:tcW w:w="1161"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0BA3D9A">
            <w:pPr>
              <w:spacing w:beforeLines="0" w:afterLines="0"/>
              <w:jc w:val="center"/>
              <w:rPr>
                <w:rFonts w:hint="eastAsia" w:ascii="宋体" w:hAnsi="宋体" w:eastAsia="宋体"/>
                <w:color w:val="333333"/>
                <w:sz w:val="20"/>
              </w:rPr>
            </w:pPr>
          </w:p>
        </w:tc>
        <w:tc>
          <w:tcPr>
            <w:tcW w:w="1161" w:type="dxa"/>
            <w:gridSpan w:val="2"/>
            <w:tcBorders>
              <w:top w:val="single" w:color="000000" w:sz="4" w:space="0"/>
              <w:left w:val="single" w:color="000000" w:sz="4" w:space="0"/>
              <w:bottom w:val="single" w:color="000000" w:sz="4" w:space="0"/>
              <w:right w:val="nil"/>
              <w:tl2br w:val="nil"/>
              <w:tr2bl w:val="nil"/>
            </w:tcBorders>
            <w:shd w:val="clear" w:color="auto" w:fill="FFFFFF"/>
            <w:noWrap w:val="0"/>
            <w:vAlign w:val="center"/>
          </w:tcPr>
          <w:p w14:paraId="344B6760">
            <w:pPr>
              <w:widowControl/>
              <w:spacing w:beforeLines="0" w:afterLines="0"/>
              <w:jc w:val="center"/>
              <w:textAlignment w:val="center"/>
              <w:rPr>
                <w:rFonts w:hint="eastAsia" w:ascii="宋体" w:hAnsi="宋体" w:eastAsia="宋体"/>
                <w:color w:val="333333"/>
                <w:sz w:val="20"/>
              </w:rPr>
            </w:pPr>
            <w:r>
              <w:rPr>
                <w:rFonts w:hint="eastAsia" w:ascii="宋体" w:hAnsi="宋体" w:eastAsia="宋体"/>
                <w:color w:val="333333"/>
                <w:sz w:val="20"/>
                <w:lang w:val="en-US" w:eastAsia="zh-CN"/>
              </w:rPr>
              <w:t>社会效益指标</w:t>
            </w:r>
          </w:p>
        </w:tc>
        <w:tc>
          <w:tcPr>
            <w:tcW w:w="1622"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BBAEB85">
            <w:pPr>
              <w:spacing w:beforeLines="0" w:afterLines="0"/>
              <w:jc w:val="center"/>
              <w:rPr>
                <w:rFonts w:hint="eastAsia" w:ascii="宋体" w:hAnsi="宋体" w:eastAsia="宋体"/>
                <w:color w:val="333333"/>
                <w:sz w:val="20"/>
              </w:rPr>
            </w:pPr>
          </w:p>
        </w:tc>
        <w:tc>
          <w:tcPr>
            <w:tcW w:w="1191"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7A8C134">
            <w:pPr>
              <w:spacing w:beforeLines="0" w:afterLines="0"/>
              <w:jc w:val="center"/>
              <w:rPr>
                <w:rFonts w:hint="eastAsia" w:ascii="宋体" w:hAnsi="宋体" w:eastAsia="宋体"/>
                <w:color w:val="333333"/>
                <w:sz w:val="20"/>
              </w:rPr>
            </w:pPr>
          </w:p>
        </w:tc>
        <w:tc>
          <w:tcPr>
            <w:tcW w:w="2094"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5BBB40A">
            <w:pPr>
              <w:spacing w:beforeLines="0" w:afterLines="0"/>
              <w:jc w:val="center"/>
              <w:rPr>
                <w:rFonts w:hint="eastAsia" w:ascii="宋体" w:hAnsi="宋体" w:eastAsia="宋体"/>
                <w:color w:val="333333"/>
                <w:sz w:val="20"/>
              </w:rPr>
            </w:pPr>
          </w:p>
        </w:tc>
        <w:tc>
          <w:tcPr>
            <w:tcW w:w="43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8DA6050">
            <w:pPr>
              <w:spacing w:beforeLines="0" w:afterLines="0"/>
              <w:jc w:val="center"/>
              <w:rPr>
                <w:rFonts w:hint="eastAsia" w:ascii="宋体" w:hAnsi="宋体" w:eastAsia="宋体"/>
                <w:color w:val="333333"/>
                <w:sz w:val="20"/>
              </w:rPr>
            </w:pPr>
          </w:p>
        </w:tc>
        <w:tc>
          <w:tcPr>
            <w:tcW w:w="561" w:type="dxa"/>
            <w:gridSpan w:val="4"/>
            <w:tcBorders>
              <w:top w:val="nil"/>
              <w:left w:val="nil"/>
              <w:bottom w:val="nil"/>
              <w:right w:val="nil"/>
              <w:tl2br w:val="nil"/>
              <w:tr2bl w:val="nil"/>
            </w:tcBorders>
            <w:noWrap w:val="0"/>
            <w:vAlign w:val="center"/>
          </w:tcPr>
          <w:p w14:paraId="37CB2FA2">
            <w:pPr>
              <w:spacing w:beforeLines="0" w:afterLines="0"/>
              <w:rPr>
                <w:rFonts w:hint="eastAsia" w:ascii="宋体" w:hAnsi="宋体" w:eastAsia="宋体"/>
                <w:color w:val="000000"/>
                <w:sz w:val="22"/>
              </w:rPr>
            </w:pPr>
          </w:p>
        </w:tc>
        <w:tc>
          <w:tcPr>
            <w:tcW w:w="556" w:type="dxa"/>
            <w:gridSpan w:val="2"/>
            <w:tcBorders>
              <w:top w:val="nil"/>
              <w:left w:val="nil"/>
              <w:bottom w:val="nil"/>
              <w:right w:val="nil"/>
              <w:tl2br w:val="nil"/>
              <w:tr2bl w:val="nil"/>
            </w:tcBorders>
            <w:noWrap w:val="0"/>
            <w:vAlign w:val="center"/>
          </w:tcPr>
          <w:p w14:paraId="67EC43D6">
            <w:pPr>
              <w:spacing w:beforeLines="0" w:afterLines="0"/>
              <w:rPr>
                <w:rFonts w:hint="eastAsia" w:ascii="宋体" w:hAnsi="宋体" w:eastAsia="宋体"/>
                <w:color w:val="000000"/>
                <w:sz w:val="22"/>
              </w:rPr>
            </w:pPr>
          </w:p>
        </w:tc>
      </w:tr>
      <w:tr w14:paraId="33A53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469" w:type="dxa"/>
          <w:trHeight w:val="435" w:hRule="atLeast"/>
        </w:trPr>
        <w:tc>
          <w:tcPr>
            <w:tcW w:w="1161"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E254CB5">
            <w:pPr>
              <w:spacing w:beforeLines="0" w:afterLines="0"/>
              <w:jc w:val="center"/>
              <w:rPr>
                <w:rFonts w:hint="eastAsia" w:ascii="宋体" w:hAnsi="宋体" w:eastAsia="宋体"/>
                <w:color w:val="333333"/>
                <w:sz w:val="20"/>
              </w:rPr>
            </w:pPr>
          </w:p>
        </w:tc>
        <w:tc>
          <w:tcPr>
            <w:tcW w:w="1161" w:type="dxa"/>
            <w:gridSpan w:val="2"/>
            <w:tcBorders>
              <w:top w:val="single" w:color="000000" w:sz="4" w:space="0"/>
              <w:left w:val="single" w:color="000000" w:sz="4" w:space="0"/>
              <w:bottom w:val="single" w:color="000000" w:sz="4" w:space="0"/>
              <w:right w:val="nil"/>
              <w:tl2br w:val="nil"/>
              <w:tr2bl w:val="nil"/>
            </w:tcBorders>
            <w:shd w:val="clear" w:color="auto" w:fill="FFFFFF"/>
            <w:noWrap w:val="0"/>
            <w:vAlign w:val="center"/>
          </w:tcPr>
          <w:p w14:paraId="5C9A0D50">
            <w:pPr>
              <w:widowControl/>
              <w:spacing w:beforeLines="0" w:afterLines="0"/>
              <w:jc w:val="center"/>
              <w:textAlignment w:val="center"/>
              <w:rPr>
                <w:rFonts w:hint="eastAsia" w:ascii="宋体" w:hAnsi="宋体" w:eastAsia="宋体"/>
                <w:color w:val="333333"/>
                <w:sz w:val="20"/>
              </w:rPr>
            </w:pPr>
            <w:r>
              <w:rPr>
                <w:rFonts w:hint="eastAsia" w:ascii="宋体" w:hAnsi="宋体" w:eastAsia="宋体"/>
                <w:color w:val="333333"/>
                <w:sz w:val="20"/>
                <w:lang w:val="en-US" w:eastAsia="zh-CN"/>
              </w:rPr>
              <w:t>生态效益指标</w:t>
            </w:r>
          </w:p>
        </w:tc>
        <w:tc>
          <w:tcPr>
            <w:tcW w:w="1622"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B6E4BE7">
            <w:pPr>
              <w:spacing w:beforeLines="0" w:afterLines="0"/>
              <w:jc w:val="center"/>
              <w:rPr>
                <w:rFonts w:hint="eastAsia" w:ascii="宋体" w:hAnsi="宋体" w:eastAsia="宋体"/>
                <w:color w:val="333333"/>
                <w:sz w:val="20"/>
              </w:rPr>
            </w:pPr>
          </w:p>
        </w:tc>
        <w:tc>
          <w:tcPr>
            <w:tcW w:w="1191"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4023A8B">
            <w:pPr>
              <w:spacing w:beforeLines="0" w:afterLines="0"/>
              <w:jc w:val="center"/>
              <w:rPr>
                <w:rFonts w:hint="eastAsia" w:ascii="宋体" w:hAnsi="宋体" w:eastAsia="宋体"/>
                <w:color w:val="333333"/>
                <w:sz w:val="20"/>
              </w:rPr>
            </w:pPr>
          </w:p>
        </w:tc>
        <w:tc>
          <w:tcPr>
            <w:tcW w:w="2094"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9253A40">
            <w:pPr>
              <w:spacing w:beforeLines="0" w:afterLines="0"/>
              <w:jc w:val="center"/>
              <w:rPr>
                <w:rFonts w:hint="eastAsia" w:ascii="宋体" w:hAnsi="宋体" w:eastAsia="宋体"/>
                <w:color w:val="333333"/>
                <w:sz w:val="20"/>
              </w:rPr>
            </w:pPr>
          </w:p>
        </w:tc>
        <w:tc>
          <w:tcPr>
            <w:tcW w:w="43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1CCDD42">
            <w:pPr>
              <w:spacing w:beforeLines="0" w:afterLines="0"/>
              <w:jc w:val="center"/>
              <w:rPr>
                <w:rFonts w:hint="eastAsia" w:ascii="宋体" w:hAnsi="宋体" w:eastAsia="宋体"/>
                <w:color w:val="333333"/>
                <w:sz w:val="20"/>
              </w:rPr>
            </w:pPr>
          </w:p>
        </w:tc>
        <w:tc>
          <w:tcPr>
            <w:tcW w:w="561" w:type="dxa"/>
            <w:gridSpan w:val="4"/>
            <w:tcBorders>
              <w:top w:val="nil"/>
              <w:left w:val="nil"/>
              <w:bottom w:val="nil"/>
              <w:right w:val="nil"/>
              <w:tl2br w:val="nil"/>
              <w:tr2bl w:val="nil"/>
            </w:tcBorders>
            <w:noWrap w:val="0"/>
            <w:vAlign w:val="center"/>
          </w:tcPr>
          <w:p w14:paraId="0412A2AB">
            <w:pPr>
              <w:spacing w:beforeLines="0" w:afterLines="0"/>
              <w:rPr>
                <w:rFonts w:hint="eastAsia" w:ascii="宋体" w:hAnsi="宋体" w:eastAsia="宋体"/>
                <w:color w:val="000000"/>
                <w:sz w:val="22"/>
              </w:rPr>
            </w:pPr>
          </w:p>
        </w:tc>
        <w:tc>
          <w:tcPr>
            <w:tcW w:w="556" w:type="dxa"/>
            <w:gridSpan w:val="2"/>
            <w:tcBorders>
              <w:top w:val="nil"/>
              <w:left w:val="nil"/>
              <w:bottom w:val="nil"/>
              <w:right w:val="nil"/>
              <w:tl2br w:val="nil"/>
              <w:tr2bl w:val="nil"/>
            </w:tcBorders>
            <w:noWrap w:val="0"/>
            <w:vAlign w:val="center"/>
          </w:tcPr>
          <w:p w14:paraId="4759B737">
            <w:pPr>
              <w:spacing w:beforeLines="0" w:afterLines="0"/>
              <w:rPr>
                <w:rFonts w:hint="eastAsia" w:ascii="宋体" w:hAnsi="宋体" w:eastAsia="宋体"/>
                <w:color w:val="000000"/>
                <w:sz w:val="22"/>
              </w:rPr>
            </w:pPr>
          </w:p>
        </w:tc>
      </w:tr>
      <w:tr w14:paraId="32FD9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469" w:type="dxa"/>
          <w:trHeight w:val="435" w:hRule="atLeast"/>
        </w:trPr>
        <w:tc>
          <w:tcPr>
            <w:tcW w:w="1161"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AFC2102">
            <w:pPr>
              <w:spacing w:beforeLines="0" w:afterLines="0"/>
              <w:jc w:val="center"/>
              <w:rPr>
                <w:rFonts w:hint="eastAsia" w:ascii="宋体" w:hAnsi="宋体" w:eastAsia="宋体"/>
                <w:color w:val="333333"/>
                <w:sz w:val="20"/>
              </w:rPr>
            </w:pPr>
          </w:p>
        </w:tc>
        <w:tc>
          <w:tcPr>
            <w:tcW w:w="1161" w:type="dxa"/>
            <w:gridSpan w:val="2"/>
            <w:tcBorders>
              <w:top w:val="single" w:color="000000" w:sz="4" w:space="0"/>
              <w:left w:val="single" w:color="000000" w:sz="4" w:space="0"/>
              <w:bottom w:val="single" w:color="000000" w:sz="4" w:space="0"/>
              <w:right w:val="nil"/>
              <w:tl2br w:val="nil"/>
              <w:tr2bl w:val="nil"/>
            </w:tcBorders>
            <w:shd w:val="clear" w:color="auto" w:fill="FFFFFF"/>
            <w:noWrap w:val="0"/>
            <w:vAlign w:val="center"/>
          </w:tcPr>
          <w:p w14:paraId="6BDA99ED">
            <w:pPr>
              <w:widowControl/>
              <w:spacing w:beforeLines="0" w:afterLines="0"/>
              <w:jc w:val="center"/>
              <w:textAlignment w:val="center"/>
              <w:rPr>
                <w:rFonts w:hint="eastAsia" w:ascii="宋体" w:hAnsi="宋体" w:eastAsia="宋体"/>
                <w:color w:val="333333"/>
                <w:sz w:val="20"/>
              </w:rPr>
            </w:pPr>
            <w:r>
              <w:rPr>
                <w:rFonts w:hint="eastAsia" w:ascii="宋体" w:hAnsi="宋体" w:eastAsia="宋体"/>
                <w:color w:val="333333"/>
                <w:sz w:val="20"/>
                <w:lang w:val="en-US" w:eastAsia="zh-CN"/>
              </w:rPr>
              <w:t>可持续影响指标</w:t>
            </w:r>
          </w:p>
        </w:tc>
        <w:tc>
          <w:tcPr>
            <w:tcW w:w="1622"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32AE962">
            <w:pPr>
              <w:spacing w:beforeLines="0" w:afterLines="0"/>
              <w:jc w:val="center"/>
              <w:rPr>
                <w:rFonts w:hint="eastAsia" w:ascii="宋体" w:hAnsi="宋体" w:eastAsia="宋体"/>
                <w:color w:val="333333"/>
                <w:sz w:val="20"/>
              </w:rPr>
            </w:pPr>
          </w:p>
        </w:tc>
        <w:tc>
          <w:tcPr>
            <w:tcW w:w="1191"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F3BC2FA">
            <w:pPr>
              <w:spacing w:beforeLines="0" w:afterLines="0"/>
              <w:jc w:val="center"/>
              <w:rPr>
                <w:rFonts w:hint="eastAsia" w:ascii="宋体" w:hAnsi="宋体" w:eastAsia="宋体"/>
                <w:color w:val="333333"/>
                <w:sz w:val="20"/>
              </w:rPr>
            </w:pPr>
          </w:p>
        </w:tc>
        <w:tc>
          <w:tcPr>
            <w:tcW w:w="2094"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8694C1F">
            <w:pPr>
              <w:spacing w:beforeLines="0" w:afterLines="0"/>
              <w:jc w:val="center"/>
              <w:rPr>
                <w:rFonts w:hint="eastAsia" w:ascii="宋体" w:hAnsi="宋体" w:eastAsia="宋体"/>
                <w:color w:val="333333"/>
                <w:sz w:val="20"/>
              </w:rPr>
            </w:pPr>
          </w:p>
        </w:tc>
        <w:tc>
          <w:tcPr>
            <w:tcW w:w="43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ED70A60">
            <w:pPr>
              <w:spacing w:beforeLines="0" w:afterLines="0"/>
              <w:jc w:val="center"/>
              <w:rPr>
                <w:rFonts w:hint="eastAsia" w:ascii="宋体" w:hAnsi="宋体" w:eastAsia="宋体"/>
                <w:color w:val="333333"/>
                <w:sz w:val="20"/>
              </w:rPr>
            </w:pPr>
          </w:p>
        </w:tc>
        <w:tc>
          <w:tcPr>
            <w:tcW w:w="561" w:type="dxa"/>
            <w:gridSpan w:val="4"/>
            <w:tcBorders>
              <w:top w:val="nil"/>
              <w:left w:val="nil"/>
              <w:bottom w:val="nil"/>
              <w:right w:val="nil"/>
              <w:tl2br w:val="nil"/>
              <w:tr2bl w:val="nil"/>
            </w:tcBorders>
            <w:noWrap w:val="0"/>
            <w:vAlign w:val="center"/>
          </w:tcPr>
          <w:p w14:paraId="43CE9739">
            <w:pPr>
              <w:spacing w:beforeLines="0" w:afterLines="0"/>
              <w:rPr>
                <w:rFonts w:hint="eastAsia" w:ascii="宋体" w:hAnsi="宋体" w:eastAsia="宋体"/>
                <w:color w:val="000000"/>
                <w:sz w:val="22"/>
              </w:rPr>
            </w:pPr>
          </w:p>
        </w:tc>
        <w:tc>
          <w:tcPr>
            <w:tcW w:w="556" w:type="dxa"/>
            <w:gridSpan w:val="2"/>
            <w:tcBorders>
              <w:top w:val="nil"/>
              <w:left w:val="nil"/>
              <w:bottom w:val="nil"/>
              <w:right w:val="nil"/>
              <w:tl2br w:val="nil"/>
              <w:tr2bl w:val="nil"/>
            </w:tcBorders>
            <w:noWrap w:val="0"/>
            <w:vAlign w:val="center"/>
          </w:tcPr>
          <w:p w14:paraId="6EE8B2DA">
            <w:pPr>
              <w:spacing w:beforeLines="0" w:afterLines="0"/>
              <w:rPr>
                <w:rFonts w:hint="eastAsia" w:ascii="宋体" w:hAnsi="宋体" w:eastAsia="宋体"/>
                <w:color w:val="000000"/>
                <w:sz w:val="22"/>
              </w:rPr>
            </w:pPr>
          </w:p>
        </w:tc>
      </w:tr>
      <w:tr w14:paraId="23DEA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469" w:type="dxa"/>
          <w:trHeight w:val="435" w:hRule="atLeast"/>
        </w:trPr>
        <w:tc>
          <w:tcPr>
            <w:tcW w:w="116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766D106">
            <w:pPr>
              <w:widowControl/>
              <w:spacing w:beforeLines="0" w:afterLines="0"/>
              <w:jc w:val="center"/>
              <w:textAlignment w:val="center"/>
              <w:rPr>
                <w:rFonts w:hint="eastAsia" w:ascii="宋体" w:hAnsi="宋体" w:eastAsia="宋体"/>
                <w:color w:val="333333"/>
                <w:sz w:val="20"/>
              </w:rPr>
            </w:pPr>
            <w:r>
              <w:rPr>
                <w:rFonts w:hint="eastAsia" w:ascii="宋体" w:hAnsi="宋体" w:eastAsia="宋体"/>
                <w:color w:val="333333"/>
                <w:sz w:val="20"/>
                <w:lang w:val="en-US" w:eastAsia="zh-CN"/>
              </w:rPr>
              <w:t>满意度指标</w:t>
            </w:r>
          </w:p>
        </w:tc>
        <w:tc>
          <w:tcPr>
            <w:tcW w:w="1161" w:type="dxa"/>
            <w:gridSpan w:val="2"/>
            <w:tcBorders>
              <w:top w:val="single" w:color="000000" w:sz="4" w:space="0"/>
              <w:left w:val="single" w:color="000000" w:sz="4" w:space="0"/>
              <w:bottom w:val="single" w:color="000000" w:sz="4" w:space="0"/>
              <w:right w:val="nil"/>
              <w:tl2br w:val="nil"/>
              <w:tr2bl w:val="nil"/>
            </w:tcBorders>
            <w:shd w:val="clear" w:color="auto" w:fill="FFFFFF"/>
            <w:noWrap w:val="0"/>
            <w:vAlign w:val="center"/>
          </w:tcPr>
          <w:p w14:paraId="34CA2E15">
            <w:pPr>
              <w:widowControl/>
              <w:spacing w:beforeLines="0" w:afterLines="0"/>
              <w:jc w:val="center"/>
              <w:textAlignment w:val="center"/>
              <w:rPr>
                <w:rFonts w:hint="eastAsia" w:ascii="宋体" w:hAnsi="宋体" w:eastAsia="宋体"/>
                <w:color w:val="333333"/>
                <w:sz w:val="20"/>
              </w:rPr>
            </w:pPr>
            <w:r>
              <w:rPr>
                <w:rFonts w:hint="eastAsia" w:ascii="宋体" w:hAnsi="宋体" w:eastAsia="宋体"/>
                <w:color w:val="333333"/>
                <w:sz w:val="20"/>
                <w:lang w:val="en-US" w:eastAsia="zh-CN"/>
              </w:rPr>
              <w:t>满意度指标</w:t>
            </w:r>
          </w:p>
        </w:tc>
        <w:tc>
          <w:tcPr>
            <w:tcW w:w="1622"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8D55080">
            <w:pPr>
              <w:widowControl/>
              <w:spacing w:beforeLines="0" w:afterLines="0"/>
              <w:jc w:val="center"/>
              <w:textAlignment w:val="center"/>
              <w:rPr>
                <w:rFonts w:hint="eastAsia" w:ascii="宋体" w:hAnsi="宋体" w:eastAsia="宋体"/>
                <w:color w:val="333333"/>
                <w:sz w:val="20"/>
              </w:rPr>
            </w:pPr>
            <w:r>
              <w:rPr>
                <w:rFonts w:hint="eastAsia" w:ascii="宋体" w:hAnsi="宋体" w:eastAsia="宋体"/>
                <w:color w:val="333333"/>
                <w:sz w:val="20"/>
                <w:lang w:val="en-US" w:eastAsia="zh-CN"/>
              </w:rPr>
              <w:t>98%以上</w:t>
            </w:r>
          </w:p>
        </w:tc>
        <w:tc>
          <w:tcPr>
            <w:tcW w:w="1191"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00"/>
            <w:noWrap w:val="0"/>
            <w:vAlign w:val="center"/>
          </w:tcPr>
          <w:p w14:paraId="29D1A365">
            <w:pPr>
              <w:widowControl/>
              <w:spacing w:beforeLines="0" w:afterLines="0"/>
              <w:jc w:val="center"/>
              <w:textAlignment w:val="center"/>
              <w:rPr>
                <w:rFonts w:hint="eastAsia" w:ascii="宋体" w:hAnsi="宋体" w:eastAsia="宋体"/>
                <w:color w:val="333333"/>
                <w:sz w:val="20"/>
              </w:rPr>
            </w:pPr>
            <w:r>
              <w:rPr>
                <w:rFonts w:hint="eastAsia" w:ascii="宋体" w:hAnsi="宋体" w:eastAsia="宋体"/>
                <w:color w:val="333333"/>
                <w:sz w:val="20"/>
                <w:lang w:val="en-US" w:eastAsia="zh-CN"/>
              </w:rPr>
              <w:t>达到</w:t>
            </w:r>
          </w:p>
        </w:tc>
        <w:tc>
          <w:tcPr>
            <w:tcW w:w="2094"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2C3B951">
            <w:pPr>
              <w:widowControl/>
              <w:spacing w:beforeLines="0" w:afterLines="0"/>
              <w:jc w:val="center"/>
              <w:textAlignment w:val="center"/>
              <w:rPr>
                <w:rFonts w:hint="eastAsia" w:ascii="宋体" w:hAnsi="宋体" w:eastAsia="宋体"/>
                <w:color w:val="333333"/>
                <w:sz w:val="20"/>
              </w:rPr>
            </w:pPr>
            <w:r>
              <w:rPr>
                <w:rFonts w:hint="eastAsia" w:ascii="宋体" w:hAnsi="宋体" w:eastAsia="宋体"/>
                <w:color w:val="333333"/>
                <w:sz w:val="20"/>
                <w:lang w:val="en-US" w:eastAsia="zh-CN"/>
              </w:rPr>
              <w:t>98%以上</w:t>
            </w:r>
          </w:p>
        </w:tc>
        <w:tc>
          <w:tcPr>
            <w:tcW w:w="43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00"/>
            <w:noWrap w:val="0"/>
            <w:vAlign w:val="center"/>
          </w:tcPr>
          <w:p w14:paraId="3C524247">
            <w:pPr>
              <w:widowControl/>
              <w:spacing w:beforeLines="0" w:afterLines="0"/>
              <w:jc w:val="center"/>
              <w:textAlignment w:val="center"/>
              <w:rPr>
                <w:rFonts w:hint="eastAsia" w:ascii="宋体" w:hAnsi="宋体" w:eastAsia="宋体"/>
                <w:color w:val="333333"/>
                <w:sz w:val="20"/>
              </w:rPr>
            </w:pPr>
            <w:r>
              <w:rPr>
                <w:rFonts w:hint="eastAsia" w:ascii="宋体" w:hAnsi="宋体" w:eastAsia="宋体"/>
                <w:color w:val="333333"/>
                <w:sz w:val="20"/>
                <w:lang w:val="en-US" w:eastAsia="zh-CN"/>
              </w:rPr>
              <w:t>100%</w:t>
            </w:r>
          </w:p>
        </w:tc>
        <w:tc>
          <w:tcPr>
            <w:tcW w:w="561" w:type="dxa"/>
            <w:gridSpan w:val="4"/>
            <w:tcBorders>
              <w:top w:val="nil"/>
              <w:left w:val="nil"/>
              <w:bottom w:val="nil"/>
              <w:right w:val="nil"/>
              <w:tl2br w:val="nil"/>
              <w:tr2bl w:val="nil"/>
            </w:tcBorders>
            <w:noWrap w:val="0"/>
            <w:vAlign w:val="center"/>
          </w:tcPr>
          <w:p w14:paraId="3EA2D05E">
            <w:pPr>
              <w:spacing w:beforeLines="0" w:afterLines="0"/>
              <w:rPr>
                <w:rFonts w:hint="eastAsia" w:ascii="宋体" w:hAnsi="宋体" w:eastAsia="宋体"/>
                <w:color w:val="000000"/>
                <w:sz w:val="22"/>
              </w:rPr>
            </w:pPr>
          </w:p>
        </w:tc>
        <w:tc>
          <w:tcPr>
            <w:tcW w:w="556" w:type="dxa"/>
            <w:gridSpan w:val="2"/>
            <w:tcBorders>
              <w:top w:val="nil"/>
              <w:left w:val="nil"/>
              <w:bottom w:val="nil"/>
              <w:right w:val="nil"/>
              <w:tl2br w:val="nil"/>
              <w:tr2bl w:val="nil"/>
            </w:tcBorders>
            <w:noWrap w:val="0"/>
            <w:vAlign w:val="center"/>
          </w:tcPr>
          <w:p w14:paraId="5115C45F">
            <w:pPr>
              <w:spacing w:beforeLines="0" w:afterLines="0"/>
              <w:rPr>
                <w:rFonts w:hint="eastAsia" w:ascii="宋体" w:hAnsi="宋体" w:eastAsia="宋体"/>
                <w:color w:val="000000"/>
                <w:sz w:val="22"/>
              </w:rPr>
            </w:pPr>
          </w:p>
        </w:tc>
      </w:tr>
      <w:tr w14:paraId="498B3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469" w:type="dxa"/>
          <w:trHeight w:val="1891" w:hRule="atLeast"/>
        </w:trPr>
        <w:tc>
          <w:tcPr>
            <w:tcW w:w="7659" w:type="dxa"/>
            <w:gridSpan w:val="11"/>
            <w:tcBorders>
              <w:top w:val="nil"/>
              <w:left w:val="nil"/>
              <w:bottom w:val="nil"/>
              <w:right w:val="nil"/>
              <w:tl2br w:val="nil"/>
              <w:tr2bl w:val="nil"/>
            </w:tcBorders>
            <w:noWrap w:val="0"/>
            <w:vAlign w:val="top"/>
          </w:tcPr>
          <w:p w14:paraId="156634F2">
            <w:pPr>
              <w:widowControl/>
              <w:spacing w:beforeLines="0" w:afterLines="0"/>
              <w:textAlignment w:val="top"/>
              <w:rPr>
                <w:rFonts w:hint="eastAsia" w:ascii="宋体" w:hAnsi="宋体" w:eastAsia="宋体"/>
                <w:color w:val="000000"/>
                <w:sz w:val="20"/>
              </w:rPr>
            </w:pPr>
            <w:r>
              <w:rPr>
                <w:rFonts w:hint="eastAsia" w:ascii="宋体" w:hAnsi="宋体" w:eastAsia="宋体"/>
                <w:color w:val="000000"/>
                <w:sz w:val="20"/>
                <w:lang w:val="en-US" w:eastAsia="zh-CN"/>
              </w:rPr>
              <w:t>说明：1.项目支出绩效评价表请参考预算管理一体化系统项目入库时填报的绩效目标表。</w:t>
            </w:r>
            <w:r>
              <w:rPr>
                <w:rFonts w:hint="eastAsia" w:ascii="宋体" w:hAnsi="宋体" w:eastAsia="宋体"/>
                <w:color w:val="000000"/>
                <w:sz w:val="20"/>
                <w:lang w:val="en-US" w:eastAsia="zh-CN"/>
              </w:rPr>
              <w:br w:type="textWrapping"/>
            </w:r>
            <w:r>
              <w:rPr>
                <w:rFonts w:hint="eastAsia" w:ascii="宋体" w:hAnsi="宋体" w:eastAsia="宋体"/>
                <w:color w:val="000000"/>
                <w:sz w:val="20"/>
                <w:lang w:val="en-US" w:eastAsia="zh-CN"/>
              </w:rPr>
              <w:t xml:space="preserve">      2.重点绩效评价项目（附件3）填报中省补助资金，不填报县级预算资金和其他资金；县级绩效评价项目（附件4和附件5）填报县级预算资金，不填报中省补助资金；其他资金是指投入同一项目的自有资金、捐赠或帮扶社会资金等。</w:t>
            </w:r>
            <w:r>
              <w:rPr>
                <w:rFonts w:hint="eastAsia" w:ascii="宋体" w:hAnsi="宋体" w:eastAsia="宋体"/>
                <w:color w:val="000000"/>
                <w:sz w:val="20"/>
                <w:lang w:val="en-US" w:eastAsia="zh-CN"/>
              </w:rPr>
              <w:br w:type="textWrapping"/>
            </w:r>
            <w:r>
              <w:rPr>
                <w:rFonts w:hint="eastAsia" w:ascii="宋体" w:hAnsi="宋体" w:eastAsia="宋体"/>
                <w:color w:val="000000"/>
                <w:sz w:val="20"/>
                <w:lang w:val="en-US" w:eastAsia="zh-CN"/>
              </w:rPr>
              <w:t xml:space="preserve">      3.全年预算数根据上级文件和预算下达为准。</w:t>
            </w:r>
            <w:r>
              <w:rPr>
                <w:rFonts w:hint="eastAsia" w:ascii="宋体" w:hAnsi="宋体" w:eastAsia="宋体"/>
                <w:color w:val="000000"/>
                <w:sz w:val="20"/>
                <w:lang w:val="en-US" w:eastAsia="zh-CN"/>
              </w:rPr>
              <w:br w:type="textWrapping"/>
            </w:r>
            <w:r>
              <w:rPr>
                <w:rFonts w:hint="eastAsia" w:ascii="宋体" w:hAnsi="宋体" w:eastAsia="宋体"/>
                <w:color w:val="000000"/>
                <w:sz w:val="20"/>
                <w:lang w:val="en-US" w:eastAsia="zh-CN"/>
              </w:rPr>
              <w:t xml:space="preserve">      4.全年执行数重点绩效评价项目2020年和2021年以决算数为准，2022年以</w:t>
            </w:r>
            <w:r>
              <w:rPr>
                <w:rFonts w:hint="eastAsia" w:ascii="宋体" w:hAnsi="宋体"/>
                <w:color w:val="000000"/>
                <w:sz w:val="20"/>
                <w:lang w:val="en-US" w:eastAsia="zh-CN"/>
              </w:rPr>
              <w:t>截至5月</w:t>
            </w:r>
            <w:r>
              <w:rPr>
                <w:rFonts w:hint="eastAsia" w:ascii="宋体" w:hAnsi="宋体" w:eastAsia="宋体"/>
                <w:color w:val="000000"/>
                <w:sz w:val="20"/>
                <w:lang w:val="en-US" w:eastAsia="zh-CN"/>
              </w:rPr>
              <w:t>31日支付数为准，县级项目以2022年决算数为准。</w:t>
            </w:r>
          </w:p>
        </w:tc>
        <w:tc>
          <w:tcPr>
            <w:tcW w:w="561" w:type="dxa"/>
            <w:gridSpan w:val="4"/>
            <w:tcBorders>
              <w:top w:val="nil"/>
              <w:left w:val="nil"/>
              <w:bottom w:val="nil"/>
              <w:right w:val="nil"/>
              <w:tl2br w:val="nil"/>
              <w:tr2bl w:val="nil"/>
            </w:tcBorders>
            <w:noWrap w:val="0"/>
            <w:vAlign w:val="center"/>
          </w:tcPr>
          <w:p w14:paraId="722F957D">
            <w:pPr>
              <w:spacing w:beforeLines="0" w:afterLines="0"/>
              <w:rPr>
                <w:rFonts w:hint="eastAsia" w:ascii="宋体" w:hAnsi="宋体" w:eastAsia="宋体"/>
                <w:color w:val="000000"/>
                <w:sz w:val="22"/>
              </w:rPr>
            </w:pPr>
          </w:p>
        </w:tc>
        <w:tc>
          <w:tcPr>
            <w:tcW w:w="556" w:type="dxa"/>
            <w:gridSpan w:val="2"/>
            <w:tcBorders>
              <w:top w:val="nil"/>
              <w:left w:val="nil"/>
              <w:bottom w:val="nil"/>
              <w:right w:val="nil"/>
              <w:tl2br w:val="nil"/>
              <w:tr2bl w:val="nil"/>
            </w:tcBorders>
            <w:noWrap w:val="0"/>
            <w:vAlign w:val="center"/>
          </w:tcPr>
          <w:p w14:paraId="36F6CD56">
            <w:pPr>
              <w:spacing w:beforeLines="0" w:afterLines="0"/>
              <w:rPr>
                <w:rFonts w:hint="eastAsia" w:ascii="宋体" w:hAnsi="宋体" w:eastAsia="宋体"/>
                <w:color w:val="000000"/>
                <w:sz w:val="22"/>
              </w:rPr>
            </w:pPr>
          </w:p>
        </w:tc>
      </w:tr>
    </w:tbl>
    <w:p w14:paraId="509AA5EA">
      <w:pPr>
        <w:ind w:firstLine="640" w:firstLineChars="200"/>
        <w:rPr>
          <w:rFonts w:eastAsia="仿宋_GB2312"/>
          <w:sz w:val="32"/>
          <w:szCs w:val="32"/>
          <w:lang w:val="zh-CN"/>
        </w:rPr>
      </w:pPr>
    </w:p>
    <w:p w14:paraId="7294483E"/>
    <w:p w14:paraId="1E1FF502"/>
    <w:p w14:paraId="0877608B">
      <w:pPr>
        <w:rPr>
          <w:rFonts w:hint="eastAsia" w:ascii="黑体" w:hAnsi="黑体" w:eastAsia="黑体"/>
          <w:sz w:val="32"/>
          <w:szCs w:val="32"/>
        </w:rPr>
      </w:pPr>
    </w:p>
    <w:p w14:paraId="28A67759">
      <w:pPr>
        <w:rPr>
          <w:rFonts w:hint="eastAsia" w:ascii="黑体" w:hAnsi="黑体" w:eastAsia="黑体"/>
          <w:sz w:val="32"/>
          <w:szCs w:val="32"/>
        </w:rPr>
      </w:pPr>
    </w:p>
    <w:p w14:paraId="354A925A">
      <w:pPr>
        <w:rPr>
          <w:rFonts w:hint="eastAsia" w:ascii="黑体" w:hAnsi="黑体" w:eastAsia="黑体"/>
          <w:sz w:val="32"/>
          <w:szCs w:val="32"/>
        </w:rPr>
      </w:pPr>
    </w:p>
    <w:p w14:paraId="54AB8143">
      <w:pPr>
        <w:rPr>
          <w:rFonts w:hint="eastAsia" w:ascii="黑体" w:hAnsi="黑体" w:eastAsia="黑体"/>
          <w:sz w:val="32"/>
          <w:szCs w:val="32"/>
        </w:rPr>
      </w:pPr>
    </w:p>
    <w:p w14:paraId="44B89060">
      <w:pPr>
        <w:rPr>
          <w:rFonts w:hint="eastAsia" w:ascii="黑体" w:hAnsi="黑体" w:eastAsia="黑体"/>
          <w:sz w:val="32"/>
          <w:szCs w:val="32"/>
        </w:rPr>
      </w:pPr>
    </w:p>
    <w:p w14:paraId="73E9490C">
      <w:pPr>
        <w:rPr>
          <w:rFonts w:ascii="黑体" w:hAnsi="黑体" w:eastAsia="黑体"/>
          <w:sz w:val="32"/>
          <w:szCs w:val="32"/>
        </w:rPr>
      </w:pPr>
      <w:r>
        <w:rPr>
          <w:rFonts w:hint="eastAsia" w:ascii="黑体" w:hAnsi="黑体" w:eastAsia="黑体"/>
          <w:sz w:val="32"/>
          <w:szCs w:val="32"/>
        </w:rPr>
        <w:t>附件2</w:t>
      </w:r>
    </w:p>
    <w:p w14:paraId="7896F4BB">
      <w:pPr>
        <w:jc w:val="center"/>
        <w:rPr>
          <w:rFonts w:ascii="方正小标宋简体" w:hAnsi="方正小标宋简体" w:eastAsia="方正小标宋简体"/>
          <w:sz w:val="44"/>
          <w:szCs w:val="44"/>
        </w:rPr>
      </w:pPr>
      <w:r>
        <w:rPr>
          <w:rFonts w:hint="eastAsia" w:ascii="方正小标宋简体" w:hAnsi="方正小标宋简体" w:eastAsia="方正小标宋简体"/>
          <w:sz w:val="44"/>
          <w:szCs w:val="44"/>
        </w:rPr>
        <w:t>专项预算项目绩效评价报告范本</w:t>
      </w:r>
    </w:p>
    <w:p w14:paraId="42594E67">
      <w:pPr>
        <w:rPr>
          <w:rFonts w:eastAsia="仿宋_GB2312"/>
          <w:sz w:val="32"/>
          <w:szCs w:val="32"/>
          <w:lang w:val="zh-CN"/>
        </w:rPr>
      </w:pPr>
    </w:p>
    <w:p w14:paraId="75D53E00">
      <w:pPr>
        <w:ind w:firstLine="640" w:firstLineChars="200"/>
        <w:rPr>
          <w:rFonts w:ascii="黑体" w:hAnsi="黑体" w:eastAsia="黑体"/>
          <w:sz w:val="32"/>
          <w:szCs w:val="32"/>
          <w:lang w:val="zh-CN"/>
        </w:rPr>
      </w:pPr>
      <w:r>
        <w:rPr>
          <w:rFonts w:hint="eastAsia" w:ascii="黑体" w:hAnsi="黑体" w:eastAsia="黑体"/>
          <w:sz w:val="32"/>
          <w:szCs w:val="32"/>
          <w:lang w:val="zh-CN"/>
        </w:rPr>
        <w:t>一、项目概况</w:t>
      </w:r>
    </w:p>
    <w:p w14:paraId="3F9C7750">
      <w:pPr>
        <w:ind w:firstLine="643" w:firstLineChars="200"/>
        <w:rPr>
          <w:rFonts w:eastAsia="仿宋_GB2312"/>
          <w:sz w:val="32"/>
          <w:szCs w:val="32"/>
          <w:lang w:val="zh-CN"/>
        </w:rPr>
      </w:pPr>
      <w:r>
        <w:rPr>
          <w:rFonts w:hint="eastAsia" w:ascii="楷体_GB2312" w:eastAsia="楷体_GB2312"/>
          <w:b/>
          <w:sz w:val="32"/>
          <w:szCs w:val="32"/>
          <w:lang w:val="zh-CN"/>
        </w:rPr>
        <w:t>（一）设立背景及基本情况。</w:t>
      </w:r>
      <w:r>
        <w:rPr>
          <w:rFonts w:hint="eastAsia" w:eastAsia="仿宋_GB2312"/>
          <w:sz w:val="32"/>
          <w:szCs w:val="32"/>
          <w:lang w:val="zh-CN"/>
        </w:rPr>
        <w:t>项目设立原因及背景，项目立项、资金申报的依据，项目主要内容。主管部门职能。</w:t>
      </w:r>
    </w:p>
    <w:p w14:paraId="6B634FA2">
      <w:pPr>
        <w:ind w:firstLine="643" w:firstLineChars="200"/>
        <w:rPr>
          <w:rFonts w:eastAsia="仿宋_GB2312"/>
          <w:sz w:val="32"/>
          <w:szCs w:val="32"/>
          <w:lang w:val="zh-CN"/>
        </w:rPr>
      </w:pPr>
      <w:r>
        <w:rPr>
          <w:rFonts w:hint="eastAsia" w:ascii="楷体_GB2312" w:eastAsia="楷体_GB2312"/>
          <w:b/>
          <w:sz w:val="32"/>
          <w:szCs w:val="32"/>
          <w:lang w:val="zh-CN"/>
        </w:rPr>
        <w:t>（二）实施目的及支持方向。</w:t>
      </w:r>
      <w:r>
        <w:rPr>
          <w:rFonts w:hint="eastAsia" w:eastAsia="仿宋_GB2312"/>
          <w:sz w:val="32"/>
          <w:szCs w:val="32"/>
          <w:lang w:val="zh-CN"/>
        </w:rPr>
        <w:t>项目资金管理办法制定情况，项目实施目的和主要工作任务，项目支持方向。</w:t>
      </w:r>
    </w:p>
    <w:p w14:paraId="437E3580">
      <w:pPr>
        <w:ind w:firstLine="643" w:firstLineChars="200"/>
        <w:rPr>
          <w:rFonts w:eastAsia="仿宋_GB2312"/>
          <w:sz w:val="32"/>
          <w:szCs w:val="32"/>
          <w:lang w:val="zh-CN"/>
        </w:rPr>
      </w:pPr>
      <w:r>
        <w:rPr>
          <w:rFonts w:hint="eastAsia" w:ascii="楷体_GB2312" w:eastAsia="楷体_GB2312"/>
          <w:b/>
          <w:sz w:val="32"/>
          <w:szCs w:val="32"/>
          <w:lang w:val="zh-CN"/>
        </w:rPr>
        <w:t>（三）预算安排及分配管理。</w:t>
      </w:r>
      <w:r>
        <w:rPr>
          <w:rFonts w:hint="eastAsia" w:eastAsia="仿宋_GB2312"/>
          <w:sz w:val="32"/>
          <w:szCs w:val="32"/>
          <w:lang w:val="zh-CN"/>
        </w:rPr>
        <w:t>项目预算安排情况，项目资金分配原则及考虑因素，项目资金分配情况。</w:t>
      </w:r>
    </w:p>
    <w:p w14:paraId="59E2EF90">
      <w:pPr>
        <w:ind w:firstLine="643" w:firstLineChars="200"/>
        <w:rPr>
          <w:rFonts w:eastAsia="仿宋_GB2312"/>
          <w:sz w:val="32"/>
          <w:szCs w:val="32"/>
          <w:lang w:val="zh-CN"/>
        </w:rPr>
      </w:pPr>
      <w:r>
        <w:rPr>
          <w:rFonts w:hint="eastAsia" w:ascii="楷体_GB2312" w:eastAsia="楷体_GB2312"/>
          <w:b/>
          <w:sz w:val="32"/>
          <w:szCs w:val="32"/>
          <w:lang w:val="zh-CN"/>
        </w:rPr>
        <w:t>（四）项目绩效目标设置。</w:t>
      </w:r>
      <w:r>
        <w:rPr>
          <w:rFonts w:hint="eastAsia" w:eastAsia="仿宋_GB2312"/>
          <w:sz w:val="32"/>
          <w:szCs w:val="32"/>
          <w:lang w:val="zh-CN"/>
        </w:rPr>
        <w:t>项目整体、区域和具体绩效目标设置情况，项目自评工作开展情况。</w:t>
      </w:r>
    </w:p>
    <w:p w14:paraId="688FDE66">
      <w:pPr>
        <w:ind w:firstLine="640" w:firstLineChars="200"/>
        <w:rPr>
          <w:rFonts w:ascii="黑体" w:hAnsi="黑体" w:eastAsia="黑体"/>
          <w:sz w:val="32"/>
          <w:szCs w:val="32"/>
          <w:lang w:val="zh-CN"/>
        </w:rPr>
      </w:pPr>
      <w:r>
        <w:rPr>
          <w:rFonts w:hint="eastAsia" w:ascii="黑体" w:hAnsi="黑体" w:eastAsia="黑体"/>
          <w:sz w:val="32"/>
          <w:szCs w:val="32"/>
          <w:lang w:val="zh-CN"/>
        </w:rPr>
        <w:t>二、评价实施</w:t>
      </w:r>
    </w:p>
    <w:p w14:paraId="21BCDF08">
      <w:pPr>
        <w:ind w:firstLine="643" w:firstLineChars="200"/>
        <w:rPr>
          <w:rFonts w:eastAsia="仿宋_GB2312"/>
          <w:sz w:val="32"/>
          <w:szCs w:val="32"/>
          <w:lang w:val="zh-CN"/>
        </w:rPr>
      </w:pPr>
      <w:r>
        <w:rPr>
          <w:rFonts w:hint="eastAsia" w:ascii="楷体_GB2312" w:eastAsia="楷体_GB2312"/>
          <w:b/>
          <w:sz w:val="32"/>
          <w:szCs w:val="32"/>
          <w:lang w:val="zh-CN"/>
        </w:rPr>
        <w:t>（一）评价目的。</w:t>
      </w:r>
      <w:r>
        <w:rPr>
          <w:rFonts w:hint="eastAsia" w:eastAsia="仿宋_GB2312"/>
          <w:sz w:val="32"/>
          <w:szCs w:val="32"/>
          <w:lang w:val="zh-CN"/>
        </w:rPr>
        <w:t>通过项目绩效自评要实现的目的。</w:t>
      </w:r>
    </w:p>
    <w:p w14:paraId="79C7D96C">
      <w:pPr>
        <w:ind w:firstLine="643" w:firstLineChars="200"/>
        <w:rPr>
          <w:rFonts w:eastAsia="仿宋_GB2312"/>
          <w:sz w:val="32"/>
          <w:szCs w:val="32"/>
          <w:lang w:val="zh-CN"/>
        </w:rPr>
      </w:pPr>
      <w:r>
        <w:rPr>
          <w:rFonts w:hint="eastAsia" w:ascii="楷体_GB2312" w:eastAsia="楷体_GB2312"/>
          <w:b/>
          <w:sz w:val="32"/>
          <w:szCs w:val="32"/>
          <w:lang w:val="zh-CN"/>
        </w:rPr>
        <w:t>（二）预设问题及评价重点。</w:t>
      </w:r>
      <w:r>
        <w:rPr>
          <w:rFonts w:hint="eastAsia" w:eastAsia="仿宋_GB2312"/>
          <w:sz w:val="32"/>
          <w:szCs w:val="32"/>
          <w:lang w:val="zh-CN"/>
        </w:rPr>
        <w:t>按照绩效评价指标体系，对资金支出使用全过程及其实施效果进行综合评价和判断。</w:t>
      </w:r>
    </w:p>
    <w:p w14:paraId="194E2986">
      <w:pPr>
        <w:ind w:firstLine="643" w:firstLineChars="200"/>
        <w:rPr>
          <w:rFonts w:eastAsia="仿宋_GB2312"/>
          <w:sz w:val="32"/>
          <w:szCs w:val="32"/>
          <w:lang w:val="zh-CN"/>
        </w:rPr>
      </w:pPr>
      <w:r>
        <w:rPr>
          <w:rFonts w:hint="eastAsia" w:ascii="楷体_GB2312" w:eastAsia="楷体_GB2312"/>
          <w:b/>
          <w:sz w:val="32"/>
          <w:szCs w:val="32"/>
          <w:lang w:val="zh-CN"/>
        </w:rPr>
        <w:t>（三）评价选点。</w:t>
      </w:r>
      <w:r>
        <w:rPr>
          <w:rFonts w:hint="eastAsia" w:eastAsia="仿宋_GB2312"/>
          <w:sz w:val="32"/>
          <w:szCs w:val="32"/>
          <w:lang w:val="zh-CN"/>
        </w:rPr>
        <w:t>项目绩效自评所抽样点位情况。</w:t>
      </w:r>
    </w:p>
    <w:p w14:paraId="517FDDE5">
      <w:pPr>
        <w:ind w:firstLine="643" w:firstLineChars="200"/>
        <w:rPr>
          <w:rFonts w:eastAsia="仿宋_GB2312"/>
          <w:sz w:val="32"/>
          <w:szCs w:val="32"/>
          <w:lang w:val="zh-CN"/>
        </w:rPr>
      </w:pPr>
      <w:r>
        <w:rPr>
          <w:rFonts w:hint="eastAsia" w:ascii="楷体_GB2312" w:eastAsia="楷体_GB2312"/>
          <w:b/>
          <w:sz w:val="32"/>
          <w:szCs w:val="32"/>
          <w:lang w:val="zh-CN"/>
        </w:rPr>
        <w:t>（四）评价方法。</w:t>
      </w:r>
      <w:r>
        <w:rPr>
          <w:rFonts w:hint="eastAsia" w:eastAsia="仿宋_GB2312"/>
          <w:sz w:val="32"/>
          <w:szCs w:val="32"/>
          <w:lang w:val="zh-CN"/>
        </w:rPr>
        <w:t>根据项目情况和评价重点，用于收集相关材料和开展具体评价的方法。包括：采用成本效益分析法、标杆管理法、案卷研究法、单位自评法、实地勘察法、问卷调查法、座谈调研法等多种方法。</w:t>
      </w:r>
    </w:p>
    <w:p w14:paraId="3017E30D">
      <w:pPr>
        <w:ind w:firstLine="643" w:firstLineChars="200"/>
        <w:rPr>
          <w:rFonts w:eastAsia="仿宋_GB2312"/>
          <w:sz w:val="32"/>
          <w:szCs w:val="32"/>
          <w:lang w:val="zh-CN"/>
        </w:rPr>
      </w:pPr>
      <w:r>
        <w:rPr>
          <w:rFonts w:hint="eastAsia" w:ascii="楷体_GB2312" w:eastAsia="楷体_GB2312"/>
          <w:b/>
          <w:sz w:val="32"/>
          <w:szCs w:val="32"/>
          <w:lang w:val="zh-CN"/>
        </w:rPr>
        <w:t>（五）评价组织。</w:t>
      </w:r>
      <w:r>
        <w:rPr>
          <w:rFonts w:hint="eastAsia" w:eastAsia="仿宋_GB2312"/>
          <w:sz w:val="32"/>
          <w:szCs w:val="32"/>
          <w:lang w:val="zh-CN"/>
        </w:rPr>
        <w:t>评价组人员构成和职责分工。</w:t>
      </w:r>
    </w:p>
    <w:p w14:paraId="6F422B4E">
      <w:pPr>
        <w:ind w:firstLine="640" w:firstLineChars="200"/>
        <w:rPr>
          <w:rFonts w:ascii="黑体" w:hAnsi="黑体" w:eastAsia="黑体"/>
          <w:sz w:val="32"/>
          <w:szCs w:val="32"/>
          <w:lang w:val="zh-CN"/>
        </w:rPr>
      </w:pPr>
      <w:r>
        <w:rPr>
          <w:rFonts w:hint="eastAsia" w:ascii="黑体" w:hAnsi="黑体" w:eastAsia="黑体"/>
          <w:sz w:val="32"/>
          <w:szCs w:val="32"/>
          <w:lang w:val="zh-CN"/>
        </w:rPr>
        <w:t>三、绩效分析</w:t>
      </w:r>
    </w:p>
    <w:p w14:paraId="25CB71BA">
      <w:pPr>
        <w:ind w:firstLine="640" w:firstLineChars="200"/>
        <w:rPr>
          <w:rFonts w:eastAsia="仿宋_GB2312"/>
          <w:sz w:val="32"/>
          <w:szCs w:val="32"/>
          <w:lang w:val="zh-CN"/>
        </w:rPr>
      </w:pPr>
      <w:r>
        <w:rPr>
          <w:rFonts w:hint="eastAsia" w:eastAsia="仿宋_GB2312"/>
          <w:sz w:val="32"/>
          <w:szCs w:val="32"/>
          <w:lang w:val="zh-CN"/>
        </w:rPr>
        <w:t>根据项目预算绩效评价指标体系“通用指标”“专用指标”“个性指标”涉及二、三级指标进行逐项绩效分析并评分。</w:t>
      </w:r>
    </w:p>
    <w:p w14:paraId="4D4F1BA2">
      <w:pPr>
        <w:ind w:firstLine="643" w:firstLineChars="200"/>
        <w:rPr>
          <w:rFonts w:ascii="楷体_GB2312" w:eastAsia="楷体_GB2312"/>
          <w:b/>
          <w:sz w:val="32"/>
          <w:szCs w:val="32"/>
          <w:lang w:val="zh-CN"/>
        </w:rPr>
      </w:pPr>
      <w:r>
        <w:rPr>
          <w:rFonts w:hint="eastAsia" w:ascii="楷体_GB2312" w:eastAsia="楷体_GB2312"/>
          <w:b/>
          <w:sz w:val="32"/>
          <w:szCs w:val="32"/>
          <w:lang w:val="zh-CN"/>
        </w:rPr>
        <w:t>（一）通用指标绩效分析。</w:t>
      </w:r>
    </w:p>
    <w:p w14:paraId="0331B38F">
      <w:pPr>
        <w:ind w:firstLine="640" w:firstLineChars="200"/>
        <w:rPr>
          <w:rFonts w:eastAsia="仿宋_GB2312"/>
          <w:sz w:val="32"/>
          <w:szCs w:val="32"/>
          <w:lang w:val="zh-CN"/>
        </w:rPr>
      </w:pPr>
      <w:r>
        <w:rPr>
          <w:rFonts w:hint="eastAsia" w:ascii="楷体_GB2312" w:eastAsia="楷体_GB2312"/>
          <w:sz w:val="32"/>
          <w:szCs w:val="32"/>
          <w:lang w:val="zh-CN"/>
        </w:rPr>
        <w:t>1.项目决策。</w:t>
      </w:r>
      <w:r>
        <w:rPr>
          <w:rFonts w:hint="eastAsia" w:eastAsia="仿宋_GB2312"/>
          <w:sz w:val="32"/>
          <w:szCs w:val="32"/>
          <w:lang w:val="zh-CN"/>
        </w:rPr>
        <w:t>围绕决策程序、规划论证、资金投向进行绩效分析。</w:t>
      </w:r>
    </w:p>
    <w:p w14:paraId="767F6FB9">
      <w:pPr>
        <w:ind w:firstLine="640" w:firstLineChars="200"/>
        <w:rPr>
          <w:rFonts w:eastAsia="仿宋_GB2312"/>
          <w:sz w:val="32"/>
          <w:szCs w:val="32"/>
          <w:lang w:val="zh-CN"/>
        </w:rPr>
      </w:pPr>
      <w:r>
        <w:rPr>
          <w:rFonts w:hint="eastAsia" w:ascii="楷体_GB2312" w:eastAsia="楷体_GB2312"/>
          <w:sz w:val="32"/>
          <w:szCs w:val="32"/>
          <w:lang w:val="zh-CN"/>
        </w:rPr>
        <w:t>2.项目管理。</w:t>
      </w:r>
      <w:r>
        <w:rPr>
          <w:rFonts w:hint="eastAsia" w:eastAsia="仿宋_GB2312"/>
          <w:sz w:val="32"/>
          <w:szCs w:val="32"/>
          <w:lang w:val="zh-CN"/>
        </w:rPr>
        <w:t>围绕制度办法、分配管理、绩效监管进行绩效分析。</w:t>
      </w:r>
    </w:p>
    <w:p w14:paraId="37F4C454">
      <w:pPr>
        <w:ind w:firstLine="640" w:firstLineChars="200"/>
        <w:rPr>
          <w:rFonts w:eastAsia="仿宋_GB2312"/>
          <w:sz w:val="32"/>
          <w:szCs w:val="32"/>
          <w:lang w:val="zh-CN"/>
        </w:rPr>
      </w:pPr>
      <w:r>
        <w:rPr>
          <w:rFonts w:hint="eastAsia" w:ascii="楷体_GB2312" w:eastAsia="楷体_GB2312"/>
          <w:sz w:val="32"/>
          <w:szCs w:val="32"/>
          <w:lang w:val="zh-CN"/>
        </w:rPr>
        <w:t>3.项目实施。</w:t>
      </w:r>
      <w:r>
        <w:rPr>
          <w:rFonts w:hint="eastAsia" w:eastAsia="仿宋_GB2312"/>
          <w:sz w:val="32"/>
          <w:szCs w:val="32"/>
          <w:lang w:val="zh-CN"/>
        </w:rPr>
        <w:t>围绕预算执行、资金使用进行绩效分析。</w:t>
      </w:r>
    </w:p>
    <w:p w14:paraId="3D8061D1">
      <w:pPr>
        <w:ind w:firstLine="640" w:firstLineChars="200"/>
        <w:rPr>
          <w:rFonts w:eastAsia="仿宋_GB2312"/>
          <w:sz w:val="32"/>
          <w:szCs w:val="32"/>
          <w:lang w:val="zh-CN"/>
        </w:rPr>
      </w:pPr>
      <w:r>
        <w:rPr>
          <w:rFonts w:hint="eastAsia" w:ascii="楷体_GB2312" w:eastAsia="楷体_GB2312"/>
          <w:sz w:val="32"/>
          <w:szCs w:val="32"/>
          <w:lang w:val="zh-CN"/>
        </w:rPr>
        <w:t>4.项目结果。</w:t>
      </w:r>
      <w:r>
        <w:rPr>
          <w:rFonts w:hint="eastAsia" w:eastAsia="仿宋_GB2312"/>
          <w:sz w:val="32"/>
          <w:szCs w:val="32"/>
          <w:lang w:val="zh-CN"/>
        </w:rPr>
        <w:t>围绕目标完成、完成时效进行绩效分析。</w:t>
      </w:r>
    </w:p>
    <w:p w14:paraId="4A9F66BA">
      <w:pPr>
        <w:ind w:firstLine="643" w:firstLineChars="200"/>
        <w:rPr>
          <w:rFonts w:eastAsia="仿宋_GB2312"/>
          <w:sz w:val="32"/>
          <w:szCs w:val="32"/>
          <w:lang w:val="zh-CN"/>
        </w:rPr>
      </w:pPr>
      <w:r>
        <w:rPr>
          <w:rFonts w:hint="eastAsia" w:ascii="楷体_GB2312" w:eastAsia="楷体_GB2312"/>
          <w:b/>
          <w:sz w:val="32"/>
          <w:szCs w:val="32"/>
          <w:lang w:val="zh-CN"/>
        </w:rPr>
        <w:t>（二）专用指标绩效分析。</w:t>
      </w:r>
      <w:r>
        <w:rPr>
          <w:rFonts w:hint="eastAsia" w:eastAsia="仿宋_GB2312"/>
          <w:sz w:val="32"/>
          <w:szCs w:val="32"/>
          <w:lang w:val="zh-CN"/>
        </w:rPr>
        <w:t>根据专项预算项目资金支持对象选择所属指标进行绩效分析。支持对象包括产业发展、民生保障、基础设施、行政运转等方面。</w:t>
      </w:r>
    </w:p>
    <w:p w14:paraId="0443D971">
      <w:pPr>
        <w:ind w:firstLine="640" w:firstLineChars="200"/>
        <w:rPr>
          <w:rFonts w:eastAsia="仿宋_GB2312"/>
          <w:sz w:val="32"/>
          <w:szCs w:val="32"/>
          <w:lang w:val="zh-CN"/>
        </w:rPr>
      </w:pPr>
      <w:r>
        <w:rPr>
          <w:rFonts w:hint="eastAsia" w:ascii="楷体_GB2312" w:eastAsia="楷体_GB2312"/>
          <w:sz w:val="32"/>
          <w:szCs w:val="32"/>
          <w:lang w:val="zh-CN"/>
        </w:rPr>
        <w:t>1.产业发展。</w:t>
      </w:r>
      <w:r>
        <w:rPr>
          <w:rFonts w:hint="eastAsia" w:eastAsia="仿宋_GB2312"/>
          <w:sz w:val="32"/>
          <w:szCs w:val="32"/>
          <w:lang w:val="zh-CN"/>
        </w:rPr>
        <w:t>围绕符合性、成长性、经济性进行绩效分析。</w:t>
      </w:r>
    </w:p>
    <w:p w14:paraId="0FBB0803">
      <w:pPr>
        <w:ind w:firstLine="640" w:firstLineChars="200"/>
        <w:rPr>
          <w:rFonts w:eastAsia="仿宋_GB2312"/>
          <w:sz w:val="32"/>
          <w:szCs w:val="32"/>
          <w:lang w:val="zh-CN"/>
        </w:rPr>
      </w:pPr>
      <w:r>
        <w:rPr>
          <w:rFonts w:hint="eastAsia" w:ascii="楷体_GB2312" w:eastAsia="楷体_GB2312"/>
          <w:sz w:val="32"/>
          <w:szCs w:val="32"/>
          <w:lang w:val="zh-CN"/>
        </w:rPr>
        <w:t>2.民生保障。</w:t>
      </w:r>
      <w:r>
        <w:rPr>
          <w:rFonts w:hint="eastAsia" w:eastAsia="仿宋_GB2312"/>
          <w:sz w:val="32"/>
          <w:szCs w:val="32"/>
          <w:lang w:val="zh-CN"/>
        </w:rPr>
        <w:t>围绕区域均衡性、对象精准性、标准合理性、群众满意度进行绩效分析。</w:t>
      </w:r>
    </w:p>
    <w:p w14:paraId="53257D42">
      <w:pPr>
        <w:ind w:firstLine="640" w:firstLineChars="200"/>
        <w:rPr>
          <w:rFonts w:eastAsia="仿宋_GB2312"/>
          <w:sz w:val="32"/>
          <w:szCs w:val="32"/>
          <w:lang w:val="zh-CN"/>
        </w:rPr>
      </w:pPr>
      <w:r>
        <w:rPr>
          <w:rFonts w:hint="eastAsia" w:ascii="楷体_GB2312" w:eastAsia="楷体_GB2312"/>
          <w:sz w:val="32"/>
          <w:szCs w:val="32"/>
          <w:lang w:val="zh-CN"/>
        </w:rPr>
        <w:t>3.基础设施。</w:t>
      </w:r>
      <w:r>
        <w:rPr>
          <w:rFonts w:hint="eastAsia" w:eastAsia="仿宋_GB2312"/>
          <w:sz w:val="32"/>
          <w:szCs w:val="32"/>
          <w:lang w:val="zh-CN"/>
        </w:rPr>
        <w:t>在建项目围绕工程进度和资金拨付进行绩效分析；建成项目围绕项目验收、功能实现、后续管护进行绩效分析。</w:t>
      </w:r>
    </w:p>
    <w:p w14:paraId="6D3FF23D">
      <w:pPr>
        <w:ind w:firstLine="640" w:firstLineChars="200"/>
        <w:rPr>
          <w:rFonts w:eastAsia="仿宋_GB2312"/>
          <w:sz w:val="32"/>
          <w:szCs w:val="32"/>
          <w:lang w:val="zh-CN"/>
        </w:rPr>
      </w:pPr>
      <w:r>
        <w:rPr>
          <w:rFonts w:hint="eastAsia" w:ascii="楷体_GB2312" w:eastAsia="楷体_GB2312"/>
          <w:sz w:val="32"/>
          <w:szCs w:val="32"/>
          <w:lang w:val="zh-CN"/>
        </w:rPr>
        <w:t>4.行政运转。</w:t>
      </w:r>
      <w:r>
        <w:rPr>
          <w:rFonts w:hint="eastAsia" w:eastAsia="仿宋_GB2312"/>
          <w:sz w:val="32"/>
          <w:szCs w:val="32"/>
          <w:lang w:val="zh-CN"/>
        </w:rPr>
        <w:t>围绕用途合规性、程序合规性、标准合规性进行绩效分析。</w:t>
      </w:r>
    </w:p>
    <w:p w14:paraId="76C5C860">
      <w:pPr>
        <w:ind w:firstLine="643" w:firstLineChars="200"/>
        <w:rPr>
          <w:rFonts w:eastAsia="仿宋_GB2312"/>
          <w:sz w:val="32"/>
          <w:szCs w:val="32"/>
          <w:lang w:val="zh-CN"/>
        </w:rPr>
      </w:pPr>
      <w:r>
        <w:rPr>
          <w:rFonts w:hint="eastAsia" w:ascii="楷体_GB2312" w:eastAsia="楷体_GB2312"/>
          <w:b/>
          <w:sz w:val="32"/>
          <w:szCs w:val="32"/>
          <w:lang w:val="zh-CN"/>
        </w:rPr>
        <w:t>（三）个性指标绩效分析。</w:t>
      </w:r>
      <w:r>
        <w:rPr>
          <w:rFonts w:hint="eastAsia" w:eastAsia="仿宋_GB2312"/>
          <w:sz w:val="32"/>
          <w:szCs w:val="32"/>
          <w:lang w:val="zh-CN"/>
        </w:rPr>
        <w:t>根据项目个性自行设定部分指标，反映该项指标执行完成情况。</w:t>
      </w:r>
    </w:p>
    <w:p w14:paraId="6C1F076E">
      <w:pPr>
        <w:ind w:firstLine="640" w:firstLineChars="200"/>
        <w:rPr>
          <w:rFonts w:ascii="黑体" w:hAnsi="黑体" w:eastAsia="黑体"/>
          <w:sz w:val="32"/>
          <w:szCs w:val="32"/>
          <w:lang w:val="zh-CN"/>
        </w:rPr>
      </w:pPr>
      <w:r>
        <w:rPr>
          <w:rFonts w:hint="eastAsia" w:ascii="黑体" w:hAnsi="黑体" w:eastAsia="黑体"/>
          <w:sz w:val="32"/>
          <w:szCs w:val="32"/>
          <w:lang w:val="zh-CN"/>
        </w:rPr>
        <w:t>四、评价结论</w:t>
      </w:r>
    </w:p>
    <w:p w14:paraId="23A4F86A">
      <w:pPr>
        <w:ind w:firstLine="640" w:firstLineChars="200"/>
        <w:rPr>
          <w:rFonts w:eastAsia="仿宋_GB2312"/>
          <w:sz w:val="32"/>
          <w:szCs w:val="32"/>
          <w:lang w:val="zh-CN"/>
        </w:rPr>
      </w:pPr>
      <w:r>
        <w:rPr>
          <w:rFonts w:hint="eastAsia" w:eastAsia="仿宋_GB2312"/>
          <w:sz w:val="32"/>
          <w:szCs w:val="32"/>
          <w:lang w:val="zh-CN"/>
        </w:rPr>
        <w:t>简要阐述专项预算项目绩效自评总体结论，包含评价总分、项目实施情况。</w:t>
      </w:r>
    </w:p>
    <w:p w14:paraId="70EEC129">
      <w:pPr>
        <w:ind w:firstLine="640" w:firstLineChars="200"/>
        <w:rPr>
          <w:rFonts w:ascii="黑体" w:hAnsi="黑体" w:eastAsia="黑体"/>
          <w:sz w:val="32"/>
          <w:szCs w:val="32"/>
          <w:lang w:val="zh-CN"/>
        </w:rPr>
      </w:pPr>
      <w:r>
        <w:rPr>
          <w:rFonts w:hint="eastAsia" w:ascii="黑体" w:hAnsi="黑体" w:eastAsia="黑体"/>
          <w:sz w:val="32"/>
          <w:szCs w:val="32"/>
          <w:lang w:val="zh-CN"/>
        </w:rPr>
        <w:t>五、存在主要问题</w:t>
      </w:r>
    </w:p>
    <w:p w14:paraId="0C07EE96">
      <w:pPr>
        <w:ind w:firstLine="640" w:firstLineChars="200"/>
        <w:rPr>
          <w:rFonts w:eastAsia="仿宋_GB2312"/>
          <w:sz w:val="32"/>
          <w:szCs w:val="32"/>
          <w:lang w:val="zh-CN"/>
        </w:rPr>
      </w:pPr>
      <w:r>
        <w:rPr>
          <w:rFonts w:hint="eastAsia" w:eastAsia="仿宋_GB2312"/>
          <w:sz w:val="32"/>
          <w:szCs w:val="32"/>
          <w:lang w:val="zh-CN"/>
        </w:rPr>
        <w:t>简要阐述专项预算项目绩效自评发现的主要问题。</w:t>
      </w:r>
    </w:p>
    <w:p w14:paraId="50862F1F">
      <w:pPr>
        <w:ind w:firstLine="640" w:firstLineChars="200"/>
        <w:rPr>
          <w:rFonts w:ascii="黑体" w:hAnsi="黑体" w:eastAsia="黑体"/>
          <w:sz w:val="32"/>
          <w:szCs w:val="32"/>
          <w:lang w:val="zh-CN"/>
        </w:rPr>
      </w:pPr>
      <w:r>
        <w:rPr>
          <w:rFonts w:hint="eastAsia" w:ascii="黑体" w:hAnsi="黑体" w:eastAsia="黑体"/>
          <w:sz w:val="32"/>
          <w:szCs w:val="32"/>
          <w:lang w:val="zh-CN"/>
        </w:rPr>
        <w:t>六、改进建议</w:t>
      </w:r>
    </w:p>
    <w:p w14:paraId="7992682E">
      <w:pPr>
        <w:ind w:firstLine="640" w:firstLineChars="200"/>
        <w:rPr>
          <w:rFonts w:eastAsia="仿宋_GB2312"/>
          <w:sz w:val="32"/>
          <w:szCs w:val="32"/>
          <w:lang w:val="zh-CN"/>
        </w:rPr>
      </w:pPr>
      <w:r>
        <w:rPr>
          <w:rFonts w:hint="eastAsia" w:eastAsia="仿宋_GB2312"/>
          <w:sz w:val="32"/>
          <w:szCs w:val="32"/>
          <w:lang w:val="zh-CN"/>
        </w:rPr>
        <w:t>简要阐述专项预算项目在预算安排、完善政策、改进管理等方面的措施建议，其中必须对应评价发现的主要问题一一提出措施建议。</w:t>
      </w:r>
    </w:p>
    <w:p w14:paraId="61A61DD8">
      <w:pPr>
        <w:pStyle w:val="3"/>
        <w:keepNext/>
        <w:keepLines/>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rPr>
      </w:pPr>
    </w:p>
    <w:p w14:paraId="546E0A83">
      <w:pPr>
        <w:pStyle w:val="3"/>
        <w:keepNext/>
        <w:keepLines/>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rPr>
      </w:pPr>
    </w:p>
    <w:p w14:paraId="51856D5A">
      <w:pPr>
        <w:pStyle w:val="3"/>
        <w:keepNext/>
        <w:keepLines/>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rPr>
      </w:pPr>
    </w:p>
    <w:p w14:paraId="549F20DA">
      <w:pPr>
        <w:pStyle w:val="3"/>
        <w:keepNext/>
        <w:keepLines/>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rPr>
      </w:pPr>
    </w:p>
    <w:p w14:paraId="309BFE9B">
      <w:pPr>
        <w:pStyle w:val="3"/>
        <w:keepNext/>
        <w:keepLines/>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rPr>
      </w:pPr>
    </w:p>
    <w:p w14:paraId="39533EA5">
      <w:pPr>
        <w:pStyle w:val="3"/>
        <w:keepNext/>
        <w:keepLines/>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rPr>
      </w:pPr>
    </w:p>
    <w:p w14:paraId="2A513FE5">
      <w:pPr>
        <w:pStyle w:val="3"/>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rPr>
      </w:pPr>
    </w:p>
    <w:p w14:paraId="60B99E81">
      <w:pPr>
        <w:rPr>
          <w:rFonts w:hint="eastAsia" w:ascii="黑体" w:hAnsi="黑体" w:eastAsia="黑体"/>
        </w:rPr>
      </w:pPr>
    </w:p>
    <w:p w14:paraId="2B20BE31">
      <w:pPr>
        <w:pStyle w:val="2"/>
        <w:rPr>
          <w:rFonts w:hint="eastAsia"/>
        </w:rPr>
      </w:pPr>
    </w:p>
    <w:p w14:paraId="111EA2B0">
      <w:pPr>
        <w:pStyle w:val="3"/>
        <w:jc w:val="center"/>
        <w:rPr>
          <w:rFonts w:ascii="黑体" w:hAnsi="黑体" w:eastAsia="黑体"/>
        </w:rPr>
      </w:pPr>
      <w:r>
        <w:rPr>
          <w:rFonts w:hint="eastAsia" w:ascii="黑体" w:hAnsi="黑体" w:eastAsia="黑体"/>
        </w:rPr>
        <w:t>第五部分 附表</w:t>
      </w:r>
    </w:p>
    <w:p w14:paraId="5A964D3B">
      <w:pPr>
        <w:rPr>
          <w:rFonts w:ascii="仿宋" w:hAnsi="仿宋" w:eastAsia="仿宋"/>
          <w:sz w:val="32"/>
          <w:szCs w:val="32"/>
        </w:rPr>
      </w:pPr>
      <w:r>
        <w:rPr>
          <w:rFonts w:hint="eastAsia" w:ascii="仿宋" w:hAnsi="仿宋" w:eastAsia="仿宋"/>
          <w:sz w:val="32"/>
          <w:szCs w:val="32"/>
        </w:rPr>
        <w:t>一、收入支出决算总表</w:t>
      </w:r>
    </w:p>
    <w:p w14:paraId="6EED166B">
      <w:pPr>
        <w:rPr>
          <w:rFonts w:ascii="仿宋" w:hAnsi="仿宋" w:eastAsia="仿宋"/>
          <w:sz w:val="32"/>
          <w:szCs w:val="32"/>
        </w:rPr>
      </w:pPr>
      <w:r>
        <w:rPr>
          <w:rFonts w:hint="eastAsia" w:ascii="仿宋" w:hAnsi="仿宋" w:eastAsia="仿宋"/>
          <w:sz w:val="32"/>
          <w:szCs w:val="32"/>
        </w:rPr>
        <w:t>二、收入决算表</w:t>
      </w:r>
    </w:p>
    <w:p w14:paraId="4EC34E69">
      <w:pPr>
        <w:rPr>
          <w:rFonts w:ascii="仿宋" w:hAnsi="仿宋" w:eastAsia="仿宋"/>
          <w:sz w:val="32"/>
          <w:szCs w:val="32"/>
        </w:rPr>
      </w:pPr>
      <w:r>
        <w:rPr>
          <w:rFonts w:hint="eastAsia" w:ascii="仿宋" w:hAnsi="仿宋" w:eastAsia="仿宋"/>
          <w:sz w:val="32"/>
          <w:szCs w:val="32"/>
        </w:rPr>
        <w:t>三、支出决算表</w:t>
      </w:r>
    </w:p>
    <w:p w14:paraId="5D762E54">
      <w:pPr>
        <w:rPr>
          <w:rFonts w:ascii="仿宋" w:hAnsi="仿宋" w:eastAsia="仿宋"/>
          <w:sz w:val="32"/>
          <w:szCs w:val="32"/>
        </w:rPr>
      </w:pPr>
      <w:r>
        <w:rPr>
          <w:rFonts w:hint="eastAsia" w:ascii="仿宋" w:hAnsi="仿宋" w:eastAsia="仿宋"/>
          <w:sz w:val="32"/>
          <w:szCs w:val="32"/>
        </w:rPr>
        <w:t>四、财政拨款收入支出决算总表</w:t>
      </w:r>
    </w:p>
    <w:p w14:paraId="5A52B523">
      <w:pPr>
        <w:rPr>
          <w:rFonts w:ascii="仿宋" w:hAnsi="仿宋" w:eastAsia="仿宋"/>
          <w:sz w:val="32"/>
          <w:szCs w:val="32"/>
        </w:rPr>
      </w:pPr>
      <w:r>
        <w:rPr>
          <w:rFonts w:hint="eastAsia" w:ascii="仿宋" w:hAnsi="仿宋" w:eastAsia="仿宋"/>
          <w:sz w:val="32"/>
          <w:szCs w:val="32"/>
        </w:rPr>
        <w:t>五、财政拨款支出决算明细表</w:t>
      </w:r>
    </w:p>
    <w:p w14:paraId="22EF7779">
      <w:pPr>
        <w:rPr>
          <w:rFonts w:ascii="仿宋" w:hAnsi="仿宋" w:eastAsia="仿宋"/>
          <w:sz w:val="32"/>
          <w:szCs w:val="32"/>
        </w:rPr>
      </w:pPr>
      <w:r>
        <w:rPr>
          <w:rFonts w:hint="eastAsia" w:ascii="仿宋" w:hAnsi="仿宋" w:eastAsia="仿宋"/>
          <w:sz w:val="32"/>
          <w:szCs w:val="32"/>
        </w:rPr>
        <w:t>六、一般公共预算财政拨款支出决算表</w:t>
      </w:r>
    </w:p>
    <w:p w14:paraId="4E90F336">
      <w:pPr>
        <w:rPr>
          <w:rFonts w:ascii="仿宋" w:hAnsi="仿宋" w:eastAsia="仿宋"/>
          <w:sz w:val="32"/>
          <w:szCs w:val="32"/>
        </w:rPr>
      </w:pPr>
      <w:r>
        <w:rPr>
          <w:rFonts w:hint="eastAsia" w:ascii="仿宋" w:hAnsi="仿宋" w:eastAsia="仿宋"/>
          <w:sz w:val="32"/>
          <w:szCs w:val="32"/>
        </w:rPr>
        <w:t>七、一般公共预算财政拨款支出决算明细表</w:t>
      </w:r>
    </w:p>
    <w:p w14:paraId="23AA8F4F">
      <w:pPr>
        <w:rPr>
          <w:rFonts w:ascii="仿宋" w:hAnsi="仿宋" w:eastAsia="仿宋"/>
          <w:sz w:val="32"/>
          <w:szCs w:val="32"/>
        </w:rPr>
      </w:pPr>
      <w:r>
        <w:rPr>
          <w:rFonts w:hint="eastAsia" w:ascii="仿宋" w:hAnsi="仿宋" w:eastAsia="仿宋"/>
          <w:sz w:val="32"/>
          <w:szCs w:val="32"/>
        </w:rPr>
        <w:t>八、一般公共预算财政拨款基本支出决算表</w:t>
      </w:r>
    </w:p>
    <w:p w14:paraId="672C9011">
      <w:pPr>
        <w:rPr>
          <w:rFonts w:ascii="仿宋" w:hAnsi="仿宋" w:eastAsia="仿宋"/>
          <w:sz w:val="32"/>
          <w:szCs w:val="32"/>
        </w:rPr>
      </w:pPr>
      <w:r>
        <w:rPr>
          <w:rFonts w:hint="eastAsia" w:ascii="仿宋" w:hAnsi="仿宋" w:eastAsia="仿宋"/>
          <w:sz w:val="32"/>
          <w:szCs w:val="32"/>
        </w:rPr>
        <w:t>九、一般公共预算财政拨款项目支出决算表</w:t>
      </w:r>
    </w:p>
    <w:p w14:paraId="5891ACB6">
      <w:pPr>
        <w:rPr>
          <w:rFonts w:ascii="仿宋" w:hAnsi="仿宋" w:eastAsia="仿宋"/>
          <w:sz w:val="32"/>
          <w:szCs w:val="32"/>
        </w:rPr>
      </w:pPr>
      <w:r>
        <w:rPr>
          <w:rFonts w:hint="eastAsia" w:ascii="仿宋" w:hAnsi="仿宋" w:eastAsia="仿宋"/>
          <w:sz w:val="32"/>
          <w:szCs w:val="32"/>
        </w:rPr>
        <w:t>十、政府性基金预算财政拨款收入支出决算表</w:t>
      </w:r>
    </w:p>
    <w:p w14:paraId="51FB2802">
      <w:pPr>
        <w:rPr>
          <w:rFonts w:ascii="仿宋" w:hAnsi="仿宋" w:eastAsia="仿宋"/>
          <w:sz w:val="32"/>
          <w:szCs w:val="32"/>
        </w:rPr>
      </w:pPr>
      <w:r>
        <w:rPr>
          <w:rFonts w:hint="eastAsia" w:ascii="仿宋" w:hAnsi="仿宋" w:eastAsia="仿宋"/>
          <w:sz w:val="32"/>
          <w:szCs w:val="32"/>
        </w:rPr>
        <w:t>十一、国有资本经营预算财政拨款收入支出决算表</w:t>
      </w:r>
    </w:p>
    <w:p w14:paraId="422F6516">
      <w:pPr>
        <w:rPr>
          <w:rFonts w:ascii="仿宋" w:hAnsi="仿宋" w:eastAsia="仿宋"/>
          <w:sz w:val="32"/>
          <w:szCs w:val="32"/>
        </w:rPr>
      </w:pPr>
      <w:r>
        <w:rPr>
          <w:rFonts w:hint="eastAsia" w:ascii="仿宋" w:hAnsi="仿宋" w:eastAsia="仿宋"/>
          <w:sz w:val="32"/>
          <w:szCs w:val="32"/>
        </w:rPr>
        <w:t>十二、国有资本经营预算财政拨款支出决算表</w:t>
      </w:r>
    </w:p>
    <w:p w14:paraId="08ECC369">
      <w:pPr>
        <w:rPr>
          <w:rFonts w:ascii="仿宋" w:hAnsi="仿宋" w:eastAsia="仿宋"/>
          <w:sz w:val="32"/>
          <w:szCs w:val="32"/>
        </w:rPr>
      </w:pPr>
      <w:r>
        <w:rPr>
          <w:rFonts w:hint="eastAsia" w:ascii="仿宋" w:hAnsi="仿宋" w:eastAsia="仿宋"/>
          <w:sz w:val="32"/>
          <w:szCs w:val="32"/>
        </w:rPr>
        <w:t>十三、财政拨款“三公”经费支出决算表</w: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8B08335-0A5A-4F8E-83E8-547BA5F5803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5FC68228-9B25-442D-B313-16DA004E8F2F}"/>
  </w:font>
  <w:font w:name="Cambria">
    <w:panose1 w:val="02040503050406030204"/>
    <w:charset w:val="00"/>
    <w:family w:val="roman"/>
    <w:pitch w:val="default"/>
    <w:sig w:usb0="E00006FF" w:usb1="420024FF" w:usb2="02000000" w:usb3="00000000" w:csb0="2000019F" w:csb1="00000000"/>
    <w:embedRegular r:id="rId3" w:fontKey="{C52AB17D-3F6A-411C-96F3-5E83D44306B5}"/>
  </w:font>
  <w:font w:name="仿宋_GB2312">
    <w:panose1 w:val="02010609030101010101"/>
    <w:charset w:val="86"/>
    <w:family w:val="modern"/>
    <w:pitch w:val="default"/>
    <w:sig w:usb0="00000001" w:usb1="080E0000" w:usb2="00000000" w:usb3="00000000" w:csb0="00040000" w:csb1="00000000"/>
    <w:embedRegular r:id="rId4" w:fontKey="{C242D972-8989-4454-93CD-2363FC3C406F}"/>
  </w:font>
  <w:font w:name="仿宋">
    <w:panose1 w:val="02010609060101010101"/>
    <w:charset w:val="86"/>
    <w:family w:val="modern"/>
    <w:pitch w:val="default"/>
    <w:sig w:usb0="800002BF" w:usb1="38CF7CFA" w:usb2="00000016" w:usb3="00000000" w:csb0="00040001" w:csb1="00000000"/>
    <w:embedRegular r:id="rId5" w:fontKey="{4906E01C-8887-43FF-947C-B22B84D2DF4F}"/>
  </w:font>
  <w:font w:name="??">
    <w:altName w:val="Times New Roman"/>
    <w:panose1 w:val="00000000000000000000"/>
    <w:charset w:val="00"/>
    <w:family w:val="roman"/>
    <w:pitch w:val="default"/>
    <w:sig w:usb0="00000000" w:usb1="00000000" w:usb2="00000000" w:usb3="00000000" w:csb0="00000000" w:csb1="00000000"/>
  </w:font>
  <w:font w:name="方正小标宋简体">
    <w:panose1 w:val="02000000000000000000"/>
    <w:charset w:val="86"/>
    <w:family w:val="script"/>
    <w:pitch w:val="default"/>
    <w:sig w:usb0="00000001" w:usb1="08000000" w:usb2="00000000" w:usb3="00000000" w:csb0="00040000" w:csb1="00000000"/>
    <w:embedRegular r:id="rId6" w:fontKey="{770129B1-6EBA-4AAE-A09E-80B5CBA80963}"/>
  </w:font>
  <w:font w:name="方正仿宋_GBK">
    <w:altName w:val="微软雅黑"/>
    <w:panose1 w:val="03000509000000000000"/>
    <w:charset w:val="86"/>
    <w:family w:val="auto"/>
    <w:pitch w:val="default"/>
    <w:sig w:usb0="00000000" w:usb1="00000000" w:usb2="00000000" w:usb3="00000000" w:csb0="00040000" w:csb1="00000000"/>
    <w:embedRegular r:id="rId7" w:fontKey="{C139AD96-D2DB-4E9D-B1FE-062B0A150B89}"/>
  </w:font>
  <w:font w:name="方正粗黑宋简体">
    <w:altName w:val="宋体"/>
    <w:panose1 w:val="02000000000000000000"/>
    <w:charset w:val="86"/>
    <w:family w:val="auto"/>
    <w:pitch w:val="default"/>
    <w:sig w:usb0="00000000" w:usb1="00000000" w:usb2="00000012" w:usb3="00000000" w:csb0="00040001" w:csb1="00000000"/>
    <w:embedRegular r:id="rId8" w:fontKey="{30DDCE1F-128E-4AAC-BF30-AF9B77416D1C}"/>
  </w:font>
  <w:font w:name="楷体_GB2312">
    <w:panose1 w:val="02010609030101010101"/>
    <w:charset w:val="86"/>
    <w:family w:val="auto"/>
    <w:pitch w:val="default"/>
    <w:sig w:usb0="00000001" w:usb1="080E0000" w:usb2="00000000" w:usb3="00000000" w:csb0="00040000" w:csb1="00000000"/>
    <w:embedRegular r:id="rId9" w:fontKey="{37D9270B-7A40-4DC8-9820-B90F1943D522}"/>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3C5950DF">
        <w:pPr>
          <w:pStyle w:val="10"/>
          <w:jc w:val="center"/>
        </w:pPr>
        <w:r>
          <w:fldChar w:fldCharType="begin"/>
        </w:r>
        <w:r>
          <w:instrText xml:space="preserve">PAGE   \* MERGEFORMAT</w:instrText>
        </w:r>
        <w:r>
          <w:fldChar w:fldCharType="separate"/>
        </w:r>
        <w:r>
          <w:rPr>
            <w:lang w:val="zh-CN"/>
          </w:rPr>
          <w:t>23</w:t>
        </w:r>
        <w:r>
          <w:fldChar w:fldCharType="end"/>
        </w:r>
      </w:p>
    </w:sdtContent>
  </w:sdt>
  <w:p w14:paraId="07C962BC">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DEAEA5">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463783"/>
    <w:multiLevelType w:val="singleLevel"/>
    <w:tmpl w:val="84463783"/>
    <w:lvl w:ilvl="0" w:tentative="0">
      <w:start w:val="1"/>
      <w:numFmt w:val="decimal"/>
      <w:lvlText w:val="%1."/>
      <w:lvlJc w:val="left"/>
      <w:pPr>
        <w:tabs>
          <w:tab w:val="left" w:pos="312"/>
        </w:tabs>
      </w:pPr>
    </w:lvl>
  </w:abstractNum>
  <w:abstractNum w:abstractNumId="1">
    <w:nsid w:val="8A981240"/>
    <w:multiLevelType w:val="singleLevel"/>
    <w:tmpl w:val="8A981240"/>
    <w:lvl w:ilvl="0" w:tentative="0">
      <w:start w:val="1"/>
      <w:numFmt w:val="decimal"/>
      <w:lvlText w:val="%1."/>
      <w:lvlJc w:val="left"/>
      <w:pPr>
        <w:tabs>
          <w:tab w:val="left" w:pos="312"/>
        </w:tabs>
      </w:pPr>
    </w:lvl>
  </w:abstractNum>
  <w:abstractNum w:abstractNumId="2">
    <w:nsid w:val="BE2F25DE"/>
    <w:multiLevelType w:val="singleLevel"/>
    <w:tmpl w:val="BE2F25DE"/>
    <w:lvl w:ilvl="0" w:tentative="0">
      <w:start w:val="3"/>
      <w:numFmt w:val="chineseCounting"/>
      <w:suff w:val="nothing"/>
      <w:lvlText w:val="（%1）"/>
      <w:lvlJc w:val="left"/>
      <w:rPr>
        <w:rFonts w:hint="eastAsia"/>
      </w:rPr>
    </w:lvl>
  </w:abstractNum>
  <w:abstractNum w:abstractNumId="3">
    <w:nsid w:val="CF652CEC"/>
    <w:multiLevelType w:val="singleLevel"/>
    <w:tmpl w:val="CF652CEC"/>
    <w:lvl w:ilvl="0" w:tentative="0">
      <w:start w:val="9"/>
      <w:numFmt w:val="chineseCounting"/>
      <w:suff w:val="nothing"/>
      <w:lvlText w:val="%1、"/>
      <w:lvlJc w:val="left"/>
      <w:rPr>
        <w:rFonts w:hint="eastAsia"/>
      </w:rPr>
    </w:lvl>
  </w:abstractNum>
  <w:abstractNum w:abstractNumId="4">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5">
    <w:nsid w:val="67EBC72F"/>
    <w:multiLevelType w:val="singleLevel"/>
    <w:tmpl w:val="67EBC72F"/>
    <w:lvl w:ilvl="0" w:tentative="0">
      <w:start w:val="1"/>
      <w:numFmt w:val="chineseCounting"/>
      <w:suff w:val="nothing"/>
      <w:lvlText w:val="%1、"/>
      <w:lvlJc w:val="left"/>
      <w:rPr>
        <w:rFonts w:hint="eastAsia"/>
      </w:rPr>
    </w:lvl>
  </w:abstractNum>
  <w:num w:numId="1">
    <w:abstractNumId w:val="5"/>
  </w:num>
  <w:num w:numId="2">
    <w:abstractNumId w:val="4"/>
  </w:num>
  <w:num w:numId="3">
    <w:abstractNumId w:val="1"/>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FmMTIyYWY4NTNkOTFiZDljYjI0OGY2ODcwYWFiNTUifQ=="/>
  </w:docVars>
  <w:rsids>
    <w:rsidRoot w:val="00F1361C"/>
    <w:rsid w:val="00014A1C"/>
    <w:rsid w:val="000222C6"/>
    <w:rsid w:val="0002549F"/>
    <w:rsid w:val="00035392"/>
    <w:rsid w:val="000468DB"/>
    <w:rsid w:val="0006487A"/>
    <w:rsid w:val="00065F8F"/>
    <w:rsid w:val="00070A43"/>
    <w:rsid w:val="000768F2"/>
    <w:rsid w:val="00082EAC"/>
    <w:rsid w:val="0009184B"/>
    <w:rsid w:val="00094236"/>
    <w:rsid w:val="0009593C"/>
    <w:rsid w:val="00097322"/>
    <w:rsid w:val="00097358"/>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30E5"/>
    <w:rsid w:val="00174518"/>
    <w:rsid w:val="0018106D"/>
    <w:rsid w:val="001877A7"/>
    <w:rsid w:val="00191536"/>
    <w:rsid w:val="00196687"/>
    <w:rsid w:val="001C0962"/>
    <w:rsid w:val="001C2738"/>
    <w:rsid w:val="001D7531"/>
    <w:rsid w:val="001E737D"/>
    <w:rsid w:val="001F0592"/>
    <w:rsid w:val="001F6419"/>
    <w:rsid w:val="001F7506"/>
    <w:rsid w:val="002006CD"/>
    <w:rsid w:val="00202B36"/>
    <w:rsid w:val="00204B7A"/>
    <w:rsid w:val="00204CDE"/>
    <w:rsid w:val="0021101A"/>
    <w:rsid w:val="00220536"/>
    <w:rsid w:val="00235629"/>
    <w:rsid w:val="00260289"/>
    <w:rsid w:val="00260C38"/>
    <w:rsid w:val="002616C0"/>
    <w:rsid w:val="002643DB"/>
    <w:rsid w:val="00265372"/>
    <w:rsid w:val="002662AA"/>
    <w:rsid w:val="00280496"/>
    <w:rsid w:val="00283D47"/>
    <w:rsid w:val="00294DC9"/>
    <w:rsid w:val="00295495"/>
    <w:rsid w:val="002A31DE"/>
    <w:rsid w:val="002A62F7"/>
    <w:rsid w:val="002B2613"/>
    <w:rsid w:val="002C1468"/>
    <w:rsid w:val="002D6D05"/>
    <w:rsid w:val="002F1818"/>
    <w:rsid w:val="002F5109"/>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2919"/>
    <w:rsid w:val="003D66DA"/>
    <w:rsid w:val="003E1310"/>
    <w:rsid w:val="003E2E6A"/>
    <w:rsid w:val="003E6F55"/>
    <w:rsid w:val="00406254"/>
    <w:rsid w:val="00410559"/>
    <w:rsid w:val="0041585D"/>
    <w:rsid w:val="00420B47"/>
    <w:rsid w:val="004223DE"/>
    <w:rsid w:val="00434489"/>
    <w:rsid w:val="00437085"/>
    <w:rsid w:val="00443880"/>
    <w:rsid w:val="004464F4"/>
    <w:rsid w:val="00447329"/>
    <w:rsid w:val="00471401"/>
    <w:rsid w:val="00473F31"/>
    <w:rsid w:val="0048263A"/>
    <w:rsid w:val="004826A2"/>
    <w:rsid w:val="00487E5D"/>
    <w:rsid w:val="004A711F"/>
    <w:rsid w:val="004B199D"/>
    <w:rsid w:val="004B4690"/>
    <w:rsid w:val="004E0A2D"/>
    <w:rsid w:val="004E206B"/>
    <w:rsid w:val="004E3607"/>
    <w:rsid w:val="004E6DF7"/>
    <w:rsid w:val="004F0FBD"/>
    <w:rsid w:val="00505A47"/>
    <w:rsid w:val="00512FDA"/>
    <w:rsid w:val="00520DA0"/>
    <w:rsid w:val="005664BB"/>
    <w:rsid w:val="00566FFA"/>
    <w:rsid w:val="0057481D"/>
    <w:rsid w:val="0058486E"/>
    <w:rsid w:val="00585B33"/>
    <w:rsid w:val="0059014D"/>
    <w:rsid w:val="005A09FD"/>
    <w:rsid w:val="005B0198"/>
    <w:rsid w:val="005B321C"/>
    <w:rsid w:val="005B5C64"/>
    <w:rsid w:val="005C5337"/>
    <w:rsid w:val="005C6BD0"/>
    <w:rsid w:val="005D1C8B"/>
    <w:rsid w:val="005D468D"/>
    <w:rsid w:val="005D5CED"/>
    <w:rsid w:val="005F1A4C"/>
    <w:rsid w:val="00605688"/>
    <w:rsid w:val="006070AF"/>
    <w:rsid w:val="00607E6C"/>
    <w:rsid w:val="006101B1"/>
    <w:rsid w:val="00614E44"/>
    <w:rsid w:val="00620030"/>
    <w:rsid w:val="0062270A"/>
    <w:rsid w:val="00622830"/>
    <w:rsid w:val="00623DA0"/>
    <w:rsid w:val="00630AEF"/>
    <w:rsid w:val="006325F8"/>
    <w:rsid w:val="00633463"/>
    <w:rsid w:val="00634C9A"/>
    <w:rsid w:val="00640417"/>
    <w:rsid w:val="00641F56"/>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516B"/>
    <w:rsid w:val="00746F48"/>
    <w:rsid w:val="0075404D"/>
    <w:rsid w:val="0076182A"/>
    <w:rsid w:val="00762406"/>
    <w:rsid w:val="0076493D"/>
    <w:rsid w:val="00767B7E"/>
    <w:rsid w:val="007770C3"/>
    <w:rsid w:val="00784D24"/>
    <w:rsid w:val="00785FBA"/>
    <w:rsid w:val="00786E4A"/>
    <w:rsid w:val="007875EB"/>
    <w:rsid w:val="0079426B"/>
    <w:rsid w:val="007D1682"/>
    <w:rsid w:val="007D312A"/>
    <w:rsid w:val="007D3F19"/>
    <w:rsid w:val="007E23B0"/>
    <w:rsid w:val="007E23E5"/>
    <w:rsid w:val="007E6A82"/>
    <w:rsid w:val="007F1991"/>
    <w:rsid w:val="007F2C2F"/>
    <w:rsid w:val="007F55FC"/>
    <w:rsid w:val="007F5665"/>
    <w:rsid w:val="007F7385"/>
    <w:rsid w:val="00800112"/>
    <w:rsid w:val="00813348"/>
    <w:rsid w:val="008253BB"/>
    <w:rsid w:val="0083706E"/>
    <w:rsid w:val="008408F6"/>
    <w:rsid w:val="008423A5"/>
    <w:rsid w:val="00850625"/>
    <w:rsid w:val="00853718"/>
    <w:rsid w:val="00855221"/>
    <w:rsid w:val="00860645"/>
    <w:rsid w:val="00871F71"/>
    <w:rsid w:val="00872FD8"/>
    <w:rsid w:val="00875641"/>
    <w:rsid w:val="00885AF4"/>
    <w:rsid w:val="00887F08"/>
    <w:rsid w:val="008914B9"/>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34F0"/>
    <w:rsid w:val="00935C98"/>
    <w:rsid w:val="00946945"/>
    <w:rsid w:val="00951248"/>
    <w:rsid w:val="0095152F"/>
    <w:rsid w:val="009546E4"/>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E50C8"/>
    <w:rsid w:val="009F1185"/>
    <w:rsid w:val="009F18CD"/>
    <w:rsid w:val="009F2A13"/>
    <w:rsid w:val="009F7527"/>
    <w:rsid w:val="00A04EB0"/>
    <w:rsid w:val="00A13CC1"/>
    <w:rsid w:val="00A16847"/>
    <w:rsid w:val="00A237D8"/>
    <w:rsid w:val="00A25C9F"/>
    <w:rsid w:val="00A268C4"/>
    <w:rsid w:val="00A27C77"/>
    <w:rsid w:val="00A307CD"/>
    <w:rsid w:val="00A331C8"/>
    <w:rsid w:val="00A40A00"/>
    <w:rsid w:val="00A4142F"/>
    <w:rsid w:val="00A422EB"/>
    <w:rsid w:val="00A45BB7"/>
    <w:rsid w:val="00A56DF2"/>
    <w:rsid w:val="00A56E6E"/>
    <w:rsid w:val="00A67AB5"/>
    <w:rsid w:val="00A733B2"/>
    <w:rsid w:val="00A741C2"/>
    <w:rsid w:val="00A74A9E"/>
    <w:rsid w:val="00A91760"/>
    <w:rsid w:val="00A93B00"/>
    <w:rsid w:val="00A93C21"/>
    <w:rsid w:val="00AB64C9"/>
    <w:rsid w:val="00AC2E50"/>
    <w:rsid w:val="00AC3C6A"/>
    <w:rsid w:val="00AD5620"/>
    <w:rsid w:val="00AD656B"/>
    <w:rsid w:val="00AD7C1B"/>
    <w:rsid w:val="00AE16BA"/>
    <w:rsid w:val="00AE1EBE"/>
    <w:rsid w:val="00B03C9D"/>
    <w:rsid w:val="00B060AE"/>
    <w:rsid w:val="00B10517"/>
    <w:rsid w:val="00B12E8B"/>
    <w:rsid w:val="00B14E76"/>
    <w:rsid w:val="00B161B8"/>
    <w:rsid w:val="00B2048C"/>
    <w:rsid w:val="00B310B9"/>
    <w:rsid w:val="00B35F3F"/>
    <w:rsid w:val="00B36CBB"/>
    <w:rsid w:val="00B411A6"/>
    <w:rsid w:val="00B425E0"/>
    <w:rsid w:val="00B440AA"/>
    <w:rsid w:val="00B44B70"/>
    <w:rsid w:val="00B53C56"/>
    <w:rsid w:val="00B57DAF"/>
    <w:rsid w:val="00B76F9D"/>
    <w:rsid w:val="00B77EA6"/>
    <w:rsid w:val="00B81598"/>
    <w:rsid w:val="00B841F1"/>
    <w:rsid w:val="00B944D6"/>
    <w:rsid w:val="00BA579E"/>
    <w:rsid w:val="00BB4DF0"/>
    <w:rsid w:val="00BC289F"/>
    <w:rsid w:val="00BC2D50"/>
    <w:rsid w:val="00BC5361"/>
    <w:rsid w:val="00BC5460"/>
    <w:rsid w:val="00BC6B50"/>
    <w:rsid w:val="00BD0E25"/>
    <w:rsid w:val="00BF5BD6"/>
    <w:rsid w:val="00C03E31"/>
    <w:rsid w:val="00C33E72"/>
    <w:rsid w:val="00C354B2"/>
    <w:rsid w:val="00C35554"/>
    <w:rsid w:val="00C42709"/>
    <w:rsid w:val="00C46119"/>
    <w:rsid w:val="00C533CC"/>
    <w:rsid w:val="00C5751C"/>
    <w:rsid w:val="00C61BFC"/>
    <w:rsid w:val="00C62B85"/>
    <w:rsid w:val="00C65438"/>
    <w:rsid w:val="00C860D5"/>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950A1"/>
    <w:rsid w:val="00DA634F"/>
    <w:rsid w:val="00DA65AC"/>
    <w:rsid w:val="00DB1913"/>
    <w:rsid w:val="00DC410D"/>
    <w:rsid w:val="00DC5A81"/>
    <w:rsid w:val="00DC68CA"/>
    <w:rsid w:val="00DC7CBA"/>
    <w:rsid w:val="00DD73B7"/>
    <w:rsid w:val="00DF24DF"/>
    <w:rsid w:val="00DF28BC"/>
    <w:rsid w:val="00DF34B9"/>
    <w:rsid w:val="00E01053"/>
    <w:rsid w:val="00E01B70"/>
    <w:rsid w:val="00E07ACF"/>
    <w:rsid w:val="00E11813"/>
    <w:rsid w:val="00E331A1"/>
    <w:rsid w:val="00E33202"/>
    <w:rsid w:val="00E336A9"/>
    <w:rsid w:val="00E472B1"/>
    <w:rsid w:val="00E50624"/>
    <w:rsid w:val="00E568DF"/>
    <w:rsid w:val="00E64269"/>
    <w:rsid w:val="00E82267"/>
    <w:rsid w:val="00E853CE"/>
    <w:rsid w:val="00E867B6"/>
    <w:rsid w:val="00EA010F"/>
    <w:rsid w:val="00EB0FAE"/>
    <w:rsid w:val="00ED1B63"/>
    <w:rsid w:val="00ED3C1F"/>
    <w:rsid w:val="00ED4085"/>
    <w:rsid w:val="00ED420E"/>
    <w:rsid w:val="00ED6FBE"/>
    <w:rsid w:val="00EE2F57"/>
    <w:rsid w:val="00EF4C34"/>
    <w:rsid w:val="00EF77C6"/>
    <w:rsid w:val="00F03938"/>
    <w:rsid w:val="00F05438"/>
    <w:rsid w:val="00F1361C"/>
    <w:rsid w:val="00F156F0"/>
    <w:rsid w:val="00F160C7"/>
    <w:rsid w:val="00F2408F"/>
    <w:rsid w:val="00F240E9"/>
    <w:rsid w:val="00F36D8F"/>
    <w:rsid w:val="00F417B1"/>
    <w:rsid w:val="00F45853"/>
    <w:rsid w:val="00F5561B"/>
    <w:rsid w:val="00F602DF"/>
    <w:rsid w:val="00F754A1"/>
    <w:rsid w:val="00F81FD9"/>
    <w:rsid w:val="00F841AA"/>
    <w:rsid w:val="00F84A94"/>
    <w:rsid w:val="00F87E96"/>
    <w:rsid w:val="00FA23E8"/>
    <w:rsid w:val="00FA789D"/>
    <w:rsid w:val="00FC7DA4"/>
    <w:rsid w:val="00FD3CC1"/>
    <w:rsid w:val="00FF1E02"/>
    <w:rsid w:val="00FF30B4"/>
    <w:rsid w:val="015975B8"/>
    <w:rsid w:val="02FEBE30"/>
    <w:rsid w:val="036F8141"/>
    <w:rsid w:val="066E0107"/>
    <w:rsid w:val="07996F6E"/>
    <w:rsid w:val="07DFD8BA"/>
    <w:rsid w:val="07F01322"/>
    <w:rsid w:val="08A60E40"/>
    <w:rsid w:val="0A2032A3"/>
    <w:rsid w:val="0D35B1ED"/>
    <w:rsid w:val="0E7ED1F5"/>
    <w:rsid w:val="0F98263C"/>
    <w:rsid w:val="101860EC"/>
    <w:rsid w:val="10C055FF"/>
    <w:rsid w:val="118107EC"/>
    <w:rsid w:val="118A0D65"/>
    <w:rsid w:val="13D50BC4"/>
    <w:rsid w:val="13F5616D"/>
    <w:rsid w:val="14797098"/>
    <w:rsid w:val="16124B0B"/>
    <w:rsid w:val="16BB723D"/>
    <w:rsid w:val="17F9714D"/>
    <w:rsid w:val="1918F934"/>
    <w:rsid w:val="1BE8440E"/>
    <w:rsid w:val="1D155CEE"/>
    <w:rsid w:val="1DFBC4B3"/>
    <w:rsid w:val="1E740ACF"/>
    <w:rsid w:val="1F19C781"/>
    <w:rsid w:val="1F33FCE5"/>
    <w:rsid w:val="1F7F7398"/>
    <w:rsid w:val="1FD2DB6F"/>
    <w:rsid w:val="1FF35744"/>
    <w:rsid w:val="1FF6BC77"/>
    <w:rsid w:val="1FF9236D"/>
    <w:rsid w:val="2333840E"/>
    <w:rsid w:val="23860B96"/>
    <w:rsid w:val="240371BF"/>
    <w:rsid w:val="24164E01"/>
    <w:rsid w:val="257C638F"/>
    <w:rsid w:val="29FD04D3"/>
    <w:rsid w:val="2BFF7BC6"/>
    <w:rsid w:val="2C8A61B5"/>
    <w:rsid w:val="2CD59C95"/>
    <w:rsid w:val="2D4944D8"/>
    <w:rsid w:val="2DF04E50"/>
    <w:rsid w:val="2EFD05E5"/>
    <w:rsid w:val="2F040D46"/>
    <w:rsid w:val="2F4F95CE"/>
    <w:rsid w:val="2FACAFDD"/>
    <w:rsid w:val="2FAE5751"/>
    <w:rsid w:val="2FB1A395"/>
    <w:rsid w:val="2FCF0B76"/>
    <w:rsid w:val="2FD9A7D8"/>
    <w:rsid w:val="2FE35C1E"/>
    <w:rsid w:val="319F7F4E"/>
    <w:rsid w:val="3304709D"/>
    <w:rsid w:val="354D6744"/>
    <w:rsid w:val="36AA5135"/>
    <w:rsid w:val="36BE0DA7"/>
    <w:rsid w:val="376B6AA6"/>
    <w:rsid w:val="376D39B2"/>
    <w:rsid w:val="37E16F03"/>
    <w:rsid w:val="37F53A3B"/>
    <w:rsid w:val="38D469F0"/>
    <w:rsid w:val="38F78389"/>
    <w:rsid w:val="397BAF1F"/>
    <w:rsid w:val="39E7B272"/>
    <w:rsid w:val="39F7642F"/>
    <w:rsid w:val="39FF7B37"/>
    <w:rsid w:val="3AB79AF3"/>
    <w:rsid w:val="3AFDCB77"/>
    <w:rsid w:val="3B7EF35A"/>
    <w:rsid w:val="3B9FDB6C"/>
    <w:rsid w:val="3BF5BC2F"/>
    <w:rsid w:val="3BF7C23A"/>
    <w:rsid w:val="3BFF223E"/>
    <w:rsid w:val="3C6EC0A1"/>
    <w:rsid w:val="3CDB0824"/>
    <w:rsid w:val="3CEBA265"/>
    <w:rsid w:val="3D093D0F"/>
    <w:rsid w:val="3D6A7F9F"/>
    <w:rsid w:val="3D7E7F4D"/>
    <w:rsid w:val="3D98207C"/>
    <w:rsid w:val="3D9CF30A"/>
    <w:rsid w:val="3DFF5A3E"/>
    <w:rsid w:val="3E78745D"/>
    <w:rsid w:val="3EEE77E9"/>
    <w:rsid w:val="3F394AF5"/>
    <w:rsid w:val="3FBE5714"/>
    <w:rsid w:val="3FDD8615"/>
    <w:rsid w:val="3FDFB2FF"/>
    <w:rsid w:val="3FF4CAE0"/>
    <w:rsid w:val="3FF75FAF"/>
    <w:rsid w:val="3FF7B227"/>
    <w:rsid w:val="44E268DA"/>
    <w:rsid w:val="457F4F6B"/>
    <w:rsid w:val="4737FB58"/>
    <w:rsid w:val="47ECCB02"/>
    <w:rsid w:val="47FA6A3F"/>
    <w:rsid w:val="49D7AE48"/>
    <w:rsid w:val="49FD3F26"/>
    <w:rsid w:val="4A3F6C7E"/>
    <w:rsid w:val="4A627F82"/>
    <w:rsid w:val="4AAF637E"/>
    <w:rsid w:val="4B0E749A"/>
    <w:rsid w:val="4B4F25DA"/>
    <w:rsid w:val="4BBB4781"/>
    <w:rsid w:val="4BD709A5"/>
    <w:rsid w:val="4BDD9BFF"/>
    <w:rsid w:val="4BE068DB"/>
    <w:rsid w:val="4D577224"/>
    <w:rsid w:val="4DBF1CEB"/>
    <w:rsid w:val="4DBF6A6B"/>
    <w:rsid w:val="4DF6A672"/>
    <w:rsid w:val="4EAB630A"/>
    <w:rsid w:val="4ECE2238"/>
    <w:rsid w:val="4F7EA413"/>
    <w:rsid w:val="4FAB812F"/>
    <w:rsid w:val="4FE9BD67"/>
    <w:rsid w:val="4FEE4C07"/>
    <w:rsid w:val="4FFB052F"/>
    <w:rsid w:val="537E6D0A"/>
    <w:rsid w:val="53AB6B88"/>
    <w:rsid w:val="53F74C96"/>
    <w:rsid w:val="5583522D"/>
    <w:rsid w:val="57BD3DD4"/>
    <w:rsid w:val="57F9CD1E"/>
    <w:rsid w:val="5AF92295"/>
    <w:rsid w:val="5AF9D8E9"/>
    <w:rsid w:val="5BDD38BD"/>
    <w:rsid w:val="5BDD79E6"/>
    <w:rsid w:val="5BEFC772"/>
    <w:rsid w:val="5BFF5DFC"/>
    <w:rsid w:val="5CD71FC4"/>
    <w:rsid w:val="5D1F11B5"/>
    <w:rsid w:val="5D3647F9"/>
    <w:rsid w:val="5DA644D4"/>
    <w:rsid w:val="5DAE1B18"/>
    <w:rsid w:val="5DE7D9E5"/>
    <w:rsid w:val="5ECEC941"/>
    <w:rsid w:val="5EFF8FC6"/>
    <w:rsid w:val="5F5BA39A"/>
    <w:rsid w:val="5F7D3B79"/>
    <w:rsid w:val="5F7F4610"/>
    <w:rsid w:val="5FBF9FF3"/>
    <w:rsid w:val="5FCD4E2C"/>
    <w:rsid w:val="5FEF394A"/>
    <w:rsid w:val="5FF67715"/>
    <w:rsid w:val="61CA71D5"/>
    <w:rsid w:val="627EE9EA"/>
    <w:rsid w:val="63B23AA5"/>
    <w:rsid w:val="647F5392"/>
    <w:rsid w:val="64E322C4"/>
    <w:rsid w:val="65FB93B9"/>
    <w:rsid w:val="6633C463"/>
    <w:rsid w:val="67D55B77"/>
    <w:rsid w:val="67EE7F84"/>
    <w:rsid w:val="686F5F53"/>
    <w:rsid w:val="6AFFCEAF"/>
    <w:rsid w:val="6B96E9E6"/>
    <w:rsid w:val="6BCE57B5"/>
    <w:rsid w:val="6BFEA4DB"/>
    <w:rsid w:val="6BFFB662"/>
    <w:rsid w:val="6C4A05C8"/>
    <w:rsid w:val="6CFF4FB8"/>
    <w:rsid w:val="6D6BD6E0"/>
    <w:rsid w:val="6D77E73C"/>
    <w:rsid w:val="6DBF5E93"/>
    <w:rsid w:val="6DFF077E"/>
    <w:rsid w:val="6E7E3605"/>
    <w:rsid w:val="6E7FDCC7"/>
    <w:rsid w:val="6ED6A62E"/>
    <w:rsid w:val="6EE00B15"/>
    <w:rsid w:val="6EE737B2"/>
    <w:rsid w:val="6EEB2329"/>
    <w:rsid w:val="6EECE67A"/>
    <w:rsid w:val="6F6F90A8"/>
    <w:rsid w:val="6F6FB3EB"/>
    <w:rsid w:val="6F8731EA"/>
    <w:rsid w:val="6FBC2ADD"/>
    <w:rsid w:val="6FD57C00"/>
    <w:rsid w:val="6FEFFFD8"/>
    <w:rsid w:val="6FF5CC65"/>
    <w:rsid w:val="6FFB47EC"/>
    <w:rsid w:val="6FFF034A"/>
    <w:rsid w:val="712A28F1"/>
    <w:rsid w:val="715C0E4B"/>
    <w:rsid w:val="71FFD401"/>
    <w:rsid w:val="72233669"/>
    <w:rsid w:val="72734D90"/>
    <w:rsid w:val="7332FE48"/>
    <w:rsid w:val="73A20640"/>
    <w:rsid w:val="73AD73D5"/>
    <w:rsid w:val="73B6EB34"/>
    <w:rsid w:val="73FA497D"/>
    <w:rsid w:val="744731E5"/>
    <w:rsid w:val="74BBD01D"/>
    <w:rsid w:val="74C41A0B"/>
    <w:rsid w:val="74ED5379"/>
    <w:rsid w:val="75DEEEC2"/>
    <w:rsid w:val="767F479D"/>
    <w:rsid w:val="76E3355F"/>
    <w:rsid w:val="76F742AF"/>
    <w:rsid w:val="76F7BE7D"/>
    <w:rsid w:val="76FF5125"/>
    <w:rsid w:val="773570D3"/>
    <w:rsid w:val="77597F31"/>
    <w:rsid w:val="776F6FFA"/>
    <w:rsid w:val="7777A522"/>
    <w:rsid w:val="77858688"/>
    <w:rsid w:val="778769C8"/>
    <w:rsid w:val="77CB741A"/>
    <w:rsid w:val="77D7BE3A"/>
    <w:rsid w:val="77DC22F5"/>
    <w:rsid w:val="797E3A6C"/>
    <w:rsid w:val="79CF70E2"/>
    <w:rsid w:val="79D7FD79"/>
    <w:rsid w:val="79E75806"/>
    <w:rsid w:val="79EE5BA4"/>
    <w:rsid w:val="7A641148"/>
    <w:rsid w:val="7A6F8BF5"/>
    <w:rsid w:val="7A894339"/>
    <w:rsid w:val="7ACF82B5"/>
    <w:rsid w:val="7AFF28C9"/>
    <w:rsid w:val="7AFF72A0"/>
    <w:rsid w:val="7AFF7572"/>
    <w:rsid w:val="7B6C7DFB"/>
    <w:rsid w:val="7B7D76A7"/>
    <w:rsid w:val="7BAE2FE2"/>
    <w:rsid w:val="7BAF6951"/>
    <w:rsid w:val="7BBFBED0"/>
    <w:rsid w:val="7BC3E394"/>
    <w:rsid w:val="7BF3FE4C"/>
    <w:rsid w:val="7BFB5035"/>
    <w:rsid w:val="7BFDE17E"/>
    <w:rsid w:val="7CBFC87B"/>
    <w:rsid w:val="7CFE0F48"/>
    <w:rsid w:val="7D3DE31C"/>
    <w:rsid w:val="7D7EC23E"/>
    <w:rsid w:val="7D7F8A13"/>
    <w:rsid w:val="7DBBCB01"/>
    <w:rsid w:val="7DC765D0"/>
    <w:rsid w:val="7DDB0EE0"/>
    <w:rsid w:val="7DFF51D8"/>
    <w:rsid w:val="7E634199"/>
    <w:rsid w:val="7E8ADEBF"/>
    <w:rsid w:val="7EEF11D3"/>
    <w:rsid w:val="7EF78C20"/>
    <w:rsid w:val="7F3F679B"/>
    <w:rsid w:val="7F4FC4EF"/>
    <w:rsid w:val="7F5E4D54"/>
    <w:rsid w:val="7F6B75FA"/>
    <w:rsid w:val="7F9F518D"/>
    <w:rsid w:val="7FA30C79"/>
    <w:rsid w:val="7FAF8ABF"/>
    <w:rsid w:val="7FB7269E"/>
    <w:rsid w:val="7FBD6753"/>
    <w:rsid w:val="7FBFABB4"/>
    <w:rsid w:val="7FC65084"/>
    <w:rsid w:val="7FC96657"/>
    <w:rsid w:val="7FD72595"/>
    <w:rsid w:val="7FDA9588"/>
    <w:rsid w:val="7FDF220F"/>
    <w:rsid w:val="7FDF4542"/>
    <w:rsid w:val="7FDF5405"/>
    <w:rsid w:val="7FEDC251"/>
    <w:rsid w:val="7FEDC5F7"/>
    <w:rsid w:val="7FEDD9DE"/>
    <w:rsid w:val="7FEFCDB9"/>
    <w:rsid w:val="7FF5890D"/>
    <w:rsid w:val="7FF5EB09"/>
    <w:rsid w:val="7FF89B92"/>
    <w:rsid w:val="7FF8F2E7"/>
    <w:rsid w:val="7FF93490"/>
    <w:rsid w:val="7FFA6237"/>
    <w:rsid w:val="7FFB5275"/>
    <w:rsid w:val="7FFD14DE"/>
    <w:rsid w:val="7FFFF783"/>
    <w:rsid w:val="93F70A9E"/>
    <w:rsid w:val="997D060E"/>
    <w:rsid w:val="99FF2014"/>
    <w:rsid w:val="9E59F895"/>
    <w:rsid w:val="9E7DEDC1"/>
    <w:rsid w:val="9EEF2B0D"/>
    <w:rsid w:val="9FF6F2A6"/>
    <w:rsid w:val="9FFE4AD9"/>
    <w:rsid w:val="9FFF61B9"/>
    <w:rsid w:val="A6DD0D7F"/>
    <w:rsid w:val="A7955197"/>
    <w:rsid w:val="A7FE5E0E"/>
    <w:rsid w:val="ADC6F725"/>
    <w:rsid w:val="AF0FFA84"/>
    <w:rsid w:val="AF9F0A5E"/>
    <w:rsid w:val="AFEF7964"/>
    <w:rsid w:val="B27A6F28"/>
    <w:rsid w:val="B35F0D5A"/>
    <w:rsid w:val="B3F7F693"/>
    <w:rsid w:val="B3FBBB6C"/>
    <w:rsid w:val="B5FFE407"/>
    <w:rsid w:val="B7CF06AB"/>
    <w:rsid w:val="B7CFA926"/>
    <w:rsid w:val="B7F8786B"/>
    <w:rsid w:val="B9EF5647"/>
    <w:rsid w:val="BABB6AA1"/>
    <w:rsid w:val="BAFCD398"/>
    <w:rsid w:val="BAFFDA0F"/>
    <w:rsid w:val="BB2F4199"/>
    <w:rsid w:val="BBFBD24E"/>
    <w:rsid w:val="BD079C78"/>
    <w:rsid w:val="BD2DD278"/>
    <w:rsid w:val="BD733540"/>
    <w:rsid w:val="BDF7970E"/>
    <w:rsid w:val="BDFE68BD"/>
    <w:rsid w:val="BE6FC990"/>
    <w:rsid w:val="BEBE9537"/>
    <w:rsid w:val="BEFF0D62"/>
    <w:rsid w:val="BEFF90EF"/>
    <w:rsid w:val="BF3735D5"/>
    <w:rsid w:val="BF7F09AC"/>
    <w:rsid w:val="BFB3380D"/>
    <w:rsid w:val="BFB7E7A2"/>
    <w:rsid w:val="BFC2F103"/>
    <w:rsid w:val="BFD475C3"/>
    <w:rsid w:val="BFDE5EA6"/>
    <w:rsid w:val="BFEF99E9"/>
    <w:rsid w:val="BFF9E564"/>
    <w:rsid w:val="BFFF3A69"/>
    <w:rsid w:val="C7BFEF9C"/>
    <w:rsid w:val="C8BD8F25"/>
    <w:rsid w:val="C94DA72E"/>
    <w:rsid w:val="CBEEAA00"/>
    <w:rsid w:val="CC7E9ECE"/>
    <w:rsid w:val="CDBFF9FF"/>
    <w:rsid w:val="CDF78664"/>
    <w:rsid w:val="CE3FF57E"/>
    <w:rsid w:val="CF3AB4AC"/>
    <w:rsid w:val="CF6FC6F3"/>
    <w:rsid w:val="CFD3D3D7"/>
    <w:rsid w:val="CFDF1009"/>
    <w:rsid w:val="D6B7E4F6"/>
    <w:rsid w:val="D6CB2739"/>
    <w:rsid w:val="D776A8DB"/>
    <w:rsid w:val="D7B6B268"/>
    <w:rsid w:val="D7D7B16A"/>
    <w:rsid w:val="D7EF2E2A"/>
    <w:rsid w:val="D8D6DB89"/>
    <w:rsid w:val="DB6F4CAB"/>
    <w:rsid w:val="DB777682"/>
    <w:rsid w:val="DBDDA52A"/>
    <w:rsid w:val="DCFFC0D1"/>
    <w:rsid w:val="DD1FB521"/>
    <w:rsid w:val="DDCB2E5E"/>
    <w:rsid w:val="DDFE75CA"/>
    <w:rsid w:val="DEFBBE33"/>
    <w:rsid w:val="DEFBFEAE"/>
    <w:rsid w:val="DF1F3B80"/>
    <w:rsid w:val="DF6F9789"/>
    <w:rsid w:val="DF9B8D55"/>
    <w:rsid w:val="DF9D198A"/>
    <w:rsid w:val="DFDF1D8E"/>
    <w:rsid w:val="DFEFC58B"/>
    <w:rsid w:val="DFF5F241"/>
    <w:rsid w:val="DFFFA9E8"/>
    <w:rsid w:val="E37D5D3F"/>
    <w:rsid w:val="E3FFE98D"/>
    <w:rsid w:val="E5F4E9DC"/>
    <w:rsid w:val="E67FF583"/>
    <w:rsid w:val="E70FE695"/>
    <w:rsid w:val="E7676621"/>
    <w:rsid w:val="E76B2B9A"/>
    <w:rsid w:val="E7AB7A34"/>
    <w:rsid w:val="E7DF1E20"/>
    <w:rsid w:val="E7FF6381"/>
    <w:rsid w:val="E9A30291"/>
    <w:rsid w:val="EBBF924C"/>
    <w:rsid w:val="ECFED1BC"/>
    <w:rsid w:val="ED1D69BB"/>
    <w:rsid w:val="ED2C2584"/>
    <w:rsid w:val="ED7FD312"/>
    <w:rsid w:val="EDBE03E0"/>
    <w:rsid w:val="EDD1A84A"/>
    <w:rsid w:val="EDFF8263"/>
    <w:rsid w:val="EE1FA0C7"/>
    <w:rsid w:val="EF53993F"/>
    <w:rsid w:val="EF7B8152"/>
    <w:rsid w:val="EF8E27E2"/>
    <w:rsid w:val="EFBFB2F4"/>
    <w:rsid w:val="EFBFFA21"/>
    <w:rsid w:val="EFDF4337"/>
    <w:rsid w:val="EFF7097E"/>
    <w:rsid w:val="F2BEBCB8"/>
    <w:rsid w:val="F36FB518"/>
    <w:rsid w:val="F3DE1A04"/>
    <w:rsid w:val="F3E244FA"/>
    <w:rsid w:val="F3EFB7CA"/>
    <w:rsid w:val="F3F722E5"/>
    <w:rsid w:val="F699BB1A"/>
    <w:rsid w:val="F6DEABFE"/>
    <w:rsid w:val="F7B650C7"/>
    <w:rsid w:val="F7EF9033"/>
    <w:rsid w:val="F7FDC2B1"/>
    <w:rsid w:val="F8DDDAC6"/>
    <w:rsid w:val="F96B55C8"/>
    <w:rsid w:val="FA2F5BEB"/>
    <w:rsid w:val="FA5F1E70"/>
    <w:rsid w:val="FA5FDB97"/>
    <w:rsid w:val="FB1BB959"/>
    <w:rsid w:val="FB75E3C8"/>
    <w:rsid w:val="FB7F461B"/>
    <w:rsid w:val="FB7F486A"/>
    <w:rsid w:val="FB7F6E28"/>
    <w:rsid w:val="FB8778F4"/>
    <w:rsid w:val="FBB61866"/>
    <w:rsid w:val="FBEE055A"/>
    <w:rsid w:val="FBF91527"/>
    <w:rsid w:val="FBFD1260"/>
    <w:rsid w:val="FBFF5B2E"/>
    <w:rsid w:val="FC833EBB"/>
    <w:rsid w:val="FCFE0B49"/>
    <w:rsid w:val="FD4B388D"/>
    <w:rsid w:val="FD77A83C"/>
    <w:rsid w:val="FD7FFE2B"/>
    <w:rsid w:val="FDADA43D"/>
    <w:rsid w:val="FDBDC432"/>
    <w:rsid w:val="FDEB412A"/>
    <w:rsid w:val="FDEE196B"/>
    <w:rsid w:val="FDEF50BC"/>
    <w:rsid w:val="FDFD5EC3"/>
    <w:rsid w:val="FDFE6575"/>
    <w:rsid w:val="FE9E11AB"/>
    <w:rsid w:val="FEBF38CD"/>
    <w:rsid w:val="FEDFDDC2"/>
    <w:rsid w:val="FEEB4E4D"/>
    <w:rsid w:val="FEED32F6"/>
    <w:rsid w:val="FEF781DD"/>
    <w:rsid w:val="FEF9D8C4"/>
    <w:rsid w:val="FF3F7E3F"/>
    <w:rsid w:val="FF3FF759"/>
    <w:rsid w:val="FF4749A3"/>
    <w:rsid w:val="FF4D3A28"/>
    <w:rsid w:val="FF5913BC"/>
    <w:rsid w:val="FF7F1E7E"/>
    <w:rsid w:val="FF9BAA5C"/>
    <w:rsid w:val="FFA57884"/>
    <w:rsid w:val="FFB513DD"/>
    <w:rsid w:val="FFBA12D7"/>
    <w:rsid w:val="FFBFE8C6"/>
    <w:rsid w:val="FFCF2925"/>
    <w:rsid w:val="FFD33B6C"/>
    <w:rsid w:val="FFDAD824"/>
    <w:rsid w:val="FFDE4064"/>
    <w:rsid w:val="FFDEA9D8"/>
    <w:rsid w:val="FFDF2DEC"/>
    <w:rsid w:val="FFDF624E"/>
    <w:rsid w:val="FFDF6BC0"/>
    <w:rsid w:val="FFDFFAEE"/>
    <w:rsid w:val="FFE3BA41"/>
    <w:rsid w:val="FFE3BED4"/>
    <w:rsid w:val="FFF316C1"/>
    <w:rsid w:val="FFF63ECC"/>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unhideWhenUsed/>
    <w:qFormat/>
    <w:uiPriority w:val="0"/>
    <w:pPr>
      <w:spacing w:before="240" w:beforeLines="0" w:after="60" w:afterLines="0"/>
      <w:jc w:val="center"/>
      <w:outlineLvl w:val="0"/>
    </w:pPr>
    <w:rPr>
      <w:rFonts w:hint="default" w:ascii="Arial" w:hAnsi="Arial" w:eastAsia="宋体"/>
      <w:b/>
      <w:sz w:val="24"/>
    </w:rPr>
  </w:style>
  <w:style w:type="paragraph" w:styleId="6">
    <w:name w:val="Body Text"/>
    <w:basedOn w:val="1"/>
    <w:link w:val="25"/>
    <w:qFormat/>
    <w:uiPriority w:val="99"/>
    <w:pPr>
      <w:spacing w:beforeLines="30"/>
    </w:pPr>
    <w:rPr>
      <w:rFonts w:ascii="仿宋_GB2312" w:eastAsia="仿宋_GB2312"/>
      <w:kern w:val="0"/>
      <w:sz w:val="30"/>
    </w:rPr>
  </w:style>
  <w:style w:type="paragraph" w:styleId="7">
    <w:name w:val="Body Text Indent"/>
    <w:basedOn w:val="1"/>
    <w:qFormat/>
    <w:uiPriority w:val="0"/>
    <w:pPr>
      <w:spacing w:after="120"/>
      <w:ind w:left="200" w:leftChars="200"/>
    </w:pPr>
    <w:rPr>
      <w:rFonts w:ascii="仿宋_GB2312"/>
      <w:szCs w:val="32"/>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1"/>
    <w:semiHidden/>
    <w:unhideWhenUsed/>
    <w:qFormat/>
    <w:uiPriority w:val="99"/>
    <w:rPr>
      <w:sz w:val="18"/>
      <w:szCs w:val="18"/>
    </w:rPr>
  </w:style>
  <w:style w:type="paragraph" w:styleId="10">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unhideWhenUsed/>
    <w:qFormat/>
    <w:uiPriority w:val="39"/>
    <w:pPr>
      <w:tabs>
        <w:tab w:val="right" w:leader="dot" w:pos="8296"/>
      </w:tabs>
      <w:ind w:left="420" w:leftChars="200"/>
    </w:pPr>
  </w:style>
  <w:style w:type="paragraph" w:styleId="14">
    <w:name w:val="Body Text First Indent 2"/>
    <w:basedOn w:val="7"/>
    <w:unhideWhenUsed/>
    <w:qFormat/>
    <w:uiPriority w:val="99"/>
    <w:pPr>
      <w:ind w:firstLine="420" w:firstLine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paragraph" w:customStyle="1" w:styleId="19">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0">
    <w:name w:val="Header Char"/>
    <w:basedOn w:val="16"/>
    <w:semiHidden/>
    <w:qFormat/>
    <w:uiPriority w:val="99"/>
    <w:rPr>
      <w:rFonts w:ascii="Times New Roman" w:hAnsi="Times New Roman"/>
      <w:sz w:val="18"/>
      <w:szCs w:val="18"/>
    </w:rPr>
  </w:style>
  <w:style w:type="character" w:customStyle="1" w:styleId="21">
    <w:name w:val="页眉 字符"/>
    <w:link w:val="11"/>
    <w:semiHidden/>
    <w:qFormat/>
    <w:locked/>
    <w:uiPriority w:val="99"/>
    <w:rPr>
      <w:sz w:val="18"/>
    </w:rPr>
  </w:style>
  <w:style w:type="character" w:customStyle="1" w:styleId="22">
    <w:name w:val="Footer Char"/>
    <w:basedOn w:val="16"/>
    <w:semiHidden/>
    <w:qFormat/>
    <w:uiPriority w:val="99"/>
    <w:rPr>
      <w:rFonts w:ascii="Times New Roman" w:hAnsi="Times New Roman"/>
      <w:sz w:val="18"/>
      <w:szCs w:val="18"/>
    </w:rPr>
  </w:style>
  <w:style w:type="character" w:customStyle="1" w:styleId="23">
    <w:name w:val="页脚 字符"/>
    <w:link w:val="10"/>
    <w:qFormat/>
    <w:locked/>
    <w:uiPriority w:val="99"/>
    <w:rPr>
      <w:sz w:val="18"/>
    </w:rPr>
  </w:style>
  <w:style w:type="character" w:customStyle="1" w:styleId="24">
    <w:name w:val="Body Text Char"/>
    <w:basedOn w:val="16"/>
    <w:semiHidden/>
    <w:qFormat/>
    <w:uiPriority w:val="99"/>
    <w:rPr>
      <w:rFonts w:ascii="Times New Roman" w:hAnsi="Times New Roman"/>
      <w:szCs w:val="24"/>
    </w:rPr>
  </w:style>
  <w:style w:type="character" w:customStyle="1" w:styleId="25">
    <w:name w:val="正文文本 字符"/>
    <w:link w:val="6"/>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字符"/>
    <w:basedOn w:val="16"/>
    <w:link w:val="3"/>
    <w:qFormat/>
    <w:uiPriority w:val="9"/>
    <w:rPr>
      <w:rFonts w:ascii="Times New Roman" w:hAnsi="Times New Roman"/>
      <w:b/>
      <w:bCs/>
      <w:kern w:val="44"/>
      <w:sz w:val="44"/>
      <w:szCs w:val="44"/>
    </w:rPr>
  </w:style>
  <w:style w:type="character" w:customStyle="1" w:styleId="29">
    <w:name w:val="标题 2 字符"/>
    <w:basedOn w:val="16"/>
    <w:link w:val="4"/>
    <w:qFormat/>
    <w:uiPriority w:val="9"/>
    <w:rPr>
      <w:rFonts w:asciiTheme="majorHAnsi" w:hAnsiTheme="majorHAnsi" w:eastAsiaTheme="majorEastAsia" w:cstheme="majorBidi"/>
      <w:b/>
      <w:bCs/>
      <w:kern w:val="2"/>
      <w:sz w:val="32"/>
      <w:szCs w:val="32"/>
    </w:rPr>
  </w:style>
  <w:style w:type="paragraph" w:customStyle="1" w:styleId="30">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字符"/>
    <w:basedOn w:val="16"/>
    <w:link w:val="9"/>
    <w:semiHidden/>
    <w:qFormat/>
    <w:uiPriority w:val="99"/>
    <w:rPr>
      <w:rFonts w:ascii="Times New Roman" w:hAnsi="Times New Roman"/>
      <w:kern w:val="2"/>
      <w:sz w:val="18"/>
      <w:szCs w:val="18"/>
    </w:rPr>
  </w:style>
  <w:style w:type="character" w:customStyle="1" w:styleId="32">
    <w:name w:val="标题 3 字符"/>
    <w:basedOn w:val="16"/>
    <w:link w:val="5"/>
    <w:qFormat/>
    <w:uiPriority w:val="9"/>
    <w:rPr>
      <w:rFonts w:ascii="Times New Roman" w:hAnsi="Times New Roman"/>
      <w:b/>
      <w:bCs/>
      <w:kern w:val="2"/>
      <w:sz w:val="32"/>
      <w:szCs w:val="32"/>
    </w:rPr>
  </w:style>
  <w:style w:type="paragraph" w:customStyle="1" w:styleId="33">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四号正文"/>
    <w:basedOn w:val="1"/>
    <w:qFormat/>
    <w:uiPriority w:val="0"/>
    <w:pPr>
      <w:spacing w:line="360" w:lineRule="auto"/>
    </w:pPr>
    <w:rPr>
      <w:rFonts w:ascii="??" w:hAnsi="??"/>
      <w:color w:val="000000"/>
      <w:kern w:val="0"/>
      <w:sz w:val="28"/>
      <w:szCs w:val="21"/>
      <w:lang w:val="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oleObject" Target="embeddings/oleObject2.bin"/><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7.png"/><Relationship Id="rId18" Type="http://schemas.openxmlformats.org/officeDocument/2006/relationships/oleObject" Target="embeddings/oleObject7.bin"/><Relationship Id="rId17" Type="http://schemas.openxmlformats.org/officeDocument/2006/relationships/image" Target="media/image6.png"/><Relationship Id="rId16" Type="http://schemas.openxmlformats.org/officeDocument/2006/relationships/oleObject" Target="embeddings/oleObject6.bin"/><Relationship Id="rId15" Type="http://schemas.openxmlformats.org/officeDocument/2006/relationships/image" Target="media/image5.emf"/><Relationship Id="rId14" Type="http://schemas.openxmlformats.org/officeDocument/2006/relationships/oleObject" Target="embeddings/oleObject5.bin"/><Relationship Id="rId13" Type="http://schemas.openxmlformats.org/officeDocument/2006/relationships/image" Target="media/image4.emf"/><Relationship Id="rId12" Type="http://schemas.openxmlformats.org/officeDocument/2006/relationships/oleObject" Target="embeddings/oleObject4.bin"/><Relationship Id="rId11" Type="http://schemas.openxmlformats.org/officeDocument/2006/relationships/image" Target="media/image3.png"/><Relationship Id="rId10" Type="http://schemas.openxmlformats.org/officeDocument/2006/relationships/oleObject" Target="embeddings/oleObject3.bin"/><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7"/>
    <customShpInfo spid="_x0000_s1028"/>
    <customShpInfo spid="_x0000_s1032"/>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34</Pages>
  <Words>11030</Words>
  <Characters>11803</Characters>
  <Lines>72</Lines>
  <Paragraphs>20</Paragraphs>
  <TotalTime>5</TotalTime>
  <ScaleCrop>false</ScaleCrop>
  <LinksUpToDate>false</LinksUpToDate>
  <CharactersWithSpaces>11915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2024-08-05T07:12:00Z</dcterms:created>
  <dc:creator>曹颖</dc:creator>
  <cp:lastModifiedBy>yoyo</cp:lastModifiedBy>
  <cp:lastPrinted>2023-08-03T10:35:00Z</cp:lastPrinted>
  <dcterms:modified xsi:type="dcterms:W3CDTF">2024-11-11T09:28:03Z</dcterms:modified>
  <dc:title>四川省***</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A21A4706AA8B48DC977D4032655B5609_13</vt:lpwstr>
  </property>
</Properties>
</file>