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FB323">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6</w:t>
      </w:r>
    </w:p>
    <w:p w14:paraId="7FE44425">
      <w:pPr>
        <w:tabs>
          <w:tab w:val="left" w:pos="1440"/>
        </w:tabs>
        <w:spacing w:line="560" w:lineRule="exact"/>
        <w:rPr>
          <w:rFonts w:ascii="宋体" w:hAnsi="宋体" w:eastAsia="宋体"/>
          <w:sz w:val="30"/>
          <w:szCs w:val="30"/>
        </w:rPr>
      </w:pPr>
    </w:p>
    <w:p w14:paraId="7DF6D3DC">
      <w:pPr>
        <w:pStyle w:val="7"/>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重点</w:t>
      </w:r>
      <w:r>
        <w:rPr>
          <w:rFonts w:hint="eastAsia" w:ascii="方正小标宋简体" w:hAnsi="宋体" w:eastAsia="方正小标宋简体"/>
          <w:sz w:val="44"/>
          <w:szCs w:val="44"/>
        </w:rPr>
        <w:t>项目支出绩效自评报告范本</w:t>
      </w:r>
    </w:p>
    <w:p w14:paraId="4E4E4738">
      <w:pPr>
        <w:pStyle w:val="7"/>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县人大办</w:t>
      </w:r>
      <w:r>
        <w:rPr>
          <w:rFonts w:hint="eastAsia" w:ascii="仿宋_GB2312" w:hAnsi="宋体" w:eastAsia="仿宋_GB2312"/>
          <w:color w:val="auto"/>
          <w:kern w:val="2"/>
          <w:sz w:val="32"/>
          <w:szCs w:val="32"/>
        </w:rPr>
        <w:t>2023年县级衔接资金“两不愁三保障”及乡村建设治理临时补短项目）</w:t>
      </w:r>
    </w:p>
    <w:p w14:paraId="3189DBE9">
      <w:pPr>
        <w:pStyle w:val="7"/>
        <w:spacing w:line="560" w:lineRule="exact"/>
        <w:ind w:firstLine="640"/>
        <w:jc w:val="center"/>
        <w:rPr>
          <w:rFonts w:ascii="宋体" w:hAnsi="宋体"/>
          <w:color w:val="auto"/>
          <w:kern w:val="2"/>
          <w:sz w:val="32"/>
          <w:szCs w:val="32"/>
        </w:rPr>
      </w:pPr>
    </w:p>
    <w:p w14:paraId="565D7A90">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94BEB21">
      <w:pPr>
        <w:adjustRightInd w:val="0"/>
        <w:snapToGrid w:val="0"/>
        <w:spacing w:line="560" w:lineRule="exact"/>
        <w:ind w:firstLine="720"/>
        <w:rPr>
          <w:rFonts w:hint="eastAsia" w:ascii="仿宋_GB2312" w:hAnsi="宋体"/>
          <w:lang w:val="zh-CN"/>
        </w:rPr>
      </w:pPr>
      <w:r>
        <w:rPr>
          <w:rFonts w:hint="eastAsia" w:ascii="仿宋_GB2312" w:hAnsi="宋体"/>
          <w:lang w:val="zh-CN"/>
        </w:rPr>
        <w:t>介绍项目基本情况，重点说明以下内容：</w:t>
      </w:r>
    </w:p>
    <w:p w14:paraId="1CC1B41F">
      <w:pPr>
        <w:adjustRightInd w:val="0"/>
        <w:snapToGrid w:val="0"/>
        <w:spacing w:line="560" w:lineRule="exact"/>
        <w:ind w:firstLine="720"/>
        <w:rPr>
          <w:rFonts w:hint="eastAsia" w:ascii="仿宋_GB2312" w:hAnsi="宋体"/>
          <w:lang w:val="zh-CN"/>
        </w:rPr>
      </w:pPr>
      <w:r>
        <w:rPr>
          <w:rFonts w:hint="eastAsia" w:ascii="仿宋_GB2312" w:hAnsi="宋体"/>
          <w:lang w:val="en-US" w:eastAsia="zh-CN"/>
        </w:rPr>
        <w:t>为全面推进乡村振兴、巩固拓展脱贫攻坚成果提供保障，确保巩固拓展脱贫攻坚成果与乡村振兴有效衔接。财政预算安排</w:t>
      </w:r>
      <w:r>
        <w:rPr>
          <w:rFonts w:hint="eastAsia" w:ascii="仿宋_GB2312" w:hAnsi="宋体" w:eastAsia="仿宋_GB2312"/>
          <w:color w:val="auto"/>
          <w:kern w:val="2"/>
          <w:sz w:val="32"/>
          <w:szCs w:val="32"/>
        </w:rPr>
        <w:t>政法委2023年县级衔接资金“两不愁三保障”及乡村建设治理临时补短项目</w:t>
      </w:r>
      <w:r>
        <w:rPr>
          <w:rFonts w:hint="eastAsia" w:ascii="仿宋_GB2312" w:hAnsi="宋体"/>
          <w:color w:val="auto"/>
          <w:kern w:val="2"/>
          <w:sz w:val="32"/>
          <w:szCs w:val="32"/>
          <w:lang w:eastAsia="zh-CN"/>
        </w:rPr>
        <w:t>，</w:t>
      </w:r>
      <w:r>
        <w:rPr>
          <w:rFonts w:hint="eastAsia" w:ascii="仿宋_GB2312" w:hAnsi="宋体"/>
          <w:lang w:val="en-US" w:eastAsia="zh-CN"/>
        </w:rPr>
        <w:t>该项目预算70万元，用于帮扶村改善基础设施、促进产业发展，完善巩固服务等。</w:t>
      </w:r>
    </w:p>
    <w:p w14:paraId="440FDF7B">
      <w:pPr>
        <w:numPr>
          <w:ilvl w:val="0"/>
          <w:numId w:val="1"/>
        </w:numPr>
        <w:adjustRightInd w:val="0"/>
        <w:snapToGrid w:val="0"/>
        <w:spacing w:line="560" w:lineRule="exact"/>
        <w:ind w:left="961" w:leftChars="200" w:hanging="321" w:hangingChars="100"/>
        <w:rPr>
          <w:rFonts w:hint="eastAsia" w:ascii="楷体_GB2312" w:hAnsi="宋体" w:eastAsia="楷体_GB2312"/>
          <w:b/>
          <w:lang w:val="zh-CN"/>
        </w:rPr>
      </w:pPr>
      <w:r>
        <w:rPr>
          <w:rFonts w:hint="eastAsia" w:ascii="楷体_GB2312" w:hAnsi="宋体" w:eastAsia="楷体_GB2312"/>
          <w:b/>
          <w:lang w:val="zh-CN"/>
        </w:rPr>
        <w:t>项目资金申报及批复情况。</w:t>
      </w:r>
    </w:p>
    <w:p w14:paraId="098989A8">
      <w:pPr>
        <w:numPr>
          <w:ilvl w:val="0"/>
          <w:numId w:val="0"/>
        </w:numPr>
        <w:adjustRightInd w:val="0"/>
        <w:snapToGrid w:val="0"/>
        <w:spacing w:line="560" w:lineRule="exact"/>
        <w:ind w:firstLine="640" w:firstLineChars="200"/>
        <w:rPr>
          <w:rFonts w:ascii="仿宋_GB2312" w:hAnsi="宋体"/>
          <w:lang w:val="zh-CN"/>
        </w:rPr>
      </w:pPr>
      <w:r>
        <w:rPr>
          <w:rFonts w:hint="eastAsia" w:ascii="仿宋_GB2312" w:hAnsi="仿宋_GB2312" w:eastAsia="仿宋_GB2312" w:cs="仿宋_GB2312"/>
          <w:sz w:val="32"/>
          <w:szCs w:val="32"/>
          <w:lang w:val="zh-CN"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经费</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rPr>
        <w:t>年初</w:t>
      </w:r>
      <w:r>
        <w:rPr>
          <w:rFonts w:hint="eastAsia" w:ascii="仿宋_GB2312" w:hAnsi="仿宋_GB2312" w:eastAsia="仿宋_GB2312" w:cs="仿宋_GB2312"/>
          <w:sz w:val="32"/>
          <w:szCs w:val="32"/>
          <w:lang w:val="zh-CN" w:eastAsia="zh-CN"/>
        </w:rPr>
        <w:t>申报</w:t>
      </w:r>
      <w:r>
        <w:rPr>
          <w:rFonts w:hint="eastAsia" w:ascii="仿宋_GB2312" w:hAnsi="仿宋_GB2312" w:eastAsia="仿宋_GB2312" w:cs="仿宋_GB2312"/>
          <w:sz w:val="32"/>
          <w:szCs w:val="32"/>
          <w:lang w:val="zh-CN"/>
        </w:rPr>
        <w:t>预算</w:t>
      </w:r>
      <w:r>
        <w:rPr>
          <w:rFonts w:hint="eastAsia" w:ascii="仿宋_GB2312" w:hAnsi="仿宋_GB2312" w:cs="仿宋_GB2312"/>
          <w:sz w:val="32"/>
          <w:szCs w:val="32"/>
          <w:lang w:val="en-US" w:eastAsia="zh-CN"/>
        </w:rPr>
        <w:t>70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批复</w:t>
      </w:r>
      <w:r>
        <w:rPr>
          <w:rFonts w:hint="eastAsia" w:ascii="仿宋_GB2312" w:hAnsi="仿宋_GB2312" w:cs="仿宋_GB2312"/>
          <w:sz w:val="32"/>
          <w:szCs w:val="32"/>
          <w:lang w:val="en-US" w:eastAsia="zh-CN"/>
        </w:rPr>
        <w:t>70</w:t>
      </w:r>
      <w:r>
        <w:rPr>
          <w:rFonts w:hint="eastAsia" w:ascii="仿宋_GB2312" w:hAnsi="仿宋_GB2312" w:eastAsia="仿宋_GB2312" w:cs="仿宋_GB2312"/>
          <w:sz w:val="32"/>
          <w:szCs w:val="32"/>
          <w:lang w:val="zh-CN"/>
        </w:rPr>
        <w:t>万</w:t>
      </w:r>
      <w:r>
        <w:rPr>
          <w:rFonts w:hint="eastAsia" w:ascii="仿宋_GB2312" w:hAnsi="仿宋_GB2312" w:cs="仿宋_GB2312"/>
          <w:sz w:val="32"/>
          <w:szCs w:val="32"/>
          <w:lang w:val="zh-CN"/>
        </w:rPr>
        <w:t>元</w:t>
      </w:r>
      <w:r>
        <w:rPr>
          <w:rFonts w:hint="eastAsia" w:ascii="仿宋_GB2312" w:hAnsi="仿宋_GB2312" w:eastAsia="仿宋_GB2312" w:cs="仿宋_GB2312"/>
          <w:sz w:val="32"/>
          <w:szCs w:val="32"/>
          <w:lang w:val="zh-CN"/>
        </w:rPr>
        <w:t>。</w:t>
      </w:r>
    </w:p>
    <w:p w14:paraId="344F1769">
      <w:pPr>
        <w:numPr>
          <w:ilvl w:val="0"/>
          <w:numId w:val="1"/>
        </w:numPr>
        <w:adjustRightInd w:val="0"/>
        <w:snapToGrid w:val="0"/>
        <w:spacing w:line="560" w:lineRule="exact"/>
        <w:ind w:left="961" w:leftChars="200" w:hanging="321" w:hangingChars="100"/>
        <w:rPr>
          <w:rFonts w:hint="default" w:ascii="楷体_GB2312" w:hAnsi="宋体" w:eastAsia="楷体_GB2312"/>
          <w:b/>
          <w:lang w:val="en-US" w:eastAsia="zh-CN"/>
        </w:rPr>
      </w:pPr>
      <w:r>
        <w:rPr>
          <w:rFonts w:hint="eastAsia" w:ascii="楷体_GB2312" w:hAnsi="宋体" w:eastAsia="楷体_GB2312"/>
          <w:b/>
          <w:lang w:val="zh-CN"/>
        </w:rPr>
        <w:t>项目绩效目标。</w:t>
      </w:r>
    </w:p>
    <w:p w14:paraId="77799FAA">
      <w:pPr>
        <w:numPr>
          <w:ilvl w:val="0"/>
          <w:numId w:val="0"/>
        </w:numPr>
        <w:adjustRightInd w:val="0"/>
        <w:snapToGrid w:val="0"/>
        <w:spacing w:line="560" w:lineRule="exact"/>
        <w:ind w:firstLine="640" w:firstLineChars="200"/>
        <w:rPr>
          <w:rFonts w:hint="default" w:ascii="楷体_GB2312" w:hAnsi="宋体" w:eastAsia="楷体_GB2312"/>
          <w:b/>
          <w:lang w:val="en-US" w:eastAsia="zh-CN"/>
        </w:rPr>
      </w:pPr>
      <w:r>
        <w:rPr>
          <w:rFonts w:hint="eastAsia" w:ascii="仿宋_GB2312" w:hAnsi="宋体"/>
          <w:lang w:val="en-US" w:eastAsia="zh-CN"/>
        </w:rPr>
        <w:t>全面推进乡村振兴、巩固拓展脱贫攻坚成果提供保障，确保巩固拓展脱贫攻坚成果与乡村振兴有效衔接，改善基础设施、促进产业发展，完善巩固服务等。</w:t>
      </w:r>
    </w:p>
    <w:p w14:paraId="755B41F4">
      <w:pPr>
        <w:numPr>
          <w:ilvl w:val="0"/>
          <w:numId w:val="1"/>
        </w:numPr>
        <w:adjustRightInd w:val="0"/>
        <w:snapToGrid w:val="0"/>
        <w:spacing w:line="560" w:lineRule="exact"/>
        <w:ind w:left="961" w:leftChars="200" w:hanging="321" w:hangingChars="100"/>
        <w:rPr>
          <w:rFonts w:hint="eastAsia" w:ascii="楷体_GB2312" w:hAnsi="宋体" w:eastAsia="楷体_GB2312"/>
          <w:b/>
          <w:lang w:val="zh-CN"/>
        </w:rPr>
      </w:pPr>
      <w:r>
        <w:rPr>
          <w:rFonts w:hint="eastAsia" w:ascii="楷体_GB2312" w:hAnsi="宋体" w:eastAsia="楷体_GB2312"/>
          <w:b/>
          <w:lang w:val="zh-CN"/>
        </w:rPr>
        <w:t>项目资金申报相符性。</w:t>
      </w:r>
    </w:p>
    <w:p w14:paraId="74B63CB8">
      <w:pPr>
        <w:numPr>
          <w:ilvl w:val="0"/>
          <w:numId w:val="0"/>
        </w:numPr>
        <w:adjustRightInd w:val="0"/>
        <w:snapToGrid w:val="0"/>
        <w:spacing w:line="560" w:lineRule="exact"/>
        <w:ind w:leftChars="200"/>
        <w:rPr>
          <w:lang w:val="zh-CN"/>
        </w:rPr>
      </w:pP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6170FC07">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6090CD1C">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0AFE5E8">
      <w:pPr>
        <w:adjustRightInd w:val="0"/>
        <w:snapToGrid w:val="0"/>
        <w:spacing w:line="560" w:lineRule="exact"/>
        <w:ind w:firstLine="720"/>
        <w:rPr>
          <w:rFonts w:hint="eastAsia" w:ascii="仿宋_GB2312" w:hAnsi="宋体" w:eastAsia="楷体_GB2312"/>
          <w:lang w:val="en-US" w:eastAsia="zh-CN"/>
        </w:rPr>
      </w:pPr>
      <w:r>
        <w:rPr>
          <w:rFonts w:hint="eastAsia" w:ascii="楷体_GB2312" w:hAnsi="宋体" w:eastAsia="楷体_GB2312"/>
          <w:lang w:val="zh-CN"/>
        </w:rPr>
        <w:t>1．资金计划及到位。</w:t>
      </w:r>
      <w:r>
        <w:rPr>
          <w:rFonts w:hint="eastAsia" w:ascii="仿宋_GB2312" w:hAnsi="宋体" w:eastAsia="楷体_GB2312"/>
          <w:lang w:val="en-US" w:eastAsia="zh-CN"/>
        </w:rPr>
        <w:t>该项目经费调整预算后为70万元；截至2023年底，该项目经费财政拨款70万元，全部拨付到位，资金到位率100%。</w:t>
      </w:r>
    </w:p>
    <w:p w14:paraId="77D9B46F">
      <w:pPr>
        <w:adjustRightInd w:val="0"/>
        <w:snapToGrid w:val="0"/>
        <w:spacing w:line="560" w:lineRule="exact"/>
        <w:ind w:firstLine="720"/>
        <w:rPr>
          <w:rFonts w:hint="default" w:ascii="楷体_GB2312" w:hAnsi="宋体" w:eastAsia="楷体_GB2312"/>
          <w:lang w:val="en-US" w:eastAsia="zh-CN"/>
        </w:rPr>
      </w:pPr>
      <w:r>
        <w:rPr>
          <w:rFonts w:hint="eastAsia" w:ascii="楷体_GB2312" w:hAnsi="宋体" w:eastAsia="楷体_GB2312"/>
          <w:lang w:val="zh-CN"/>
        </w:rPr>
        <w:t>2</w:t>
      </w:r>
      <w:r>
        <w:rPr>
          <w:rFonts w:hint="eastAsia" w:ascii="楷体_GB2312" w:hAnsi="宋体" w:eastAsia="楷体_GB2312"/>
          <w:lang w:val="en-US" w:eastAsia="zh-CN"/>
        </w:rPr>
        <w:t>.</w:t>
      </w:r>
      <w:bookmarkStart w:id="0" w:name="_GoBack"/>
      <w:bookmarkEnd w:id="0"/>
      <w:r>
        <w:rPr>
          <w:rFonts w:hint="eastAsia" w:ascii="楷体_GB2312" w:hAnsi="宋体" w:eastAsia="楷体_GB2312"/>
          <w:lang w:val="zh-CN"/>
        </w:rPr>
        <w:t>资金使用。</w:t>
      </w:r>
      <w:r>
        <w:rPr>
          <w:rFonts w:hint="eastAsia" w:ascii="楷体_GB2312" w:hAnsi="宋体" w:eastAsia="楷体_GB2312"/>
          <w:lang w:val="en-US" w:eastAsia="zh-CN"/>
        </w:rPr>
        <w:t>截至2023年12月31日，项目资金实际支付70万元。在实际使用中，机关财务严把审核关，对项目所列开支的范围、标准、进度、依据逐一进行核查，确保资金使用合规合法，与预算相符。</w:t>
      </w:r>
    </w:p>
    <w:p w14:paraId="63B6941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2398E504">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严格执行机关财务管理制度。该项目经费采取授权支付形式，每月按照项目资金管理办法对资金进行计划申请。</w:t>
      </w:r>
      <w:r>
        <w:rPr>
          <w:rFonts w:hint="eastAsia" w:ascii="仿宋_GB2312" w:hAnsi="仿宋_GB2312" w:eastAsia="仿宋_GB2312" w:cs="仿宋_GB2312"/>
          <w:sz w:val="32"/>
          <w:szCs w:val="32"/>
          <w:lang w:val="zh-CN"/>
        </w:rPr>
        <w:t>资金使用按照“一事一请示”原则申请相关费用，工作结束后，机关财务对每笔支出进行认真审核，在预算控制范围内予以报销，账务处理及时，会计核算规范。</w:t>
      </w:r>
    </w:p>
    <w:p w14:paraId="03D78F92">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4855A388">
      <w:pPr>
        <w:adjustRightInd w:val="0"/>
        <w:snapToGrid w:val="0"/>
        <w:spacing w:line="560" w:lineRule="exact"/>
        <w:ind w:firstLine="720"/>
        <w:rPr>
          <w:rFonts w:hint="default" w:ascii="楷体_GB2312" w:hAnsi="宋体" w:eastAsia="楷体_GB2312"/>
          <w:lang w:val="en-US" w:eastAsia="zh-CN"/>
        </w:rPr>
      </w:pPr>
      <w:r>
        <w:rPr>
          <w:rFonts w:hint="eastAsia" w:ascii="楷体_GB2312" w:hAnsi="宋体" w:eastAsia="楷体_GB2312"/>
          <w:lang w:val="en-US" w:eastAsia="zh-CN"/>
        </w:rPr>
        <w:t>该项目由本单位自行组织实施，按规定编制部门预算，填写绩效目标申报，按项目进度申请用款计划，年终定期汇总全年支出情况，认真开展项目支出绩效评价。</w:t>
      </w:r>
    </w:p>
    <w:p w14:paraId="72FD41C4">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F54539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3A4A1DD6">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包括项目完成数量、质量、时效、成本，</w:t>
      </w:r>
      <w:r>
        <w:rPr>
          <w:rFonts w:hint="eastAsia" w:ascii="宋体" w:hAnsi="宋体"/>
          <w:szCs w:val="21"/>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p w14:paraId="44C17434">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7AF7B047">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117743D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宋体"/>
          <w:color w:val="000000"/>
          <w:kern w:val="0"/>
          <w:sz w:val="30"/>
          <w:szCs w:val="30"/>
          <w:shd w:val="clear" w:color="auto" w:fill="FFFFFF"/>
          <w:lang w:val="zh-CN" w:eastAsia="zh-CN"/>
        </w:rPr>
      </w:pPr>
      <w:r>
        <w:rPr>
          <w:rFonts w:hint="eastAsia" w:ascii="楷体_GB2312" w:hAnsi="宋体" w:eastAsia="楷体_GB2312"/>
          <w:b/>
          <w:sz w:val="30"/>
          <w:szCs w:val="30"/>
          <w:lang w:val="zh-CN"/>
        </w:rPr>
        <w:t>（一）存在的问题。</w:t>
      </w:r>
      <w:r>
        <w:rPr>
          <w:rFonts w:hint="eastAsia" w:ascii="仿宋_GB2312" w:hAnsi="宋体" w:cs="宋体"/>
          <w:color w:val="000000"/>
          <w:kern w:val="0"/>
          <w:sz w:val="30"/>
          <w:szCs w:val="30"/>
          <w:shd w:val="clear" w:color="auto" w:fill="FFFFFF"/>
          <w:lang w:val="en-US" w:eastAsia="zh-CN"/>
        </w:rPr>
        <w:t>本单位不存在问题。</w:t>
      </w:r>
    </w:p>
    <w:p w14:paraId="5887212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宋体"/>
          <w:color w:val="000000"/>
          <w:kern w:val="0"/>
          <w:sz w:val="30"/>
          <w:szCs w:val="30"/>
          <w:shd w:val="clear" w:color="auto" w:fill="FFFFFF"/>
          <w:lang w:val="zh-CN" w:eastAsia="zh-CN"/>
        </w:rPr>
      </w:pPr>
      <w:r>
        <w:rPr>
          <w:rFonts w:hint="eastAsia" w:ascii="楷体_GB2312" w:hAnsi="宋体" w:eastAsia="楷体_GB2312"/>
          <w:b/>
          <w:sz w:val="30"/>
          <w:szCs w:val="30"/>
          <w:lang w:val="zh-CN"/>
        </w:rPr>
        <w:t>（二）相关建议。</w:t>
      </w:r>
      <w:r>
        <w:rPr>
          <w:rFonts w:hint="eastAsia" w:ascii="仿宋_GB2312" w:hAnsi="宋体" w:cs="宋体"/>
          <w:color w:val="000000"/>
          <w:kern w:val="0"/>
          <w:sz w:val="30"/>
          <w:szCs w:val="30"/>
          <w:shd w:val="clear" w:color="auto" w:fill="FFFFFF"/>
          <w:lang w:val="en-US" w:eastAsia="zh-CN"/>
        </w:rPr>
        <w:t>本单位无修改建议。</w:t>
      </w:r>
    </w:p>
    <w:p w14:paraId="500F8258">
      <w:pPr>
        <w:numPr>
          <w:ilvl w:val="0"/>
          <w:numId w:val="0"/>
        </w:numPr>
        <w:adjustRightInd w:val="0"/>
        <w:snapToGrid w:val="0"/>
        <w:spacing w:line="560" w:lineRule="exact"/>
        <w:rPr>
          <w:rFonts w:hint="default" w:ascii="仿宋_GB2312" w:hAnsi="宋体"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A998A-DD02-45F9-A205-3AE4C77BB8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7025BB-B6DB-4468-93BD-A5972A6BF75C}"/>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6135572-9CA3-4746-9949-95403DBA6EFA}"/>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4" w:fontKey="{F5017639-AD57-416E-84DE-DBBDB73118BB}"/>
  </w:font>
  <w:font w:name="楷体_GB2312">
    <w:panose1 w:val="02010609030101010101"/>
    <w:charset w:val="86"/>
    <w:family w:val="modern"/>
    <w:pitch w:val="default"/>
    <w:sig w:usb0="00000001" w:usb1="080E0000" w:usb2="00000000" w:usb3="00000000" w:csb0="00040000" w:csb1="00000000"/>
    <w:embedRegular r:id="rId5" w:fontKey="{00414552-34DB-4324-BC35-84C7FB0234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818E7"/>
    <w:multiLevelType w:val="singleLevel"/>
    <w:tmpl w:val="EB3818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417211"/>
    <w:rsid w:val="004B6F67"/>
    <w:rsid w:val="00B53A36"/>
    <w:rsid w:val="02F048B4"/>
    <w:rsid w:val="063C0D52"/>
    <w:rsid w:val="0A7A79D1"/>
    <w:rsid w:val="0A7F0917"/>
    <w:rsid w:val="0D0B0937"/>
    <w:rsid w:val="0EDB478C"/>
    <w:rsid w:val="134F24D1"/>
    <w:rsid w:val="158C695C"/>
    <w:rsid w:val="21F97134"/>
    <w:rsid w:val="244D1252"/>
    <w:rsid w:val="25D753BC"/>
    <w:rsid w:val="27607A3E"/>
    <w:rsid w:val="281C0BF5"/>
    <w:rsid w:val="291C455A"/>
    <w:rsid w:val="2BEF53A9"/>
    <w:rsid w:val="2D142B12"/>
    <w:rsid w:val="2EEE44C6"/>
    <w:rsid w:val="36926D0C"/>
    <w:rsid w:val="3D815D87"/>
    <w:rsid w:val="3FEA70B4"/>
    <w:rsid w:val="4DAF2BCF"/>
    <w:rsid w:val="4DDB6F66"/>
    <w:rsid w:val="507D4F01"/>
    <w:rsid w:val="53730961"/>
    <w:rsid w:val="551952E3"/>
    <w:rsid w:val="599E2A27"/>
    <w:rsid w:val="59CD7278"/>
    <w:rsid w:val="5F266C6C"/>
    <w:rsid w:val="70D971AE"/>
    <w:rsid w:val="792F2AEE"/>
    <w:rsid w:val="7BB11519"/>
    <w:rsid w:val="7DE652EF"/>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930</Words>
  <Characters>957</Characters>
  <Lines>6</Lines>
  <Paragraphs>1</Paragraphs>
  <TotalTime>0</TotalTime>
  <ScaleCrop>false</ScaleCrop>
  <LinksUpToDate>false</LinksUpToDate>
  <CharactersWithSpaces>959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碧云天</cp:lastModifiedBy>
  <cp:lastPrinted>2022-07-21T09:16:00Z</cp:lastPrinted>
  <dcterms:modified xsi:type="dcterms:W3CDTF">2024-10-29T02:19:09Z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6FB019CA412C4879B4DC4DD1EFF201F2</vt:lpwstr>
  </property>
</Properties>
</file>