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80" w:lineRule="exact"/>
        <w:contextualSpacing/>
        <w:rPr>
          <w:rFonts w:ascii="方正黑体_GBK" w:hAnsi="SimSun" w:eastAsia="方正黑体_GBK"/>
          <w:sz w:val="33"/>
          <w:szCs w:val="33"/>
          <w:lang w:val="zh-CN"/>
        </w:rPr>
      </w:pPr>
      <w:r>
        <w:rPr>
          <w:rFonts w:hint="eastAsia" w:ascii="方正黑体_GBK" w:hAnsi="SimSun" w:eastAsia="方正黑体_GBK"/>
          <w:sz w:val="33"/>
          <w:szCs w:val="33"/>
          <w:lang w:val="zh-CN"/>
        </w:rPr>
        <w:t>附件</w:t>
      </w:r>
      <w:r>
        <w:rPr>
          <w:rFonts w:hint="eastAsia" w:eastAsia="方正黑体_GBK"/>
          <w:sz w:val="33"/>
          <w:szCs w:val="33"/>
        </w:rPr>
        <w:t>1</w:t>
      </w:r>
    </w:p>
    <w:p>
      <w:pPr>
        <w:widowControl/>
        <w:spacing w:line="580" w:lineRule="exact"/>
        <w:ind w:firstLine="883" w:firstLineChars="200"/>
        <w:contextualSpacing/>
        <w:jc w:val="center"/>
        <w:rPr>
          <w:rFonts w:ascii="SimSun"/>
          <w:b/>
          <w:sz w:val="44"/>
          <w:szCs w:val="44"/>
          <w:shd w:val="clear" w:color="auto" w:fill="FFFFFF"/>
        </w:rPr>
      </w:pPr>
    </w:p>
    <w:p>
      <w:pPr>
        <w:widowControl/>
        <w:spacing w:line="580" w:lineRule="exact"/>
        <w:contextualSpacing/>
        <w:jc w:val="center"/>
        <w:rPr>
          <w:rFonts w:hint="eastAsia" w:ascii="SimSun" w:hAnsi="SimSun" w:eastAsia="SimSun"/>
          <w:b/>
          <w:sz w:val="44"/>
          <w:szCs w:val="44"/>
          <w:shd w:val="clear" w:color="auto" w:fill="FFFFFF"/>
        </w:rPr>
      </w:pPr>
      <w:r>
        <w:rPr>
          <w:rFonts w:hint="eastAsia" w:ascii="SimSun" w:hAnsi="SimSun" w:eastAsia="SimSun"/>
          <w:b/>
          <w:sz w:val="44"/>
          <w:szCs w:val="44"/>
          <w:shd w:val="clear" w:color="auto" w:fill="FFFFFF"/>
          <w:lang w:val="en-US" w:eastAsia="zh-CN"/>
        </w:rPr>
        <w:t xml:space="preserve"> 2022年度</w:t>
      </w:r>
      <w:r>
        <w:rPr>
          <w:rFonts w:hint="eastAsia" w:ascii="SimSun" w:hAnsi="SimSun" w:eastAsia="SimSun"/>
          <w:b/>
          <w:sz w:val="44"/>
          <w:szCs w:val="44"/>
          <w:shd w:val="clear" w:color="auto" w:fill="FFFFFF"/>
        </w:rPr>
        <w:t>部门整体支出绩效</w:t>
      </w:r>
      <w:r>
        <w:rPr>
          <w:rFonts w:hint="eastAsia" w:ascii="SimSun" w:hAnsi="SimSun" w:eastAsia="SimSun"/>
          <w:b/>
          <w:sz w:val="44"/>
          <w:szCs w:val="44"/>
          <w:shd w:val="clear" w:color="auto" w:fill="FFFFFF"/>
          <w:lang w:val="en-US" w:eastAsia="zh-CN"/>
        </w:rPr>
        <w:t>自评</w:t>
      </w:r>
      <w:r>
        <w:rPr>
          <w:rFonts w:hint="eastAsia" w:ascii="SimSun" w:hAnsi="SimSun" w:eastAsia="SimSun"/>
          <w:b/>
          <w:sz w:val="44"/>
          <w:szCs w:val="44"/>
          <w:shd w:val="clear" w:color="auto" w:fill="FFFFFF"/>
        </w:rPr>
        <w:t>报告</w:t>
      </w:r>
    </w:p>
    <w:p>
      <w:pPr>
        <w:spacing w:line="600" w:lineRule="exact"/>
        <w:ind w:firstLine="1920" w:firstLineChars="600"/>
        <w:jc w:val="both"/>
        <w:rPr>
          <w:rFonts w:hint="default" w:ascii="FangSong_GB2312" w:hAnsi="FangSong_GB2312" w:eastAsia="FangSong_GB2312" w:cs="FangSong_GB2312"/>
          <w:sz w:val="32"/>
          <w:szCs w:val="32"/>
          <w:lang w:val="en-US" w:eastAsia="zh-CN"/>
        </w:rPr>
      </w:pPr>
      <w:r>
        <w:rPr>
          <w:rFonts w:hint="eastAsia" w:ascii="FangSong_GB2312" w:hAnsi="FangSong_GB2312" w:eastAsia="FangSong_GB2312" w:cs="FangSong_GB2312"/>
          <w:sz w:val="32"/>
          <w:szCs w:val="32"/>
          <w:lang w:eastAsia="zh-CN"/>
        </w:rPr>
        <w:t>（</w:t>
      </w:r>
      <w:r>
        <w:rPr>
          <w:rFonts w:hint="eastAsia" w:ascii="FangSong_GB2312" w:hAnsi="SimSun" w:eastAsia="FangSong_GB2312"/>
          <w:szCs w:val="32"/>
          <w:shd w:val="clear" w:color="auto" w:fill="FFFFFF"/>
          <w:lang w:val="en-US" w:eastAsia="zh-CN"/>
        </w:rPr>
        <w:t>峨边彝族自治县人大常委会办公室）</w:t>
      </w:r>
    </w:p>
    <w:p>
      <w:pPr>
        <w:widowControl/>
        <w:adjustRightInd w:val="0"/>
        <w:snapToGrid w:val="0"/>
        <w:spacing w:line="580" w:lineRule="exact"/>
        <w:ind w:firstLine="660" w:firstLineChars="200"/>
        <w:contextualSpacing/>
        <w:jc w:val="left"/>
        <w:rPr>
          <w:rFonts w:ascii="方正仿宋_GBK" w:hAnsi="SimSun" w:eastAsia="方正仿宋_GBK" w:cs="SimSun"/>
          <w:color w:val="000000"/>
          <w:kern w:val="0"/>
          <w:sz w:val="33"/>
          <w:szCs w:val="33"/>
          <w:shd w:val="clear" w:color="auto" w:fill="FFFFFF"/>
        </w:rPr>
      </w:pPr>
    </w:p>
    <w:p>
      <w:pPr>
        <w:widowControl/>
        <w:adjustRightInd w:val="0"/>
        <w:snapToGrid w:val="0"/>
        <w:spacing w:line="580" w:lineRule="exact"/>
        <w:ind w:firstLine="640" w:firstLineChars="200"/>
        <w:contextualSpacing/>
        <w:jc w:val="left"/>
        <w:rPr>
          <w:rFonts w:ascii="SimHei" w:hAnsi="SimHei" w:eastAsia="SimHei" w:cs="SimSun"/>
          <w:color w:val="000000"/>
          <w:kern w:val="0"/>
          <w:szCs w:val="32"/>
          <w:shd w:val="clear" w:color="auto" w:fill="FFFFFF"/>
          <w:lang w:val="zh-CN"/>
        </w:rPr>
      </w:pPr>
      <w:r>
        <w:rPr>
          <w:rFonts w:hint="eastAsia" w:ascii="SimHei" w:hAnsi="SimHei" w:eastAsia="SimHei" w:cs="SimSun"/>
          <w:color w:val="000000"/>
          <w:kern w:val="0"/>
          <w:szCs w:val="32"/>
          <w:shd w:val="clear" w:color="auto" w:fill="FFFFFF"/>
        </w:rPr>
        <w:t>一、</w:t>
      </w:r>
      <w:r>
        <w:rPr>
          <w:rFonts w:hint="eastAsia" w:ascii="SimHei" w:hAnsi="SimHei" w:eastAsia="SimHei" w:cs="SimSun"/>
          <w:color w:val="000000"/>
          <w:kern w:val="0"/>
          <w:szCs w:val="32"/>
          <w:shd w:val="clear" w:color="auto" w:fill="FFFFFF"/>
          <w:lang w:val="zh-CN"/>
        </w:rPr>
        <w:t>部门基本情况</w:t>
      </w:r>
    </w:p>
    <w:p>
      <w:pPr>
        <w:spacing w:line="600" w:lineRule="exact"/>
        <w:ind w:firstLine="640" w:firstLineChars="200"/>
        <w:rPr>
          <w:rFonts w:ascii="KaiTi_GB2312" w:hAnsi="SimSun" w:eastAsia="KaiTi_GB2312" w:cs="SimSun"/>
          <w:color w:val="000000"/>
          <w:kern w:val="0"/>
          <w:szCs w:val="32"/>
          <w:shd w:val="clear" w:color="auto" w:fill="FFFFFF"/>
          <w:lang w:val="zh-CN"/>
        </w:rPr>
      </w:pPr>
      <w:r>
        <w:rPr>
          <w:rFonts w:hint="eastAsia" w:ascii="KaiTi_GB2312" w:hAnsi="SimSun" w:eastAsia="KaiTi_GB2312" w:cs="SimSun"/>
          <w:color w:val="000000"/>
          <w:kern w:val="0"/>
          <w:szCs w:val="32"/>
          <w:shd w:val="clear" w:color="auto" w:fill="FFFFFF"/>
          <w:lang w:val="zh-CN"/>
        </w:rPr>
        <w:t>（一）机构组成。</w:t>
      </w:r>
      <w:r>
        <w:rPr>
          <w:rFonts w:hint="eastAsia" w:ascii="FangSong_GB2312" w:hAnsi="FangSong_GB2312" w:eastAsia="FangSong_GB2312" w:cs="FangSong_GB2312"/>
          <w:sz w:val="32"/>
          <w:szCs w:val="32"/>
          <w:lang w:eastAsia="zh-CN"/>
        </w:rPr>
        <w:t>自治县人大办</w:t>
      </w:r>
      <w:r>
        <w:rPr>
          <w:rFonts w:hint="eastAsia" w:ascii="FangSong_GB2312" w:hAnsi="FangSong_GB2312" w:eastAsia="FangSong_GB2312" w:cs="FangSong_GB2312"/>
          <w:sz w:val="32"/>
          <w:szCs w:val="32"/>
        </w:rPr>
        <w:t>预算单位</w:t>
      </w:r>
      <w:r>
        <w:rPr>
          <w:rFonts w:hint="eastAsia" w:ascii="FangSong_GB2312" w:hAnsi="FangSong_GB2312" w:eastAsia="FangSong_GB2312" w:cs="FangSong_GB2312"/>
          <w:sz w:val="32"/>
          <w:szCs w:val="32"/>
          <w:lang w:val="en-US" w:eastAsia="zh-CN"/>
        </w:rPr>
        <w:t>1</w:t>
      </w:r>
      <w:r>
        <w:rPr>
          <w:rFonts w:hint="eastAsia" w:ascii="FangSong_GB2312" w:hAnsi="FangSong_GB2312" w:eastAsia="FangSong_GB2312" w:cs="FangSong_GB2312"/>
          <w:sz w:val="32"/>
          <w:szCs w:val="32"/>
        </w:rPr>
        <w:t>个，其中：行政单位</w:t>
      </w:r>
      <w:r>
        <w:rPr>
          <w:rFonts w:hint="eastAsia" w:ascii="FangSong_GB2312" w:hAnsi="FangSong_GB2312" w:eastAsia="FangSong_GB2312" w:cs="FangSong_GB2312"/>
          <w:sz w:val="32"/>
          <w:szCs w:val="32"/>
          <w:lang w:val="en-US" w:eastAsia="zh-CN"/>
        </w:rPr>
        <w:t>1</w:t>
      </w:r>
      <w:r>
        <w:rPr>
          <w:rFonts w:hint="eastAsia" w:ascii="FangSong_GB2312" w:hAnsi="FangSong_GB2312" w:eastAsia="FangSong_GB2312" w:cs="FangSong_GB2312"/>
          <w:sz w:val="32"/>
          <w:szCs w:val="32"/>
        </w:rPr>
        <w:t>个，事业单位</w:t>
      </w:r>
      <w:r>
        <w:rPr>
          <w:rFonts w:hint="eastAsia" w:ascii="FangSong_GB2312" w:hAnsi="FangSong_GB2312" w:eastAsia="FangSong_GB2312" w:cs="FangSong_GB2312"/>
          <w:sz w:val="32"/>
          <w:szCs w:val="32"/>
          <w:lang w:val="en-US" w:eastAsia="zh-CN"/>
        </w:rPr>
        <w:t>0</w:t>
      </w:r>
      <w:r>
        <w:rPr>
          <w:rFonts w:hint="eastAsia" w:ascii="FangSong_GB2312" w:hAnsi="FangSong_GB2312" w:eastAsia="FangSong_GB2312" w:cs="FangSong_GB2312"/>
          <w:sz w:val="32"/>
          <w:szCs w:val="32"/>
        </w:rPr>
        <w:t>个。</w:t>
      </w:r>
    </w:p>
    <w:p>
      <w:pPr>
        <w:spacing w:line="600" w:lineRule="exact"/>
        <w:ind w:firstLine="640" w:firstLineChars="200"/>
        <w:rPr>
          <w:rFonts w:hint="eastAsia" w:ascii="FangSong_GB2312" w:hAnsi="FangSong_GB2312" w:eastAsia="FangSong_GB2312" w:cs="FangSong_GB2312"/>
          <w:sz w:val="32"/>
          <w:szCs w:val="32"/>
        </w:rPr>
      </w:pPr>
      <w:r>
        <w:rPr>
          <w:rFonts w:hint="eastAsia" w:ascii="KaiTi_GB2312" w:hAnsi="SimSun" w:eastAsia="KaiTi_GB2312" w:cs="SimSun"/>
          <w:color w:val="000000"/>
          <w:kern w:val="0"/>
          <w:szCs w:val="32"/>
          <w:shd w:val="clear" w:color="auto" w:fill="FFFFFF"/>
          <w:lang w:val="zh-CN"/>
        </w:rPr>
        <w:t>（二）机构职能和人员概况。</w:t>
      </w:r>
      <w:r>
        <w:rPr>
          <w:rFonts w:hint="eastAsia" w:ascii="FangSong_GB2312" w:hAnsi="FangSong_GB2312" w:eastAsia="FangSong_GB2312" w:cs="FangSong_GB2312"/>
          <w:sz w:val="32"/>
          <w:szCs w:val="32"/>
          <w:lang w:eastAsia="zh-CN"/>
        </w:rPr>
        <w:t>自治县人大办</w:t>
      </w:r>
      <w:r>
        <w:rPr>
          <w:rFonts w:hint="eastAsia" w:ascii="FangSong_GB2312" w:hAnsi="FangSong_GB2312" w:eastAsia="FangSong_GB2312" w:cs="FangSong_GB2312"/>
          <w:sz w:val="32"/>
          <w:szCs w:val="32"/>
        </w:rPr>
        <w:t>依法行使民族立法权、重大事项决定权、监督权、人事任免权等做好服务工作；为代表视察、代表培训、代表议案、建议、批评和意见办理工作等做好服务。</w:t>
      </w:r>
    </w:p>
    <w:p>
      <w:pPr>
        <w:spacing w:line="600" w:lineRule="exact"/>
        <w:ind w:firstLine="640" w:firstLineChars="200"/>
        <w:rPr>
          <w:rFonts w:ascii="KaiTi_GB2312" w:hAnsi="SimSun" w:eastAsia="KaiTi_GB2312" w:cs="SimSun"/>
          <w:color w:val="000000"/>
          <w:kern w:val="0"/>
          <w:szCs w:val="32"/>
          <w:shd w:val="clear" w:color="auto" w:fill="FFFFFF"/>
          <w:lang w:val="zh-CN"/>
        </w:rPr>
      </w:pPr>
      <w:r>
        <w:rPr>
          <w:rFonts w:hint="eastAsia" w:ascii="FangSong_GB2312" w:hAnsi="FangSong_GB2312" w:eastAsia="FangSong_GB2312" w:cs="FangSong_GB2312"/>
          <w:sz w:val="32"/>
          <w:szCs w:val="32"/>
          <w:lang w:eastAsia="zh-CN"/>
        </w:rPr>
        <w:t>自治县人大办</w:t>
      </w:r>
      <w:r>
        <w:rPr>
          <w:rFonts w:hint="eastAsia" w:ascii="FangSong_GB2312" w:hAnsi="FangSong_GB2312" w:eastAsia="FangSong_GB2312" w:cs="FangSong_GB2312"/>
          <w:sz w:val="32"/>
          <w:szCs w:val="32"/>
        </w:rPr>
        <w:t>总编制</w:t>
      </w:r>
      <w:r>
        <w:rPr>
          <w:rFonts w:hint="eastAsia" w:ascii="FangSong_GB2312" w:hAnsi="FangSong_GB2312" w:eastAsia="FangSong_GB2312" w:cs="FangSong_GB2312"/>
          <w:sz w:val="32"/>
          <w:szCs w:val="32"/>
          <w:lang w:val="en-US" w:eastAsia="zh-CN"/>
        </w:rPr>
        <w:t>25</w:t>
      </w:r>
      <w:r>
        <w:rPr>
          <w:rFonts w:hint="eastAsia" w:ascii="FangSong_GB2312" w:hAnsi="FangSong_GB2312" w:eastAsia="FangSong_GB2312" w:cs="FangSong_GB2312"/>
          <w:sz w:val="32"/>
          <w:szCs w:val="32"/>
        </w:rPr>
        <w:t>名，其中：行政编制</w:t>
      </w:r>
      <w:r>
        <w:rPr>
          <w:rFonts w:hint="eastAsia" w:ascii="FangSong_GB2312" w:hAnsi="FangSong_GB2312" w:eastAsia="FangSong_GB2312" w:cs="FangSong_GB2312"/>
          <w:sz w:val="32"/>
          <w:szCs w:val="32"/>
          <w:lang w:val="en-US" w:eastAsia="zh-CN"/>
        </w:rPr>
        <w:t>10</w:t>
      </w:r>
      <w:r>
        <w:rPr>
          <w:rFonts w:hint="eastAsia" w:ascii="FangSong_GB2312" w:hAnsi="FangSong_GB2312" w:eastAsia="FangSong_GB2312" w:cs="FangSong_GB2312"/>
          <w:sz w:val="32"/>
          <w:szCs w:val="32"/>
        </w:rPr>
        <w:t>名，工勤编制</w:t>
      </w:r>
      <w:r>
        <w:rPr>
          <w:rFonts w:hint="eastAsia" w:ascii="FangSong_GB2312" w:hAnsi="FangSong_GB2312" w:eastAsia="FangSong_GB2312" w:cs="FangSong_GB2312"/>
          <w:sz w:val="32"/>
          <w:szCs w:val="32"/>
          <w:lang w:val="en-US" w:eastAsia="zh-CN"/>
        </w:rPr>
        <w:t>4</w:t>
      </w:r>
      <w:r>
        <w:rPr>
          <w:rFonts w:hint="eastAsia" w:ascii="FangSong_GB2312" w:hAnsi="FangSong_GB2312" w:eastAsia="FangSong_GB2312" w:cs="FangSong_GB2312"/>
          <w:sz w:val="32"/>
          <w:szCs w:val="32"/>
        </w:rPr>
        <w:t>名，事业编制</w:t>
      </w:r>
      <w:r>
        <w:rPr>
          <w:rFonts w:hint="eastAsia" w:ascii="FangSong_GB2312" w:hAnsi="FangSong_GB2312" w:eastAsia="FangSong_GB2312" w:cs="FangSong_GB2312"/>
          <w:sz w:val="32"/>
          <w:szCs w:val="32"/>
          <w:lang w:val="en-US" w:eastAsia="zh-CN"/>
        </w:rPr>
        <w:t>11</w:t>
      </w:r>
      <w:r>
        <w:rPr>
          <w:rFonts w:hint="eastAsia" w:ascii="FangSong_GB2312" w:hAnsi="FangSong_GB2312" w:eastAsia="FangSong_GB2312" w:cs="FangSong_GB2312"/>
          <w:sz w:val="32"/>
          <w:szCs w:val="32"/>
        </w:rPr>
        <w:t>名。在职人员总数</w:t>
      </w:r>
      <w:r>
        <w:rPr>
          <w:rFonts w:hint="eastAsia" w:ascii="FangSong_GB2312" w:hAnsi="FangSong_GB2312" w:cs="FangSong_GB2312"/>
          <w:sz w:val="32"/>
          <w:szCs w:val="32"/>
          <w:lang w:val="en-US" w:eastAsia="zh-CN"/>
        </w:rPr>
        <w:t>33</w:t>
      </w:r>
      <w:r>
        <w:rPr>
          <w:rFonts w:hint="eastAsia" w:ascii="FangSong_GB2312" w:hAnsi="FangSong_GB2312" w:eastAsia="FangSong_GB2312" w:cs="FangSong_GB2312"/>
          <w:sz w:val="32"/>
          <w:szCs w:val="32"/>
        </w:rPr>
        <w:t>名，其中：行政</w:t>
      </w:r>
      <w:r>
        <w:rPr>
          <w:rFonts w:hint="eastAsia" w:ascii="FangSong_GB2312" w:hAnsi="FangSong_GB2312" w:eastAsia="FangSong_GB2312" w:cs="FangSong_GB2312"/>
          <w:sz w:val="32"/>
          <w:szCs w:val="32"/>
          <w:lang w:val="en-US" w:eastAsia="zh-CN"/>
        </w:rPr>
        <w:t>2</w:t>
      </w:r>
      <w:r>
        <w:rPr>
          <w:rFonts w:hint="eastAsia" w:ascii="FangSong_GB2312" w:hAnsi="FangSong_GB2312" w:cs="FangSong_GB2312"/>
          <w:sz w:val="32"/>
          <w:szCs w:val="32"/>
          <w:lang w:val="en-US" w:eastAsia="zh-CN"/>
        </w:rPr>
        <w:t>3</w:t>
      </w:r>
      <w:r>
        <w:rPr>
          <w:rFonts w:hint="eastAsia" w:ascii="FangSong_GB2312" w:hAnsi="FangSong_GB2312" w:eastAsia="FangSong_GB2312" w:cs="FangSong_GB2312"/>
          <w:sz w:val="32"/>
          <w:szCs w:val="32"/>
        </w:rPr>
        <w:t>名，工勤</w:t>
      </w:r>
      <w:r>
        <w:rPr>
          <w:rFonts w:hint="eastAsia" w:ascii="FangSong_GB2312" w:hAnsi="FangSong_GB2312" w:eastAsia="FangSong_GB2312" w:cs="FangSong_GB2312"/>
          <w:sz w:val="32"/>
          <w:szCs w:val="32"/>
          <w:lang w:val="en-US" w:eastAsia="zh-CN"/>
        </w:rPr>
        <w:t>1</w:t>
      </w:r>
      <w:r>
        <w:rPr>
          <w:rFonts w:hint="eastAsia" w:ascii="FangSong_GB2312" w:hAnsi="FangSong_GB2312" w:eastAsia="FangSong_GB2312" w:cs="FangSong_GB2312"/>
          <w:sz w:val="32"/>
          <w:szCs w:val="32"/>
        </w:rPr>
        <w:t>名，事业</w:t>
      </w:r>
      <w:r>
        <w:rPr>
          <w:rFonts w:hint="eastAsia" w:ascii="FangSong_GB2312" w:hAnsi="FangSong_GB2312" w:cs="FangSong_GB2312"/>
          <w:sz w:val="32"/>
          <w:szCs w:val="32"/>
          <w:lang w:val="en-US" w:eastAsia="zh-CN"/>
        </w:rPr>
        <w:t>9</w:t>
      </w:r>
      <w:r>
        <w:rPr>
          <w:rFonts w:hint="eastAsia" w:ascii="FangSong_GB2312" w:hAnsi="FangSong_GB2312" w:eastAsia="FangSong_GB2312" w:cs="FangSong_GB2312"/>
          <w:sz w:val="32"/>
          <w:szCs w:val="32"/>
        </w:rPr>
        <w:t>名。离休</w:t>
      </w:r>
      <w:r>
        <w:rPr>
          <w:rFonts w:hint="eastAsia" w:ascii="FangSong_GB2312" w:hAnsi="FangSong_GB2312" w:eastAsia="FangSong_GB2312" w:cs="FangSong_GB2312"/>
          <w:sz w:val="32"/>
          <w:szCs w:val="32"/>
          <w:lang w:val="en-US" w:eastAsia="zh-CN"/>
        </w:rPr>
        <w:t>0</w:t>
      </w:r>
      <w:r>
        <w:rPr>
          <w:rFonts w:hint="eastAsia" w:ascii="FangSong_GB2312" w:hAnsi="FangSong_GB2312" w:eastAsia="FangSong_GB2312" w:cs="FangSong_GB2312"/>
          <w:sz w:val="32"/>
          <w:szCs w:val="32"/>
        </w:rPr>
        <w:t>名</w:t>
      </w:r>
      <w:r>
        <w:rPr>
          <w:rFonts w:hint="eastAsia" w:ascii="FangSong" w:hAnsi="FangSong" w:eastAsia="FangSong"/>
          <w:sz w:val="32"/>
          <w:szCs w:val="32"/>
        </w:rPr>
        <w:t>。</w:t>
      </w:r>
    </w:p>
    <w:p>
      <w:pPr>
        <w:spacing w:line="600" w:lineRule="exact"/>
        <w:ind w:firstLine="640" w:firstLineChars="200"/>
        <w:rPr>
          <w:rFonts w:hint="eastAsia" w:ascii="FangSong_GB2312" w:hAnsi="FangSong_GB2312" w:eastAsia="FangSong_GB2312" w:cs="FangSong_GB2312"/>
          <w:b w:val="0"/>
          <w:bCs w:val="0"/>
          <w:sz w:val="32"/>
          <w:szCs w:val="32"/>
        </w:rPr>
      </w:pPr>
      <w:r>
        <w:rPr>
          <w:rFonts w:hint="eastAsia" w:ascii="KaiTi_GB2312" w:hAnsi="SimSun" w:eastAsia="KaiTi_GB2312" w:cs="SimSun"/>
          <w:color w:val="000000"/>
          <w:kern w:val="0"/>
          <w:szCs w:val="32"/>
          <w:shd w:val="clear" w:color="auto" w:fill="FFFFFF"/>
          <w:lang w:val="zh-CN"/>
        </w:rPr>
        <w:t>（三）年度主要工作任务。</w:t>
      </w:r>
      <w:r>
        <w:rPr>
          <w:rFonts w:hint="eastAsia" w:ascii="FangSong_GB2312" w:hAnsi="FangSong_GB2312" w:eastAsia="FangSong_GB2312" w:cs="FangSong_GB2312"/>
          <w:sz w:val="32"/>
          <w:szCs w:val="32"/>
        </w:rPr>
        <w:t>202</w:t>
      </w:r>
      <w:r>
        <w:rPr>
          <w:rFonts w:hint="eastAsia" w:ascii="FangSong_GB2312" w:hAnsi="FangSong_GB2312" w:eastAsia="FangSong_GB2312" w:cs="FangSong_GB2312"/>
          <w:sz w:val="32"/>
          <w:szCs w:val="32"/>
          <w:lang w:val="en-US" w:eastAsia="zh-CN"/>
        </w:rPr>
        <w:t>2</w:t>
      </w:r>
      <w:r>
        <w:rPr>
          <w:rFonts w:hint="eastAsia" w:ascii="FangSong_GB2312" w:hAnsi="FangSong_GB2312" w:eastAsia="FangSong_GB2312" w:cs="FangSong_GB2312"/>
          <w:sz w:val="32"/>
          <w:szCs w:val="32"/>
        </w:rPr>
        <w:t>年重点工作任务介绍：坚定不移</w:t>
      </w:r>
      <w:r>
        <w:rPr>
          <w:rFonts w:hint="eastAsia" w:ascii="FangSong_GB2312" w:hAnsi="FangSong_GB2312" w:eastAsia="FangSong_GB2312" w:cs="FangSong_GB2312"/>
          <w:b w:val="0"/>
          <w:bCs w:val="0"/>
          <w:sz w:val="32"/>
          <w:szCs w:val="32"/>
        </w:rPr>
        <w:t>贯彻“18345”发展</w:t>
      </w:r>
      <w:r>
        <w:rPr>
          <w:rFonts w:hint="eastAsia" w:ascii="FangSong_GB2312" w:hAnsi="FangSong_GB2312" w:eastAsia="FangSong_GB2312" w:cs="FangSong_GB2312"/>
          <w:b w:val="0"/>
          <w:bCs w:val="0"/>
          <w:sz w:val="32"/>
          <w:szCs w:val="32"/>
          <w:lang w:val="en-US" w:eastAsia="zh-CN"/>
        </w:rPr>
        <w:t>方略</w:t>
      </w:r>
      <w:r>
        <w:rPr>
          <w:rFonts w:hint="eastAsia" w:ascii="FangSong_GB2312" w:hAnsi="FangSong_GB2312" w:eastAsia="FangSong_GB2312" w:cs="FangSong_GB2312"/>
          <w:b w:val="0"/>
          <w:bCs w:val="0"/>
          <w:sz w:val="32"/>
          <w:szCs w:val="32"/>
        </w:rPr>
        <w:t>，紧扣“</w:t>
      </w:r>
      <w:r>
        <w:rPr>
          <w:rFonts w:hint="eastAsia" w:ascii="FangSong_GB2312" w:hAnsi="FangSong_GB2312" w:eastAsia="FangSong_GB2312" w:cs="FangSong_GB2312"/>
          <w:b w:val="0"/>
          <w:bCs w:val="0"/>
          <w:sz w:val="32"/>
          <w:szCs w:val="32"/>
          <w:lang w:val="en-US" w:eastAsia="zh-CN"/>
        </w:rPr>
        <w:t>重大产业项目攻坚年</w:t>
      </w:r>
      <w:r>
        <w:rPr>
          <w:rFonts w:hint="eastAsia" w:ascii="FangSong_GB2312" w:hAnsi="FangSong_GB2312" w:eastAsia="FangSong_GB2312" w:cs="FangSong_GB2312"/>
          <w:b w:val="0"/>
          <w:bCs w:val="0"/>
          <w:sz w:val="32"/>
          <w:szCs w:val="32"/>
        </w:rPr>
        <w:t>”</w:t>
      </w:r>
      <w:r>
        <w:rPr>
          <w:rFonts w:hint="eastAsia" w:ascii="FangSong_GB2312" w:hAnsi="FangSong_GB2312" w:eastAsia="FangSong_GB2312" w:cs="FangSong_GB2312"/>
          <w:b w:val="0"/>
          <w:bCs w:val="0"/>
          <w:sz w:val="32"/>
          <w:szCs w:val="32"/>
          <w:lang w:val="en-US" w:eastAsia="zh-CN"/>
        </w:rPr>
        <w:t>经济</w:t>
      </w:r>
      <w:r>
        <w:rPr>
          <w:rFonts w:hint="eastAsia" w:ascii="FangSong_GB2312" w:hAnsi="FangSong_GB2312" w:eastAsia="FangSong_GB2312" w:cs="FangSong_GB2312"/>
          <w:b w:val="0"/>
          <w:bCs w:val="0"/>
          <w:sz w:val="32"/>
          <w:szCs w:val="32"/>
        </w:rPr>
        <w:t>工作主题，</w:t>
      </w:r>
      <w:r>
        <w:rPr>
          <w:rFonts w:hint="eastAsia" w:ascii="FangSong_GB2312" w:hAnsi="FangSong_GB2312" w:eastAsia="FangSong_GB2312" w:cs="FangSong_GB2312"/>
          <w:b w:val="0"/>
          <w:bCs w:val="0"/>
          <w:sz w:val="32"/>
          <w:szCs w:val="32"/>
          <w:lang w:val="en-US" w:eastAsia="zh-CN"/>
        </w:rPr>
        <w:t>聚焦“国家生态文明建设示范县、全国民族地区绿色经济强县、全国全域旅游示范县、全国民族地区乡村振兴典范”创建，聚力县委重点推进的大事要事、人民关切的热点难点，依法履职行权，创新担当作为，</w:t>
      </w:r>
      <w:r>
        <w:rPr>
          <w:rFonts w:hint="eastAsia" w:ascii="FangSong_GB2312" w:hAnsi="FangSong_GB2312" w:eastAsia="FangSong_GB2312" w:cs="FangSong_GB2312"/>
          <w:b w:val="0"/>
          <w:bCs w:val="0"/>
          <w:sz w:val="32"/>
          <w:szCs w:val="32"/>
        </w:rPr>
        <w:t>加大监督力度</w:t>
      </w:r>
      <w:r>
        <w:rPr>
          <w:rFonts w:hint="eastAsia" w:ascii="FangSong_GB2312" w:hAnsi="FangSong_GB2312" w:eastAsia="SimSun" w:cs="FangSong_GB2312"/>
          <w:b w:val="0"/>
          <w:bCs w:val="0"/>
          <w:sz w:val="32"/>
          <w:szCs w:val="32"/>
          <w:lang w:eastAsia="zh-CN"/>
        </w:rPr>
        <w:t>，</w:t>
      </w:r>
      <w:r>
        <w:rPr>
          <w:rFonts w:hint="eastAsia" w:ascii="FangSong_GB2312" w:hAnsi="FangSong_GB2312" w:eastAsia="FangSong_GB2312" w:cs="FangSong_GB2312"/>
          <w:b w:val="0"/>
          <w:bCs w:val="0"/>
          <w:sz w:val="32"/>
          <w:szCs w:val="32"/>
          <w:lang w:val="en-US" w:eastAsia="zh-CN"/>
        </w:rPr>
        <w:t>为助推生态强县美丽峨边高质量发展作出新的更大的贡献。</w:t>
      </w:r>
    </w:p>
    <w:p>
      <w:pPr>
        <w:widowControl/>
        <w:adjustRightInd w:val="0"/>
        <w:snapToGrid w:val="0"/>
        <w:spacing w:line="580" w:lineRule="exact"/>
        <w:ind w:firstLine="320" w:firstLineChars="100"/>
        <w:contextualSpacing/>
        <w:jc w:val="left"/>
        <w:rPr>
          <w:rFonts w:hint="eastAsia" w:ascii="FangSong_GB2312" w:hAnsi="FangSong_GB2312" w:eastAsia="FangSong_GB2312" w:cs="FangSong_GB2312"/>
          <w:b w:val="0"/>
          <w:bCs w:val="0"/>
          <w:sz w:val="32"/>
          <w:szCs w:val="32"/>
          <w:lang w:val="zh-CN" w:eastAsia="zh-CN"/>
        </w:rPr>
      </w:pPr>
      <w:r>
        <w:rPr>
          <w:rFonts w:hint="eastAsia" w:ascii="KaiTi_GB2312" w:hAnsi="SimSun" w:eastAsia="KaiTi_GB2312" w:cs="SimSun"/>
          <w:color w:val="000000"/>
          <w:kern w:val="0"/>
          <w:szCs w:val="32"/>
          <w:shd w:val="clear" w:color="auto" w:fill="FFFFFF"/>
          <w:lang w:val="zh-CN"/>
        </w:rPr>
        <w:t>（四）部门整体支出绩效目标。</w:t>
      </w:r>
      <w:r>
        <w:rPr>
          <w:rFonts w:hint="eastAsia" w:ascii="FangSong_GB2312" w:hAnsi="FangSong_GB2312" w:eastAsia="FangSong_GB2312" w:cs="FangSong_GB2312"/>
          <w:b w:val="0"/>
          <w:bCs w:val="0"/>
          <w:sz w:val="32"/>
          <w:szCs w:val="32"/>
          <w:lang w:val="zh-CN" w:eastAsia="zh-CN"/>
        </w:rPr>
        <w:t>保障机关基本行政运行、人大会议召开，通过六个工作报告，批准202</w:t>
      </w:r>
      <w:r>
        <w:rPr>
          <w:rFonts w:hint="eastAsia" w:ascii="FangSong_GB2312" w:hAnsi="FangSong_GB2312" w:eastAsia="FangSong_GB2312" w:cs="FangSong_GB2312"/>
          <w:b w:val="0"/>
          <w:bCs w:val="0"/>
          <w:sz w:val="32"/>
          <w:szCs w:val="32"/>
          <w:lang w:val="en-US" w:eastAsia="zh-CN"/>
        </w:rPr>
        <w:t>2</w:t>
      </w:r>
      <w:r>
        <w:rPr>
          <w:rFonts w:hint="eastAsia" w:ascii="FangSong_GB2312" w:hAnsi="FangSong_GB2312" w:eastAsia="FangSong_GB2312" w:cs="FangSong_GB2312"/>
          <w:b w:val="0"/>
          <w:bCs w:val="0"/>
          <w:sz w:val="32"/>
          <w:szCs w:val="32"/>
          <w:lang w:val="zh-CN" w:eastAsia="zh-CN"/>
        </w:rPr>
        <w:t>年国民经济和社会发展计划、20</w:t>
      </w:r>
      <w:r>
        <w:rPr>
          <w:rFonts w:hint="eastAsia" w:ascii="FangSong_GB2312" w:hAnsi="FangSong_GB2312" w:eastAsia="FangSong_GB2312" w:cs="FangSong_GB2312"/>
          <w:b w:val="0"/>
          <w:bCs w:val="0"/>
          <w:sz w:val="32"/>
          <w:szCs w:val="32"/>
          <w:lang w:val="en-US" w:eastAsia="zh-CN"/>
        </w:rPr>
        <w:t>21</w:t>
      </w:r>
      <w:r>
        <w:rPr>
          <w:rFonts w:hint="eastAsia" w:ascii="FangSong_GB2312" w:hAnsi="FangSong_GB2312" w:eastAsia="FangSong_GB2312" w:cs="FangSong_GB2312"/>
          <w:b w:val="0"/>
          <w:bCs w:val="0"/>
          <w:sz w:val="32"/>
          <w:szCs w:val="32"/>
          <w:lang w:val="zh-CN" w:eastAsia="zh-CN"/>
        </w:rPr>
        <w:t>年财政预算执行情况的报告和202</w:t>
      </w:r>
      <w:r>
        <w:rPr>
          <w:rFonts w:hint="eastAsia" w:ascii="FangSong_GB2312" w:hAnsi="FangSong_GB2312" w:eastAsia="FangSong_GB2312" w:cs="FangSong_GB2312"/>
          <w:b w:val="0"/>
          <w:bCs w:val="0"/>
          <w:sz w:val="32"/>
          <w:szCs w:val="32"/>
          <w:lang w:val="en-US" w:eastAsia="zh-CN"/>
        </w:rPr>
        <w:t>1</w:t>
      </w:r>
      <w:r>
        <w:rPr>
          <w:rFonts w:hint="eastAsia" w:ascii="FangSong_GB2312" w:hAnsi="FangSong_GB2312" w:eastAsia="FangSong_GB2312" w:cs="FangSong_GB2312"/>
          <w:b w:val="0"/>
          <w:bCs w:val="0"/>
          <w:sz w:val="32"/>
          <w:szCs w:val="32"/>
          <w:lang w:val="zh-CN" w:eastAsia="zh-CN"/>
        </w:rPr>
        <w:t>年县级财政预算以及93个预算单位的部门预算，顺利完成人民政府报送的重大事项决定、人事任免、完成《峨边彝族自治县人居环境综合条例》制定</w:t>
      </w:r>
    </w:p>
    <w:p>
      <w:pPr>
        <w:widowControl/>
        <w:adjustRightInd w:val="0"/>
        <w:snapToGrid w:val="0"/>
        <w:spacing w:line="580" w:lineRule="exact"/>
        <w:ind w:firstLine="640" w:firstLineChars="200"/>
        <w:contextualSpacing/>
        <w:jc w:val="left"/>
        <w:rPr>
          <w:rFonts w:ascii="SimHei" w:hAnsi="SimHei" w:eastAsia="SimHei" w:cs="SimSun"/>
          <w:color w:val="000000"/>
          <w:kern w:val="0"/>
          <w:szCs w:val="32"/>
          <w:shd w:val="clear" w:color="auto" w:fill="FFFFFF"/>
        </w:rPr>
      </w:pPr>
      <w:r>
        <w:rPr>
          <w:rFonts w:hint="eastAsia" w:ascii="SimHei" w:hAnsi="SimHei" w:eastAsia="SimHei" w:cs="SimSun"/>
          <w:color w:val="000000"/>
          <w:kern w:val="0"/>
          <w:szCs w:val="32"/>
          <w:shd w:val="clear" w:color="auto" w:fill="FFFFFF"/>
        </w:rPr>
        <w:t>二、部门财政资金收支情况</w:t>
      </w:r>
    </w:p>
    <w:p>
      <w:pPr>
        <w:keepNext w:val="0"/>
        <w:keepLines w:val="0"/>
        <w:pageBreakBefore w:val="0"/>
        <w:numPr>
          <w:ilvl w:val="0"/>
          <w:numId w:val="0"/>
        </w:numPr>
        <w:kinsoku/>
        <w:wordWrap/>
        <w:overflowPunct/>
        <w:autoSpaceDE/>
        <w:autoSpaceDN/>
        <w:bidi w:val="0"/>
        <w:adjustRightInd/>
        <w:snapToGrid/>
        <w:spacing w:line="560" w:lineRule="exact"/>
        <w:ind w:firstLine="640" w:firstLineChars="200"/>
        <w:textAlignment w:val="auto"/>
        <w:rPr>
          <w:rFonts w:hint="eastAsia" w:ascii="FangSong_GB2312" w:hAnsi="FangSong_GB2312" w:eastAsia="FangSong_GB2312" w:cs="FangSong_GB2312"/>
          <w:color w:val="auto"/>
          <w:kern w:val="0"/>
          <w:sz w:val="32"/>
          <w:szCs w:val="32"/>
        </w:rPr>
      </w:pPr>
      <w:r>
        <w:rPr>
          <w:rFonts w:hint="eastAsia" w:ascii="KaiTi_GB2312" w:hAnsi="SimSun" w:eastAsia="KaiTi_GB2312" w:cs="SimSun"/>
          <w:color w:val="000000"/>
          <w:kern w:val="0"/>
          <w:szCs w:val="32"/>
          <w:shd w:val="clear" w:color="auto" w:fill="FFFFFF"/>
          <w:lang w:val="zh-CN"/>
        </w:rPr>
        <w:t>（一）部门财政资金收入情况。</w:t>
      </w:r>
      <w:r>
        <w:rPr>
          <w:rFonts w:hint="eastAsia" w:ascii="FangSong_GB2312" w:hAnsi="FangSong_GB2312" w:eastAsia="FangSong_GB2312" w:cs="FangSong_GB2312"/>
          <w:color w:val="auto"/>
          <w:kern w:val="0"/>
          <w:sz w:val="32"/>
          <w:szCs w:val="32"/>
        </w:rPr>
        <w:t>收入包括：</w:t>
      </w:r>
    </w:p>
    <w:p>
      <w:pPr>
        <w:keepNext w:val="0"/>
        <w:keepLines w:val="0"/>
        <w:pageBreakBefore w:val="0"/>
        <w:widowControl/>
        <w:kinsoku/>
        <w:wordWrap/>
        <w:overflowPunct/>
        <w:topLinePunct w:val="0"/>
        <w:autoSpaceDE/>
        <w:autoSpaceDN/>
        <w:bidi w:val="0"/>
        <w:adjustRightInd w:val="0"/>
        <w:snapToGrid w:val="0"/>
        <w:spacing w:line="600" w:lineRule="exact"/>
        <w:ind w:firstLine="640" w:firstLineChars="200"/>
        <w:contextualSpacing/>
        <w:jc w:val="left"/>
        <w:textAlignment w:val="auto"/>
        <w:outlineLvl w:val="9"/>
        <w:rPr>
          <w:rFonts w:ascii="KaiTi_GB2312" w:hAnsi="SimSun" w:eastAsia="KaiTi_GB2312" w:cs="SimSun"/>
          <w:color w:val="000000"/>
          <w:kern w:val="0"/>
          <w:szCs w:val="32"/>
          <w:shd w:val="clear" w:color="auto" w:fill="FFFFFF"/>
          <w:lang w:val="zh-CN"/>
        </w:rPr>
      </w:pPr>
      <w:r>
        <w:rPr>
          <w:rFonts w:hint="eastAsia" w:ascii="FangSong_GB2312" w:hAnsi="FangSong" w:eastAsia="FangSong_GB2312"/>
          <w:sz w:val="32"/>
          <w:szCs w:val="32"/>
          <w:lang w:val="en-US" w:eastAsia="zh-CN"/>
        </w:rPr>
        <w:t>本年度我单位财政拨款收入1018.76万元。一般公共预算财政拨款预算收入1018.76万元。</w:t>
      </w:r>
    </w:p>
    <w:p>
      <w:pPr>
        <w:widowControl/>
        <w:numPr>
          <w:ilvl w:val="0"/>
          <w:numId w:val="1"/>
        </w:numPr>
        <w:adjustRightInd w:val="0"/>
        <w:snapToGrid w:val="0"/>
        <w:spacing w:line="580" w:lineRule="exact"/>
        <w:ind w:firstLine="640" w:firstLineChars="200"/>
        <w:contextualSpacing/>
        <w:jc w:val="left"/>
        <w:rPr>
          <w:rFonts w:hint="eastAsia" w:ascii="KaiTi_GB2312" w:hAnsi="SimSun" w:eastAsia="KaiTi_GB2312" w:cs="SimSun"/>
          <w:color w:val="000000"/>
          <w:kern w:val="0"/>
          <w:szCs w:val="32"/>
          <w:shd w:val="clear" w:color="auto" w:fill="FFFFFF"/>
          <w:lang w:val="zh-CN"/>
        </w:rPr>
      </w:pPr>
      <w:r>
        <w:rPr>
          <w:rFonts w:hint="eastAsia" w:ascii="KaiTi_GB2312" w:hAnsi="SimSun" w:eastAsia="KaiTi_GB2312" w:cs="SimSun"/>
          <w:color w:val="000000"/>
          <w:kern w:val="0"/>
          <w:szCs w:val="32"/>
          <w:shd w:val="clear" w:color="auto" w:fill="FFFFFF"/>
          <w:lang w:val="zh-CN"/>
        </w:rPr>
        <w:t>部门财政资金支出情况。</w:t>
      </w:r>
      <w:r>
        <w:rPr>
          <w:rFonts w:hint="eastAsia" w:ascii="FangSong_GB2312" w:hAnsi="FangSong_GB2312" w:eastAsia="FangSong_GB2312" w:cs="FangSong_GB2312"/>
          <w:color w:val="auto"/>
          <w:sz w:val="32"/>
          <w:szCs w:val="32"/>
          <w:lang w:val="en-US" w:eastAsia="zh-CN"/>
        </w:rPr>
        <w:t>自治县人大办</w:t>
      </w:r>
      <w:r>
        <w:rPr>
          <w:rFonts w:hint="eastAsia" w:ascii="FangSong_GB2312" w:hAnsi="FangSong_GB2312" w:eastAsia="FangSong_GB2312" w:cs="FangSong_GB2312"/>
          <w:color w:val="auto"/>
          <w:kern w:val="0"/>
          <w:sz w:val="32"/>
          <w:szCs w:val="32"/>
        </w:rPr>
        <w:t xml:space="preserve"> 2022年支出预算</w:t>
      </w:r>
      <w:r>
        <w:rPr>
          <w:rFonts w:hint="eastAsia" w:ascii="FangSong_GB2312" w:hAnsi="FangSong_GB2312" w:eastAsia="FangSong_GB2312" w:cs="FangSong_GB2312"/>
          <w:color w:val="auto"/>
          <w:sz w:val="32"/>
          <w:szCs w:val="32"/>
          <w:lang w:val="en-US" w:eastAsia="zh-CN"/>
        </w:rPr>
        <w:t>1018.76</w:t>
      </w:r>
      <w:r>
        <w:rPr>
          <w:rFonts w:hint="eastAsia" w:ascii="FangSong_GB2312" w:hAnsi="FangSong_GB2312" w:eastAsia="FangSong_GB2312" w:cs="FangSong_GB2312"/>
          <w:color w:val="auto"/>
          <w:sz w:val="28"/>
          <w:szCs w:val="28"/>
          <w:lang w:val="en-US" w:eastAsia="zh-CN"/>
        </w:rPr>
        <w:t>万</w:t>
      </w:r>
      <w:r>
        <w:rPr>
          <w:rFonts w:hint="eastAsia" w:ascii="FangSong_GB2312" w:hAnsi="FangSong_GB2312" w:eastAsia="FangSong_GB2312" w:cs="FangSong_GB2312"/>
          <w:color w:val="auto"/>
          <w:kern w:val="0"/>
          <w:sz w:val="32"/>
          <w:szCs w:val="32"/>
        </w:rPr>
        <w:t>元，其中：基本支出</w:t>
      </w:r>
      <w:r>
        <w:rPr>
          <w:rFonts w:hint="eastAsia" w:ascii="FangSong_GB2312" w:hAnsi="FangSong_GB2312" w:eastAsia="FangSong_GB2312" w:cs="FangSong_GB2312"/>
          <w:color w:val="auto"/>
          <w:kern w:val="0"/>
          <w:sz w:val="32"/>
          <w:szCs w:val="32"/>
          <w:lang w:val="en-US" w:eastAsia="zh-CN"/>
        </w:rPr>
        <w:t>821.19万元</w:t>
      </w:r>
      <w:r>
        <w:rPr>
          <w:rFonts w:hint="eastAsia" w:ascii="FangSong_GB2312" w:hAnsi="FangSong_GB2312" w:eastAsia="FangSong_GB2312" w:cs="FangSong_GB2312"/>
          <w:color w:val="auto"/>
          <w:kern w:val="0"/>
          <w:sz w:val="32"/>
          <w:szCs w:val="32"/>
        </w:rPr>
        <w:t>，占</w:t>
      </w:r>
      <w:r>
        <w:rPr>
          <w:rFonts w:hint="eastAsia" w:ascii="FangSong_GB2312" w:hAnsi="FangSong_GB2312" w:eastAsia="FangSong_GB2312" w:cs="FangSong_GB2312"/>
          <w:color w:val="auto"/>
          <w:kern w:val="0"/>
          <w:sz w:val="32"/>
          <w:szCs w:val="32"/>
          <w:lang w:val="en-US" w:eastAsia="zh-CN"/>
        </w:rPr>
        <w:t>81</w:t>
      </w:r>
      <w:r>
        <w:rPr>
          <w:rFonts w:hint="eastAsia" w:ascii="FangSong_GB2312" w:hAnsi="FangSong_GB2312" w:eastAsia="FangSong_GB2312" w:cs="FangSong_GB2312"/>
          <w:color w:val="auto"/>
          <w:kern w:val="0"/>
          <w:sz w:val="32"/>
          <w:szCs w:val="32"/>
        </w:rPr>
        <w:t>%；项目支出</w:t>
      </w:r>
      <w:r>
        <w:rPr>
          <w:rFonts w:hint="eastAsia" w:ascii="FangSong_GB2312" w:hAnsi="FangSong_GB2312" w:eastAsia="FangSong_GB2312" w:cs="FangSong_GB2312"/>
          <w:color w:val="auto"/>
          <w:kern w:val="0"/>
          <w:sz w:val="32"/>
          <w:szCs w:val="32"/>
          <w:lang w:val="en-US" w:eastAsia="zh-CN"/>
        </w:rPr>
        <w:t>197.57</w:t>
      </w:r>
      <w:r>
        <w:rPr>
          <w:rFonts w:hint="eastAsia" w:ascii="FangSong_GB2312" w:hAnsi="FangSong_GB2312" w:eastAsia="FangSong_GB2312" w:cs="FangSong_GB2312"/>
          <w:color w:val="auto"/>
          <w:kern w:val="0"/>
          <w:sz w:val="32"/>
          <w:szCs w:val="32"/>
        </w:rPr>
        <w:t>万元，占</w:t>
      </w:r>
      <w:r>
        <w:rPr>
          <w:rFonts w:hint="eastAsia" w:ascii="FangSong_GB2312" w:hAnsi="FangSong_GB2312" w:eastAsia="FangSong_GB2312" w:cs="FangSong_GB2312"/>
          <w:color w:val="auto"/>
          <w:kern w:val="0"/>
          <w:sz w:val="32"/>
          <w:szCs w:val="32"/>
          <w:lang w:val="en-US" w:eastAsia="zh-CN"/>
        </w:rPr>
        <w:t>19</w:t>
      </w:r>
      <w:r>
        <w:rPr>
          <w:rFonts w:hint="eastAsia" w:ascii="FangSong_GB2312" w:hAnsi="FangSong_GB2312" w:eastAsia="FangSong_GB2312" w:cs="FangSong_GB2312"/>
          <w:color w:val="auto"/>
          <w:kern w:val="0"/>
          <w:sz w:val="32"/>
          <w:szCs w:val="32"/>
        </w:rPr>
        <w:t>%</w:t>
      </w:r>
      <w:r>
        <w:rPr>
          <w:rFonts w:hint="eastAsia" w:ascii="FangSong_GB2312" w:hAnsi="FangSong_GB2312" w:eastAsia="FangSong_GB2312" w:cs="FangSong_GB2312"/>
          <w:color w:val="auto"/>
          <w:kern w:val="0"/>
          <w:sz w:val="32"/>
          <w:szCs w:val="32"/>
          <w:lang w:eastAsia="zh-CN"/>
        </w:rPr>
        <w:t>。</w:t>
      </w:r>
    </w:p>
    <w:p>
      <w:pPr>
        <w:widowControl/>
        <w:numPr>
          <w:ilvl w:val="0"/>
          <w:numId w:val="1"/>
        </w:numPr>
        <w:adjustRightInd w:val="0"/>
        <w:snapToGrid w:val="0"/>
        <w:spacing w:line="580" w:lineRule="exact"/>
        <w:ind w:left="0" w:leftChars="0" w:firstLine="640" w:firstLineChars="200"/>
        <w:contextualSpacing/>
        <w:jc w:val="left"/>
        <w:rPr>
          <w:rFonts w:hint="eastAsia" w:ascii="KaiTi_GB2312" w:hAnsi="SimSun" w:eastAsia="KaiTi_GB2312" w:cs="SimSun"/>
          <w:color w:val="000000"/>
          <w:kern w:val="0"/>
          <w:szCs w:val="32"/>
          <w:shd w:val="clear" w:color="auto" w:fill="FFFFFF"/>
          <w:lang w:val="zh-CN"/>
        </w:rPr>
      </w:pPr>
      <w:r>
        <w:rPr>
          <w:rFonts w:hint="eastAsia" w:ascii="KaiTi_GB2312" w:hAnsi="SimSun" w:eastAsia="KaiTi_GB2312" w:cs="SimSun"/>
          <w:color w:val="000000"/>
          <w:kern w:val="0"/>
          <w:szCs w:val="32"/>
          <w:shd w:val="clear" w:color="auto" w:fill="FFFFFF"/>
          <w:lang w:val="zh-CN"/>
        </w:rPr>
        <w:t>部门财政资金结转结余情况</w:t>
      </w:r>
    </w:p>
    <w:p>
      <w:pPr>
        <w:keepNext w:val="0"/>
        <w:keepLines w:val="0"/>
        <w:pageBreakBefore w:val="0"/>
        <w:kinsoku/>
        <w:wordWrap/>
        <w:overflowPunct/>
        <w:topLinePunct w:val="0"/>
        <w:autoSpaceDE/>
        <w:autoSpaceDN/>
        <w:bidi w:val="0"/>
        <w:snapToGrid w:val="0"/>
        <w:spacing w:line="600" w:lineRule="exact"/>
        <w:ind w:firstLine="640" w:firstLineChars="200"/>
        <w:textAlignment w:val="auto"/>
        <w:outlineLvl w:val="9"/>
        <w:rPr>
          <w:rFonts w:hint="default" w:ascii="KaiTi_GB2312" w:hAnsi="SimSun" w:eastAsia="KaiTi_GB2312" w:cs="SimSun"/>
          <w:color w:val="000000"/>
          <w:kern w:val="0"/>
          <w:szCs w:val="32"/>
          <w:shd w:val="clear" w:color="auto" w:fill="FFFFFF"/>
          <w:lang w:val="en-US" w:eastAsia="zh-CN"/>
        </w:rPr>
      </w:pPr>
      <w:r>
        <w:rPr>
          <w:rFonts w:hint="eastAsia" w:ascii="FangSong_GB2312" w:hAnsi="FangSong" w:eastAsia="FangSong_GB2312"/>
          <w:color w:val="auto"/>
          <w:sz w:val="32"/>
          <w:szCs w:val="32"/>
          <w:lang w:val="en-US" w:eastAsia="zh-CN"/>
        </w:rPr>
        <w:t>本年度无年末结转和结余。</w:t>
      </w:r>
    </w:p>
    <w:p>
      <w:pPr>
        <w:widowControl/>
        <w:adjustRightInd w:val="0"/>
        <w:snapToGrid w:val="0"/>
        <w:spacing w:line="580" w:lineRule="exact"/>
        <w:ind w:firstLine="640" w:firstLineChars="200"/>
        <w:contextualSpacing/>
        <w:jc w:val="left"/>
        <w:rPr>
          <w:rFonts w:ascii="SimHei" w:hAnsi="SimHei" w:eastAsia="SimHei" w:cs="SimSun"/>
          <w:color w:val="000000"/>
          <w:kern w:val="0"/>
          <w:szCs w:val="32"/>
          <w:shd w:val="clear" w:color="auto" w:fill="FFFFFF"/>
        </w:rPr>
      </w:pPr>
      <w:r>
        <w:rPr>
          <w:rFonts w:hint="eastAsia" w:ascii="SimHei" w:hAnsi="SimHei" w:eastAsia="SimHei" w:cs="SimSun"/>
          <w:color w:val="000000"/>
          <w:kern w:val="0"/>
          <w:szCs w:val="32"/>
          <w:shd w:val="clear" w:color="auto" w:fill="FFFFFF"/>
        </w:rPr>
        <w:t>三、部门整体绩效管理情况（根据自评体系进行描述）</w:t>
      </w:r>
    </w:p>
    <w:p>
      <w:pPr>
        <w:widowControl/>
        <w:adjustRightInd w:val="0"/>
        <w:snapToGrid w:val="0"/>
        <w:spacing w:line="580" w:lineRule="exact"/>
        <w:ind w:firstLine="640" w:firstLineChars="200"/>
        <w:contextualSpacing/>
        <w:jc w:val="left"/>
        <w:rPr>
          <w:rFonts w:ascii="KaiTi_GB2312" w:hAnsi="SimSun" w:eastAsia="KaiTi_GB2312" w:cs="SimSun"/>
          <w:color w:val="000000"/>
          <w:kern w:val="0"/>
          <w:szCs w:val="32"/>
          <w:shd w:val="clear" w:color="auto" w:fill="FFFFFF"/>
          <w:lang w:val="zh-CN"/>
        </w:rPr>
      </w:pPr>
      <w:r>
        <w:rPr>
          <w:rFonts w:hint="eastAsia" w:ascii="KaiTi_GB2312" w:hAnsi="SimSun" w:eastAsia="KaiTi_GB2312" w:cs="SimSun"/>
          <w:color w:val="000000"/>
          <w:kern w:val="0"/>
          <w:szCs w:val="32"/>
          <w:shd w:val="clear" w:color="auto" w:fill="FFFFFF"/>
          <w:lang w:val="zh-CN"/>
        </w:rPr>
        <w:t>（一）部门整体履职绩效分析。</w:t>
      </w:r>
    </w:p>
    <w:p>
      <w:pPr>
        <w:widowControl/>
        <w:adjustRightInd w:val="0"/>
        <w:snapToGrid w:val="0"/>
        <w:spacing w:line="580" w:lineRule="exact"/>
        <w:ind w:firstLine="640" w:firstLineChars="200"/>
        <w:contextualSpacing/>
        <w:jc w:val="left"/>
        <w:rPr>
          <w:rFonts w:hint="eastAsia" w:ascii="FangSong_GB2312" w:hAnsi="SimSun" w:eastAsia="FangSong_GB2312" w:cs="SimSun"/>
          <w:color w:val="000000"/>
          <w:kern w:val="0"/>
          <w:szCs w:val="32"/>
          <w:shd w:val="clear" w:color="auto" w:fill="FFFFFF"/>
          <w:lang w:val="zh-CN" w:eastAsia="zh-CN"/>
        </w:rPr>
      </w:pPr>
      <w:r>
        <w:rPr>
          <w:rFonts w:hint="eastAsia" w:ascii="FangSong_GB2312" w:hAnsi="SimSun" w:eastAsia="FangSong_GB2312" w:cs="SimSun"/>
          <w:color w:val="000000"/>
          <w:kern w:val="0"/>
          <w:szCs w:val="32"/>
          <w:shd w:val="clear" w:color="auto" w:fill="FFFFFF"/>
          <w:lang w:val="en-US" w:eastAsia="zh-CN"/>
        </w:rPr>
        <w:t>1、预算管理：2022年本部门的绩效目标制定、目标完成、预决算编制等均按照县财政局下达的相关文件指标进行了编制，均按相关要求严格执行预算范围内开支，并完成所有预定目标，全年无违规记录。   </w:t>
      </w:r>
    </w:p>
    <w:p>
      <w:pPr>
        <w:widowControl/>
        <w:adjustRightInd w:val="0"/>
        <w:snapToGrid w:val="0"/>
        <w:spacing w:line="580" w:lineRule="exact"/>
        <w:ind w:firstLine="640" w:firstLineChars="200"/>
        <w:contextualSpacing/>
        <w:jc w:val="left"/>
        <w:rPr>
          <w:rFonts w:ascii="KaiTi_GB2312" w:hAnsi="SimSun" w:eastAsia="KaiTi_GB2312" w:cs="SimSun"/>
          <w:color w:val="000000"/>
          <w:kern w:val="0"/>
          <w:szCs w:val="32"/>
          <w:shd w:val="clear" w:color="auto" w:fill="FFFFFF"/>
          <w:lang w:val="zh-CN"/>
        </w:rPr>
      </w:pPr>
      <w:r>
        <w:rPr>
          <w:rFonts w:hint="eastAsia" w:ascii="KaiTi_GB2312" w:hAnsi="SimSun" w:eastAsia="KaiTi_GB2312" w:cs="SimSun"/>
          <w:color w:val="000000"/>
          <w:kern w:val="0"/>
          <w:szCs w:val="32"/>
          <w:shd w:val="clear" w:color="auto" w:fill="FFFFFF"/>
          <w:lang w:val="zh-CN"/>
        </w:rPr>
        <w:t>（二）特定目标类项目绩效分析。</w:t>
      </w:r>
    </w:p>
    <w:p>
      <w:pPr>
        <w:widowControl/>
        <w:adjustRightInd w:val="0"/>
        <w:snapToGrid w:val="0"/>
        <w:spacing w:line="580" w:lineRule="exact"/>
        <w:ind w:firstLine="640" w:firstLineChars="200"/>
        <w:contextualSpacing/>
        <w:jc w:val="left"/>
        <w:rPr>
          <w:rFonts w:hint="eastAsia" w:ascii="FangSong_GB2312" w:hAnsi="SimSun" w:eastAsia="FangSong_GB2312" w:cs="SimSun"/>
          <w:color w:val="000000"/>
          <w:kern w:val="0"/>
          <w:szCs w:val="32"/>
          <w:shd w:val="clear" w:color="auto" w:fill="FFFFFF"/>
          <w:lang w:val="en-US" w:eastAsia="zh-CN"/>
        </w:rPr>
      </w:pPr>
      <w:r>
        <w:rPr>
          <w:rFonts w:hint="eastAsia" w:ascii="FangSong_GB2312" w:hAnsi="SimSun" w:eastAsia="FangSong_GB2312" w:cs="SimSun"/>
          <w:color w:val="000000"/>
          <w:kern w:val="0"/>
          <w:szCs w:val="32"/>
          <w:shd w:val="clear" w:color="auto" w:fill="FFFFFF"/>
          <w:lang w:val="en-US" w:eastAsia="zh-CN"/>
        </w:rPr>
        <w:t>县人大2022年度全面完成县委政府规定的和市下达的各项工作任务，年初资金预算精细、明晰，资金使用、量入为出，资金用途与支出要求相匹配，有效提高资金的使用率、合理化。资金支出无违规、预警记录现象。严格执行《四川省省级财政专项资金绩效分配管理暂行办法》，按照省级的专项资金管理办法，实施专款专用原则根据各项目进展、完成情况，合理规划、科学分配专项资金，分别用于人代会会议、调研考察、常委会会议、预决算审查监督等专项项目上。完成专项预算绩效目标，无违规记录。</w:t>
      </w:r>
      <w:r>
        <w:rPr>
          <w:rFonts w:hint="eastAsia" w:ascii="FangSong_GB2312" w:hAnsi="SimSun" w:eastAsia="FangSong_GB2312" w:cs="SimSun"/>
          <w:color w:val="000000"/>
          <w:kern w:val="0"/>
          <w:szCs w:val="32"/>
          <w:shd w:val="clear" w:color="auto" w:fill="FFFFFF"/>
          <w:lang w:val="zh-CN" w:eastAsia="zh-CN"/>
        </w:rPr>
        <w:t>本单位按照财政局下达的预算指标，严格执行预算内开支，保障了单位正常运转。本部门的预决算编制均按照县财政局下达的相关文件指标进行了编制，按时完成编制工作，决算报表和说明均在县政府门户网站公开。绩效目标也按照有关文件如实进行了填报。专项预算也提前进行了规划和筹划。</w:t>
      </w:r>
    </w:p>
    <w:p>
      <w:pPr>
        <w:widowControl/>
        <w:adjustRightInd w:val="0"/>
        <w:snapToGrid w:val="0"/>
        <w:spacing w:line="580" w:lineRule="exact"/>
        <w:ind w:firstLine="640" w:firstLineChars="200"/>
        <w:contextualSpacing/>
        <w:jc w:val="left"/>
        <w:rPr>
          <w:rFonts w:ascii="KaiTi_GB2312" w:hAnsi="SimSun" w:eastAsia="KaiTi_GB2312" w:cs="SimSun"/>
          <w:color w:val="000000"/>
          <w:kern w:val="0"/>
          <w:szCs w:val="32"/>
          <w:shd w:val="clear" w:color="auto" w:fill="FFFFFF"/>
          <w:lang w:val="zh-CN"/>
        </w:rPr>
      </w:pPr>
      <w:r>
        <w:rPr>
          <w:rFonts w:hint="eastAsia" w:ascii="KaiTi_GB2312" w:hAnsi="SimSun" w:eastAsia="KaiTi_GB2312" w:cs="SimSun"/>
          <w:color w:val="000000"/>
          <w:kern w:val="0"/>
          <w:szCs w:val="32"/>
          <w:shd w:val="clear" w:color="auto" w:fill="FFFFFF"/>
          <w:lang w:val="zh-CN"/>
        </w:rPr>
        <w:t>（三）结果应用情况。</w:t>
      </w:r>
    </w:p>
    <w:p>
      <w:pPr>
        <w:widowControl/>
        <w:adjustRightInd w:val="0"/>
        <w:snapToGrid w:val="0"/>
        <w:spacing w:line="580" w:lineRule="exact"/>
        <w:ind w:firstLine="640" w:firstLineChars="200"/>
        <w:contextualSpacing/>
        <w:jc w:val="left"/>
        <w:rPr>
          <w:rFonts w:hint="eastAsia" w:ascii="FangSong_GB2312" w:hAnsi="SimSun" w:eastAsia="FangSong_GB2312" w:cs="SimSun"/>
          <w:color w:val="000000"/>
          <w:kern w:val="0"/>
          <w:szCs w:val="32"/>
          <w:shd w:val="clear" w:color="auto" w:fill="FFFFFF"/>
          <w:lang w:val="en-US" w:eastAsia="zh-CN"/>
        </w:rPr>
      </w:pPr>
      <w:r>
        <w:rPr>
          <w:rFonts w:hint="eastAsia" w:ascii="FangSong_GB2312" w:hAnsi="SimSun" w:eastAsia="FangSong_GB2312" w:cs="SimSun"/>
          <w:color w:val="000000"/>
          <w:kern w:val="0"/>
          <w:szCs w:val="32"/>
          <w:shd w:val="clear" w:color="auto" w:fill="FFFFFF"/>
          <w:lang w:val="en-US" w:eastAsia="zh-CN"/>
        </w:rPr>
        <w:t>（1）信息公开：本单位按照有关规定，在规定的时限内对预算进行了公开。</w:t>
      </w:r>
    </w:p>
    <w:p>
      <w:pPr>
        <w:widowControl/>
        <w:adjustRightInd w:val="0"/>
        <w:snapToGrid w:val="0"/>
        <w:spacing w:line="580" w:lineRule="exact"/>
        <w:ind w:firstLine="640" w:firstLineChars="200"/>
        <w:contextualSpacing/>
        <w:jc w:val="left"/>
        <w:rPr>
          <w:rFonts w:hint="default" w:ascii="FangSong_GB2312" w:hAnsi="SimSun" w:eastAsia="FangSong_GB2312" w:cs="SimSun"/>
          <w:color w:val="000000"/>
          <w:kern w:val="0"/>
          <w:szCs w:val="32"/>
          <w:shd w:val="clear" w:color="auto" w:fill="FFFFFF"/>
          <w:lang w:val="en-US" w:eastAsia="zh-CN"/>
        </w:rPr>
      </w:pPr>
      <w:r>
        <w:rPr>
          <w:rFonts w:hint="eastAsia" w:ascii="FangSong_GB2312" w:hAnsi="SimSun" w:eastAsia="FangSong_GB2312" w:cs="SimSun"/>
          <w:color w:val="000000"/>
          <w:kern w:val="0"/>
          <w:szCs w:val="32"/>
          <w:shd w:val="clear" w:color="auto" w:fill="FFFFFF"/>
          <w:lang w:val="en-US" w:eastAsia="zh-CN"/>
        </w:rPr>
        <w:t>（2）自评质量：2022年本单位的部门预算编制规范、准确，各项经费足额纳入预算安排，确保了部门正常运转和专项工作的顺利开展，较好地完成了年初目标任务。</w:t>
      </w:r>
    </w:p>
    <w:p>
      <w:pPr>
        <w:widowControl/>
        <w:adjustRightInd w:val="0"/>
        <w:snapToGrid w:val="0"/>
        <w:spacing w:line="580" w:lineRule="exact"/>
        <w:ind w:firstLine="640" w:firstLineChars="200"/>
        <w:contextualSpacing/>
        <w:jc w:val="left"/>
        <w:rPr>
          <w:rFonts w:hint="eastAsia" w:ascii="FangSong_GB2312" w:hAnsi="SimSun" w:eastAsia="FangSong_GB2312" w:cs="SimSun"/>
          <w:color w:val="000000"/>
          <w:kern w:val="0"/>
          <w:szCs w:val="32"/>
          <w:shd w:val="clear" w:color="auto" w:fill="FFFFFF"/>
          <w:lang w:val="en-US" w:eastAsia="zh-CN"/>
        </w:rPr>
      </w:pPr>
      <w:r>
        <w:rPr>
          <w:rFonts w:hint="eastAsia" w:ascii="FangSong_GB2312" w:hAnsi="SimSun" w:eastAsia="FangSong_GB2312" w:cs="SimSun"/>
          <w:color w:val="000000"/>
          <w:kern w:val="0"/>
          <w:szCs w:val="32"/>
          <w:shd w:val="clear" w:color="auto" w:fill="FFFFFF"/>
          <w:lang w:val="en-US" w:eastAsia="zh-CN"/>
        </w:rPr>
        <w:t>（3）应用结果：为加强我单位预决算绩效管理，不断提高财政资金配置和使用效益，成立了预决算绩效管理领导小组，由分管财务的领导为组长，办公室主任任副组长，财务室等相关科室人员为成员，专门负责本次绩效自评工作，自查工作中坚持以绩效考核的各项文件精神为指导，以整体绩效支出为内容，对各项支出的质量指标，数量指标，对指标内容进行评价考核打分，从考核结果来看，通过全体干部职工的共同努力，</w:t>
      </w:r>
      <w:bookmarkStart w:id="0" w:name="_GoBack"/>
      <w:bookmarkEnd w:id="0"/>
      <w:r>
        <w:rPr>
          <w:rFonts w:hint="eastAsia" w:ascii="FangSong_GB2312" w:hAnsi="SimSun" w:eastAsia="FangSong_GB2312" w:cs="SimSun"/>
          <w:color w:val="000000"/>
          <w:kern w:val="0"/>
          <w:szCs w:val="32"/>
          <w:shd w:val="clear" w:color="auto" w:fill="FFFFFF"/>
          <w:lang w:val="en-US" w:eastAsia="zh-CN"/>
        </w:rPr>
        <w:t>取得了较好的经济、社会、环境效益。</w:t>
      </w:r>
    </w:p>
    <w:p>
      <w:pPr>
        <w:widowControl/>
        <w:adjustRightInd w:val="0"/>
        <w:snapToGrid w:val="0"/>
        <w:spacing w:line="580" w:lineRule="exact"/>
        <w:ind w:firstLine="640" w:firstLineChars="200"/>
        <w:contextualSpacing/>
        <w:jc w:val="left"/>
        <w:rPr>
          <w:rFonts w:ascii="SimHei" w:hAnsi="SimHei" w:eastAsia="SimHei" w:cs="SimSun"/>
          <w:color w:val="000000"/>
          <w:kern w:val="0"/>
          <w:szCs w:val="32"/>
          <w:shd w:val="clear" w:color="auto" w:fill="FFFFFF"/>
          <w:lang w:val="zh-CN"/>
        </w:rPr>
      </w:pPr>
      <w:r>
        <w:rPr>
          <w:rFonts w:hint="eastAsia" w:ascii="SimHei" w:hAnsi="SimHei" w:eastAsia="SimHei" w:cs="SimSun"/>
          <w:color w:val="000000"/>
          <w:kern w:val="0"/>
          <w:szCs w:val="32"/>
          <w:shd w:val="clear" w:color="auto" w:fill="FFFFFF"/>
        </w:rPr>
        <w:t>四、评价结论及建议</w:t>
      </w:r>
    </w:p>
    <w:p>
      <w:pPr>
        <w:widowControl/>
        <w:adjustRightInd w:val="0"/>
        <w:snapToGrid w:val="0"/>
        <w:spacing w:line="580" w:lineRule="exact"/>
        <w:ind w:firstLine="640" w:firstLineChars="200"/>
        <w:contextualSpacing/>
        <w:jc w:val="left"/>
        <w:rPr>
          <w:rFonts w:ascii="KaiTi_GB2312" w:hAnsi="SimSun" w:eastAsia="KaiTi_GB2312" w:cs="SimSun"/>
          <w:color w:val="000000"/>
          <w:kern w:val="0"/>
          <w:szCs w:val="32"/>
          <w:shd w:val="clear" w:color="auto" w:fill="FFFFFF"/>
          <w:lang w:val="zh-CN"/>
        </w:rPr>
      </w:pPr>
      <w:r>
        <w:rPr>
          <w:rFonts w:hint="eastAsia" w:ascii="KaiTi_GB2312" w:hAnsi="SimSun" w:eastAsia="KaiTi_GB2312" w:cs="SimSun"/>
          <w:color w:val="000000"/>
          <w:kern w:val="0"/>
          <w:szCs w:val="32"/>
          <w:shd w:val="clear" w:color="auto" w:fill="FFFFFF"/>
          <w:lang w:val="zh-CN"/>
        </w:rPr>
        <w:t>（一）评价结论。</w:t>
      </w:r>
    </w:p>
    <w:p>
      <w:pPr>
        <w:widowControl/>
        <w:numPr>
          <w:ilvl w:val="0"/>
          <w:numId w:val="0"/>
        </w:numPr>
        <w:adjustRightInd w:val="0"/>
        <w:snapToGrid w:val="0"/>
        <w:spacing w:line="580" w:lineRule="exact"/>
        <w:ind w:firstLine="640" w:firstLineChars="200"/>
        <w:contextualSpacing/>
        <w:jc w:val="left"/>
        <w:rPr>
          <w:rFonts w:hint="eastAsia" w:ascii="FangSong_GB2312" w:hAnsi="FangSong_GB2312" w:eastAsia="FangSong_GB2312" w:cs="FangSong_GB2312"/>
          <w:i w:val="0"/>
          <w:caps w:val="0"/>
          <w:color w:val="333333"/>
          <w:spacing w:val="0"/>
          <w:kern w:val="0"/>
          <w:sz w:val="32"/>
          <w:szCs w:val="32"/>
          <w:lang w:val="zh-CN" w:eastAsia="zh-CN" w:bidi="ar"/>
        </w:rPr>
      </w:pPr>
      <w:r>
        <w:rPr>
          <w:rFonts w:hint="eastAsia" w:ascii="FangSong_GB2312" w:hAnsi="FangSong_GB2312" w:eastAsia="FangSong_GB2312" w:cs="FangSong_GB2312"/>
          <w:i w:val="0"/>
          <w:caps w:val="0"/>
          <w:color w:val="333333"/>
          <w:spacing w:val="0"/>
          <w:kern w:val="0"/>
          <w:sz w:val="32"/>
          <w:szCs w:val="32"/>
          <w:lang w:val="zh-CN" w:eastAsia="zh-CN" w:bidi="ar"/>
        </w:rPr>
        <w:t>根据《峨边彝族自治县财政局关于开展20</w:t>
      </w:r>
      <w:r>
        <w:rPr>
          <w:rFonts w:hint="eastAsia" w:ascii="FangSong_GB2312" w:hAnsi="FangSong_GB2312" w:eastAsia="FangSong_GB2312" w:cs="FangSong_GB2312"/>
          <w:i w:val="0"/>
          <w:caps w:val="0"/>
          <w:color w:val="333333"/>
          <w:spacing w:val="0"/>
          <w:kern w:val="0"/>
          <w:sz w:val="32"/>
          <w:szCs w:val="32"/>
          <w:lang w:val="en-US" w:eastAsia="zh-CN" w:bidi="ar"/>
        </w:rPr>
        <w:t>22</w:t>
      </w:r>
      <w:r>
        <w:rPr>
          <w:rFonts w:hint="eastAsia" w:ascii="FangSong_GB2312" w:hAnsi="FangSong_GB2312" w:eastAsia="FangSong_GB2312" w:cs="FangSong_GB2312"/>
          <w:i w:val="0"/>
          <w:caps w:val="0"/>
          <w:color w:val="333333"/>
          <w:spacing w:val="0"/>
          <w:kern w:val="0"/>
          <w:sz w:val="32"/>
          <w:szCs w:val="32"/>
          <w:lang w:val="zh-CN" w:eastAsia="zh-CN" w:bidi="ar"/>
        </w:rPr>
        <w:t>年部门整体、项目和政策支出绩效评价工作的通知》文件精神，</w:t>
      </w:r>
      <w:r>
        <w:rPr>
          <w:rFonts w:hint="eastAsia" w:ascii="FangSong_GB2312" w:hAnsi="FangSong_GB2312" w:eastAsia="FangSong_GB2312" w:cs="FangSong_GB2312"/>
          <w:i w:val="0"/>
          <w:caps w:val="0"/>
          <w:color w:val="333333"/>
          <w:spacing w:val="0"/>
          <w:kern w:val="0"/>
          <w:sz w:val="32"/>
          <w:szCs w:val="32"/>
          <w:lang w:val="en-US" w:eastAsia="zh-CN" w:bidi="ar"/>
        </w:rPr>
        <w:t>自治县人大办认真组织开展了部门整体支出绩效评价工作，绩效评价</w:t>
      </w:r>
      <w:r>
        <w:rPr>
          <w:rFonts w:hint="eastAsia" w:ascii="FangSong_GB2312" w:hAnsi="FangSong_GB2312" w:eastAsia="FangSong_GB2312" w:cs="FangSong_GB2312"/>
          <w:i w:val="0"/>
          <w:caps w:val="0"/>
          <w:color w:val="333333"/>
          <w:spacing w:val="0"/>
          <w:kern w:val="0"/>
          <w:sz w:val="32"/>
          <w:szCs w:val="32"/>
          <w:lang w:val="zh-CN" w:eastAsia="zh-CN" w:bidi="ar"/>
        </w:rPr>
        <w:t>得分：</w:t>
      </w:r>
      <w:r>
        <w:rPr>
          <w:rFonts w:hint="eastAsia" w:ascii="FangSong_GB2312" w:hAnsi="FangSong_GB2312" w:eastAsia="FangSong_GB2312" w:cs="FangSong_GB2312"/>
          <w:i w:val="0"/>
          <w:caps w:val="0"/>
          <w:color w:val="333333"/>
          <w:spacing w:val="0"/>
          <w:kern w:val="0"/>
          <w:sz w:val="32"/>
          <w:szCs w:val="32"/>
          <w:lang w:val="en-US" w:eastAsia="zh-CN" w:bidi="ar"/>
        </w:rPr>
        <w:t>98</w:t>
      </w:r>
      <w:r>
        <w:rPr>
          <w:rFonts w:hint="eastAsia" w:ascii="FangSong_GB2312" w:hAnsi="FangSong_GB2312" w:eastAsia="FangSong_GB2312" w:cs="FangSong_GB2312"/>
          <w:i w:val="0"/>
          <w:caps w:val="0"/>
          <w:color w:val="333333"/>
          <w:spacing w:val="0"/>
          <w:kern w:val="0"/>
          <w:sz w:val="32"/>
          <w:szCs w:val="32"/>
          <w:lang w:val="zh-CN" w:eastAsia="zh-CN" w:bidi="ar"/>
        </w:rPr>
        <w:t>分。</w:t>
      </w:r>
    </w:p>
    <w:p>
      <w:pPr>
        <w:widowControl/>
        <w:adjustRightInd w:val="0"/>
        <w:snapToGrid w:val="0"/>
        <w:spacing w:line="580" w:lineRule="exact"/>
        <w:ind w:firstLine="640" w:firstLineChars="200"/>
        <w:contextualSpacing/>
        <w:jc w:val="left"/>
        <w:rPr>
          <w:rFonts w:ascii="KaiTi_GB2312" w:hAnsi="SimSun" w:eastAsia="KaiTi_GB2312" w:cs="SimSun"/>
          <w:color w:val="000000"/>
          <w:kern w:val="0"/>
          <w:szCs w:val="32"/>
          <w:shd w:val="clear" w:color="auto" w:fill="FFFFFF"/>
          <w:lang w:val="zh-CN"/>
        </w:rPr>
      </w:pPr>
      <w:r>
        <w:rPr>
          <w:rFonts w:hint="eastAsia" w:ascii="KaiTi_GB2312" w:hAnsi="SimSun" w:eastAsia="KaiTi_GB2312" w:cs="SimSun"/>
          <w:color w:val="000000"/>
          <w:kern w:val="0"/>
          <w:szCs w:val="32"/>
          <w:shd w:val="clear" w:color="auto" w:fill="FFFFFF"/>
          <w:lang w:val="zh-CN"/>
        </w:rPr>
        <w:t>（二）存在问题。</w:t>
      </w:r>
    </w:p>
    <w:p>
      <w:pPr>
        <w:widowControl/>
        <w:numPr>
          <w:ilvl w:val="0"/>
          <w:numId w:val="0"/>
        </w:numPr>
        <w:adjustRightInd w:val="0"/>
        <w:snapToGrid w:val="0"/>
        <w:spacing w:line="580" w:lineRule="exact"/>
        <w:ind w:firstLine="640" w:firstLineChars="200"/>
        <w:contextualSpacing/>
        <w:jc w:val="left"/>
        <w:rPr>
          <w:rFonts w:hint="eastAsia" w:ascii="FangSong_GB2312" w:hAnsi="FangSong_GB2312" w:eastAsia="FangSong_GB2312" w:cs="FangSong_GB2312"/>
          <w:i w:val="0"/>
          <w:caps w:val="0"/>
          <w:color w:val="333333"/>
          <w:spacing w:val="0"/>
          <w:kern w:val="0"/>
          <w:sz w:val="32"/>
          <w:szCs w:val="32"/>
          <w:lang w:val="en-US" w:eastAsia="zh-CN" w:bidi="ar"/>
        </w:rPr>
      </w:pPr>
      <w:r>
        <w:rPr>
          <w:rFonts w:hint="eastAsia" w:ascii="FangSong_GB2312" w:hAnsi="FangSong_GB2312" w:eastAsia="FangSong_GB2312" w:cs="FangSong_GB2312"/>
          <w:i w:val="0"/>
          <w:caps w:val="0"/>
          <w:color w:val="333333"/>
          <w:spacing w:val="0"/>
          <w:kern w:val="0"/>
          <w:sz w:val="32"/>
          <w:szCs w:val="32"/>
          <w:lang w:val="en-US" w:eastAsia="zh-CN" w:bidi="ar"/>
        </w:rPr>
        <w:t>一是部分领导和</w:t>
      </w:r>
      <w:r>
        <w:rPr>
          <w:rFonts w:hint="eastAsia" w:ascii="FangSong_GB2312" w:hAnsi="FangSong_GB2312" w:cs="FangSong_GB2312"/>
          <w:i w:val="0"/>
          <w:caps w:val="0"/>
          <w:color w:val="333333"/>
          <w:spacing w:val="0"/>
          <w:kern w:val="0"/>
          <w:sz w:val="32"/>
          <w:szCs w:val="32"/>
          <w:lang w:val="en-US" w:eastAsia="zh-CN" w:bidi="ar"/>
        </w:rPr>
        <w:t>人员</w:t>
      </w:r>
      <w:r>
        <w:rPr>
          <w:rFonts w:hint="eastAsia" w:ascii="FangSong_GB2312" w:hAnsi="FangSong_GB2312" w:eastAsia="FangSong_GB2312" w:cs="FangSong_GB2312"/>
          <w:i w:val="0"/>
          <w:caps w:val="0"/>
          <w:color w:val="333333"/>
          <w:spacing w:val="0"/>
          <w:kern w:val="0"/>
          <w:sz w:val="32"/>
          <w:szCs w:val="32"/>
          <w:lang w:val="en-US" w:eastAsia="zh-CN" w:bidi="ar"/>
        </w:rPr>
        <w:t>对财政支出绩效评价工作重要性认识不足；二是经办人员更换频繁业务熟悉度不够。</w:t>
      </w:r>
    </w:p>
    <w:p>
      <w:pPr>
        <w:widowControl/>
        <w:adjustRightInd w:val="0"/>
        <w:snapToGrid w:val="0"/>
        <w:spacing w:line="580" w:lineRule="exact"/>
        <w:ind w:firstLine="640" w:firstLineChars="200"/>
        <w:contextualSpacing/>
        <w:jc w:val="left"/>
        <w:rPr>
          <w:rFonts w:ascii="KaiTi_GB2312" w:hAnsi="SimSun" w:eastAsia="KaiTi_GB2312" w:cs="SimSun"/>
          <w:color w:val="000000"/>
          <w:kern w:val="0"/>
          <w:szCs w:val="32"/>
          <w:shd w:val="clear" w:color="auto" w:fill="FFFFFF"/>
          <w:lang w:val="zh-CN"/>
        </w:rPr>
      </w:pPr>
      <w:r>
        <w:rPr>
          <w:rFonts w:hint="eastAsia" w:ascii="KaiTi_GB2312" w:hAnsi="SimSun" w:eastAsia="KaiTi_GB2312" w:cs="SimSun"/>
          <w:color w:val="000000"/>
          <w:kern w:val="0"/>
          <w:szCs w:val="32"/>
          <w:shd w:val="clear" w:color="auto" w:fill="FFFFFF"/>
          <w:lang w:val="zh-CN"/>
        </w:rPr>
        <w:t>（三）改进建议。</w:t>
      </w:r>
    </w:p>
    <w:p>
      <w:pPr>
        <w:widowControl/>
        <w:numPr>
          <w:ilvl w:val="0"/>
          <w:numId w:val="0"/>
        </w:numPr>
        <w:adjustRightInd w:val="0"/>
        <w:snapToGrid w:val="0"/>
        <w:spacing w:line="580" w:lineRule="exact"/>
        <w:ind w:firstLine="640" w:firstLineChars="200"/>
        <w:contextualSpacing/>
        <w:jc w:val="left"/>
        <w:rPr>
          <w:rFonts w:hint="eastAsia" w:ascii="FangSong_GB2312" w:hAnsi="FangSong_GB2312" w:eastAsia="FangSong_GB2312" w:cs="FangSong_GB2312"/>
          <w:i w:val="0"/>
          <w:caps w:val="0"/>
          <w:color w:val="333333"/>
          <w:spacing w:val="0"/>
          <w:sz w:val="32"/>
          <w:szCs w:val="32"/>
        </w:rPr>
      </w:pPr>
      <w:r>
        <w:rPr>
          <w:rFonts w:hint="eastAsia" w:ascii="FangSong_GB2312" w:hAnsi="SimSun" w:cs="SimSun"/>
          <w:color w:val="000000"/>
          <w:kern w:val="0"/>
          <w:szCs w:val="32"/>
          <w:shd w:val="clear" w:color="auto" w:fill="FFFFFF"/>
          <w:lang w:val="en-US" w:eastAsia="zh-CN"/>
        </w:rPr>
        <w:t xml:space="preserve"> </w:t>
      </w:r>
      <w:r>
        <w:rPr>
          <w:rFonts w:hint="eastAsia" w:ascii="FangSong_GB2312" w:hAnsi="FangSong_GB2312" w:eastAsia="FangSong_GB2312" w:cs="FangSong_GB2312"/>
          <w:i w:val="0"/>
          <w:caps w:val="0"/>
          <w:color w:val="333333"/>
          <w:spacing w:val="0"/>
          <w:kern w:val="0"/>
          <w:sz w:val="32"/>
          <w:szCs w:val="32"/>
          <w:lang w:val="en-US" w:eastAsia="zh-CN" w:bidi="ar"/>
        </w:rPr>
        <w:t>针对上述存在问题，将在今后的工作中认真改正和弥补。一是加大党和国家有关强化财经管理的方针政策宣传学习力度，特别是要求单位负责人强化对党和国家有关财经管理方面知识的学习，进一步提高单位负责人财经管理的理论水平；二是强化对财政支出绩效评价工作重要性的认识，按照“花钱必问效”的原则，切实做好“预算支出绩效评价”工作；三是加强对部门经办人员的培训，</w:t>
      </w:r>
      <w:r>
        <w:rPr>
          <w:rFonts w:hint="eastAsia" w:ascii="FangSong_GB2312" w:hAnsi="FangSong_GB2312" w:cs="FangSong_GB2312"/>
          <w:i w:val="0"/>
          <w:caps w:val="0"/>
          <w:color w:val="333333"/>
          <w:spacing w:val="0"/>
          <w:kern w:val="0"/>
          <w:sz w:val="32"/>
          <w:szCs w:val="32"/>
          <w:lang w:val="en-US" w:eastAsia="zh-CN" w:bidi="ar"/>
        </w:rPr>
        <w:t>进一步</w:t>
      </w:r>
      <w:r>
        <w:rPr>
          <w:rFonts w:hint="eastAsia" w:ascii="FangSong_GB2312" w:hAnsi="FangSong_GB2312" w:eastAsia="FangSong_GB2312" w:cs="FangSong_GB2312"/>
          <w:i w:val="0"/>
          <w:caps w:val="0"/>
          <w:color w:val="333333"/>
          <w:spacing w:val="0"/>
          <w:kern w:val="0"/>
          <w:sz w:val="32"/>
          <w:szCs w:val="32"/>
          <w:lang w:val="en-US" w:eastAsia="zh-CN" w:bidi="ar"/>
        </w:rPr>
        <w:t>提升做好财务基础工作的能力</w:t>
      </w:r>
      <w:r>
        <w:rPr>
          <w:rFonts w:hint="eastAsia" w:ascii="FangSong_GB2312" w:hAnsi="FangSong_GB2312" w:cs="FangSong_GB2312"/>
          <w:i w:val="0"/>
          <w:caps w:val="0"/>
          <w:color w:val="333333"/>
          <w:spacing w:val="0"/>
          <w:kern w:val="0"/>
          <w:sz w:val="32"/>
          <w:szCs w:val="32"/>
          <w:lang w:val="en-US" w:eastAsia="zh-CN" w:bidi="ar"/>
        </w:rPr>
        <w:t>，</w:t>
      </w:r>
      <w:r>
        <w:rPr>
          <w:rFonts w:hint="eastAsia" w:ascii="FangSong_GB2312" w:hAnsi="FangSong_GB2312" w:eastAsia="FangSong_GB2312" w:cs="FangSong_GB2312"/>
          <w:i w:val="0"/>
          <w:caps w:val="0"/>
          <w:color w:val="333333"/>
          <w:spacing w:val="0"/>
          <w:kern w:val="0"/>
          <w:sz w:val="32"/>
          <w:szCs w:val="32"/>
          <w:lang w:val="en-US" w:eastAsia="zh-CN" w:bidi="ar"/>
        </w:rPr>
        <w:t>提升严格执行财务制度，强化财务监管，重视财务工作的能力和水平。</w:t>
      </w:r>
    </w:p>
    <w:p>
      <w:pPr>
        <w:widowControl/>
        <w:numPr>
          <w:ilvl w:val="0"/>
          <w:numId w:val="0"/>
        </w:numPr>
        <w:adjustRightInd w:val="0"/>
        <w:snapToGrid w:val="0"/>
        <w:spacing w:line="580" w:lineRule="exact"/>
        <w:contextualSpacing/>
        <w:jc w:val="left"/>
        <w:rPr>
          <w:rFonts w:hint="eastAsia" w:ascii="FangSong_GB2312" w:hAnsi="SimSun" w:cs="SimSun"/>
          <w:color w:val="000000"/>
          <w:kern w:val="0"/>
          <w:szCs w:val="32"/>
          <w:shd w:val="clear" w:color="auto" w:fill="FFFFFF"/>
          <w:lang w:val="en-US" w:eastAsia="zh-CN"/>
        </w:rPr>
      </w:pPr>
      <w:r>
        <w:rPr>
          <w:rFonts w:hint="eastAsia" w:ascii="FangSong_GB2312" w:hAnsi="SimSun" w:cs="SimSun"/>
          <w:color w:val="000000"/>
          <w:kern w:val="0"/>
          <w:szCs w:val="32"/>
          <w:shd w:val="clear" w:color="auto" w:fill="FFFFFF"/>
          <w:lang w:val="en-US" w:eastAsia="zh-CN"/>
        </w:rPr>
        <w:t xml:space="preserve">    </w:t>
      </w:r>
    </w:p>
    <w:p>
      <w:pPr>
        <w:widowControl/>
        <w:numPr>
          <w:ilvl w:val="0"/>
          <w:numId w:val="0"/>
        </w:numPr>
        <w:adjustRightInd w:val="0"/>
        <w:snapToGrid w:val="0"/>
        <w:spacing w:line="580" w:lineRule="exact"/>
        <w:contextualSpacing/>
        <w:jc w:val="left"/>
        <w:rPr>
          <w:rFonts w:hint="eastAsia" w:ascii="FangSong_GB2312" w:hAnsi="SimSun" w:cs="SimSun"/>
          <w:color w:val="000000"/>
          <w:kern w:val="0"/>
          <w:szCs w:val="32"/>
          <w:shd w:val="clear" w:color="auto" w:fill="FFFFFF"/>
          <w:lang w:val="en-US" w:eastAsia="zh-CN"/>
        </w:rPr>
      </w:pPr>
    </w:p>
    <w:p>
      <w:pPr>
        <w:widowControl/>
        <w:adjustRightInd w:val="0"/>
        <w:snapToGrid w:val="0"/>
        <w:spacing w:line="580" w:lineRule="exact"/>
        <w:ind w:firstLine="640" w:firstLineChars="200"/>
        <w:contextualSpacing/>
        <w:jc w:val="left"/>
        <w:rPr>
          <w:rFonts w:hint="eastAsia" w:ascii="FangSong_GB2312" w:hAnsi="SimSun" w:eastAsia="FangSong_GB2312" w:cs="SimSun"/>
          <w:color w:val="000000"/>
          <w:kern w:val="0"/>
          <w:szCs w:val="32"/>
          <w:shd w:val="clear" w:color="auto" w:fill="FFFFFF"/>
          <w:lang w:val="en-US" w:eastAsia="zh-CN"/>
        </w:rPr>
      </w:pPr>
      <w:r>
        <w:rPr>
          <w:rFonts w:hint="eastAsia" w:ascii="FangSong_GB2312" w:hAnsi="SimSun" w:cs="SimSun"/>
          <w:color w:val="000000"/>
          <w:kern w:val="0"/>
          <w:szCs w:val="32"/>
          <w:shd w:val="clear" w:color="auto" w:fill="FFFFFF"/>
          <w:lang w:val="en-US" w:eastAsia="zh-CN"/>
        </w:rPr>
        <w:t xml:space="preserve">                   </w:t>
      </w:r>
      <w:r>
        <w:rPr>
          <w:rFonts w:hint="eastAsia" w:ascii="FangSong_GB2312" w:hAnsi="SimSun" w:eastAsia="FangSong_GB2312" w:cs="SimSun"/>
          <w:color w:val="000000"/>
          <w:kern w:val="0"/>
          <w:szCs w:val="32"/>
          <w:shd w:val="clear" w:color="auto" w:fill="FFFFFF"/>
          <w:lang w:val="en-US" w:eastAsia="zh-CN"/>
        </w:rPr>
        <w:t>峨边彝族自治县人大常委会办公室</w:t>
      </w:r>
    </w:p>
    <w:p>
      <w:pPr>
        <w:widowControl/>
        <w:adjustRightInd w:val="0"/>
        <w:snapToGrid w:val="0"/>
        <w:spacing w:line="580" w:lineRule="exact"/>
        <w:ind w:firstLine="640" w:firstLineChars="200"/>
        <w:contextualSpacing/>
        <w:jc w:val="left"/>
        <w:rPr>
          <w:rFonts w:hint="default" w:ascii="FangSong_GB2312" w:hAnsi="SimSun" w:eastAsia="FangSong_GB2312" w:cs="SimSun"/>
          <w:color w:val="000000"/>
          <w:kern w:val="0"/>
          <w:szCs w:val="32"/>
          <w:shd w:val="clear" w:color="auto" w:fill="FFFFFF"/>
          <w:lang w:val="zh-CN" w:eastAsia="zh-CN"/>
        </w:rPr>
      </w:pPr>
      <w:r>
        <w:rPr>
          <w:rFonts w:hint="eastAsia" w:ascii="FangSong_GB2312" w:hAnsi="SimSun" w:eastAsia="FangSong_GB2312" w:cs="SimSun"/>
          <w:color w:val="000000"/>
          <w:kern w:val="0"/>
          <w:szCs w:val="32"/>
          <w:shd w:val="clear" w:color="auto" w:fill="FFFFFF"/>
          <w:lang w:val="en-US" w:eastAsia="zh-CN"/>
        </w:rPr>
        <w:t xml:space="preserve">                            2023年7月15日</w:t>
      </w:r>
    </w:p>
    <w:sectPr>
      <w:headerReference r:id="rId3" w:type="default"/>
      <w:footerReference r:id="rId4" w:type="even"/>
      <w:pgSz w:w="11906" w:h="16838"/>
      <w:pgMar w:top="907" w:right="1361" w:bottom="851" w:left="1361" w:header="851" w:footer="992" w:gutter="0"/>
      <w:pgNumType w:fmt="numberInDash" w:start="12"/>
      <w:cols w:space="425" w:num="1"/>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34"/>
    <w:family w:val="roman"/>
    <w:pitch w:val="default"/>
    <w:sig w:usb0="E0002AFF" w:usb1="C0007841"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SimHei">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FangSong">
    <w:panose1 w:val="02010609060101010101"/>
    <w:charset w:val="86"/>
    <w:family w:val="modern"/>
    <w:pitch w:val="default"/>
    <w:sig w:usb0="800002BF" w:usb1="38CF7CFA" w:usb2="00000016" w:usb3="00000000" w:csb0="00040001" w:csb1="00000000"/>
  </w:font>
  <w:font w:name="SimSun">
    <w:panose1 w:val="02010600030101010101"/>
    <w:charset w:val="7A"/>
    <w:family w:val="auto"/>
    <w:pitch w:val="default"/>
    <w:sig w:usb0="00000003" w:usb1="288F0000" w:usb2="00000006" w:usb3="00000000" w:csb0="00040001" w:csb1="00000000"/>
  </w:font>
  <w:font w:name="??">
    <w:altName w:val="Times New Roman"/>
    <w:panose1 w:val="00000000000000000000"/>
    <w:charset w:val="00"/>
    <w:family w:val="roman"/>
    <w:pitch w:val="default"/>
    <w:sig w:usb0="00000000" w:usb1="00000000" w:usb2="00000000" w:usb3="00000000" w:csb0="00000000" w:csb1="00000000"/>
  </w:font>
  <w:font w:name="方正黑体_GBK">
    <w:altName w:val="Microsoft YaHei"/>
    <w:panose1 w:val="03000509000000000000"/>
    <w:charset w:val="86"/>
    <w:family w:val="auto"/>
    <w:pitch w:val="default"/>
    <w:sig w:usb0="00000000" w:usb1="00000000" w:usb2="00000000" w:usb3="00000000" w:csb0="00040000" w:csb1="00000000"/>
  </w:font>
  <w:font w:name="FangSong_GB2312">
    <w:panose1 w:val="02010609030101010101"/>
    <w:charset w:val="86"/>
    <w:family w:val="modern"/>
    <w:pitch w:val="default"/>
    <w:sig w:usb0="00000001" w:usb1="080E0000" w:usb2="00000000" w:usb3="00000000" w:csb0="00040000" w:csb1="00000000"/>
  </w:font>
  <w:font w:name="方正仿宋_GBK">
    <w:altName w:val="Microsoft YaHei"/>
    <w:panose1 w:val="03000509000000000000"/>
    <w:charset w:val="86"/>
    <w:family w:val="auto"/>
    <w:pitch w:val="default"/>
    <w:sig w:usb0="00000000" w:usb1="00000000" w:usb2="00000000" w:usb3="00000000" w:csb0="00040000" w:csb1="00000000"/>
  </w:font>
  <w:font w:name="KaiTi_GB2312">
    <w:panose1 w:val="02010609030101010101"/>
    <w:charset w:val="86"/>
    <w:family w:val="modern"/>
    <w:pitch w:val="default"/>
    <w:sig w:usb0="00000001" w:usb1="080E0000" w:usb2="00000000" w:usb3="00000000" w:csb0="00040000" w:csb1="00000000"/>
  </w:font>
  <w:font w:name="Microsoft YaHei">
    <w:panose1 w:val="020B0503020204020204"/>
    <w:charset w:val="86"/>
    <w:family w:val="auto"/>
    <w:pitch w:val="default"/>
    <w:sig w:usb0="80000287" w:usb1="280F3C52" w:usb2="00000016" w:usb3="00000000" w:csb0="0004001F" w:csb1="00000000"/>
  </w:font>
  <w:font w:name="MS PGothic">
    <w:panose1 w:val="020B0600070205080204"/>
    <w:charset w:val="80"/>
    <w:family w:val="auto"/>
    <w:pitch w:val="default"/>
    <w:sig w:usb0="E00002FF" w:usb1="6AC7FDFB" w:usb2="00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w:rPr>
        <w:rFonts w:ascii="SimSun" w:hAnsi="SimSun"/>
        <w:sz w:val="28"/>
        <w:szCs w:val="28"/>
      </w:rPr>
      <w:fldChar w:fldCharType="begin"/>
    </w:r>
    <w:r>
      <w:rPr>
        <w:rFonts w:ascii="SimSun" w:hAnsi="SimSun"/>
        <w:sz w:val="28"/>
        <w:szCs w:val="28"/>
      </w:rPr>
      <w:instrText xml:space="preserve"> PAGE   \* MERGEFORMAT </w:instrText>
    </w:r>
    <w:r>
      <w:rPr>
        <w:rFonts w:ascii="SimSun" w:hAnsi="SimSun"/>
        <w:sz w:val="28"/>
        <w:szCs w:val="28"/>
      </w:rPr>
      <w:fldChar w:fldCharType="separate"/>
    </w:r>
    <w:r>
      <w:rPr>
        <w:rFonts w:ascii="SimSun"/>
        <w:sz w:val="28"/>
        <w:szCs w:val="28"/>
        <w:lang w:val="zh-CN"/>
      </w:rPr>
      <w:t>-</w:t>
    </w:r>
    <w:r>
      <w:rPr>
        <w:rFonts w:ascii="SimSun" w:hAnsi="SimSun"/>
        <w:sz w:val="28"/>
        <w:szCs w:val="28"/>
      </w:rPr>
      <w:t xml:space="preserve"> 12 -</w:t>
    </w:r>
    <w:r>
      <w:rPr>
        <w:rFonts w:ascii="SimSun" w:hAnsi="SimSun"/>
        <w:sz w:val="28"/>
        <w:szCs w:val="28"/>
      </w:rPr>
      <w:fldChar w:fldCharType="end"/>
    </w:r>
  </w:p>
  <w:p>
    <w:pPr>
      <w:pStyle w:val="6"/>
      <w:tabs>
        <w:tab w:val="right" w:pos="9184"/>
        <w:tab w:val="clear" w:pos="4153"/>
        <w:tab w:val="clear" w:pos="8306"/>
      </w:tabs>
      <w:rPr>
        <w:rFonts w:ascii="SimSun"/>
        <w:sz w:val="28"/>
        <w:szCs w:val="28"/>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C7273E3"/>
    <w:multiLevelType w:val="singleLevel"/>
    <w:tmpl w:val="2C7273E3"/>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NotTrackMoves/>
  <w:documentProtection w:enforcement="0"/>
  <w:defaultTabStop w:val="420"/>
  <w:drawingGridHorizontalSpacing w:val="160"/>
  <w:drawingGridVerticalSpacing w:val="435"/>
  <w:displayHorizontalDrawingGridEvery w:val="0"/>
  <w:characterSpacingControl w:val="compressPunctuation"/>
  <w:noLineBreaksAfter w:lang="zh-CN" w:val="$([{£¥·‘“〈《「『【〔〖〝﹙﹛﹝＄（．［｛￡￥"/>
  <w:noLineBreaksBefore w:lang="zh-CN" w:val="!%),.:;&gt;?]}¢¨°·ˇˉ―‖’”…‰′″›℃∶、。〃〉》」』】〕〗〞︶︺︾﹀﹄﹚﹜﹞！＂％＇），．：；？］｀｜｝～￠"/>
  <w:compat>
    <w:spaceForUL/>
    <w:balanceSingleByteDoubleByteWidth/>
    <w:doNotLeaveBackslashAlone/>
    <w:ulTrailSpace/>
    <w:doNotExpandShiftReturn/>
    <w:adjustLineHeightInTable/>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U1MjFjMDUwODIwZDg4NDczZTI5ZmU1NTQ5YzljMTkifQ=="/>
  </w:docVars>
  <w:rsids>
    <w:rsidRoot w:val="00EC0174"/>
    <w:rsid w:val="00006E4D"/>
    <w:rsid w:val="00021652"/>
    <w:rsid w:val="00030311"/>
    <w:rsid w:val="00030782"/>
    <w:rsid w:val="00030B66"/>
    <w:rsid w:val="00052572"/>
    <w:rsid w:val="0006068D"/>
    <w:rsid w:val="0006102A"/>
    <w:rsid w:val="00065B0F"/>
    <w:rsid w:val="00065E7E"/>
    <w:rsid w:val="000820BB"/>
    <w:rsid w:val="0008241B"/>
    <w:rsid w:val="00092280"/>
    <w:rsid w:val="00097FAE"/>
    <w:rsid w:val="000A3233"/>
    <w:rsid w:val="000A7486"/>
    <w:rsid w:val="000A7CE3"/>
    <w:rsid w:val="000B04D6"/>
    <w:rsid w:val="000B15CE"/>
    <w:rsid w:val="000C40C6"/>
    <w:rsid w:val="000C79C1"/>
    <w:rsid w:val="000D208A"/>
    <w:rsid w:val="000E037E"/>
    <w:rsid w:val="000F659A"/>
    <w:rsid w:val="000F77B0"/>
    <w:rsid w:val="0010235D"/>
    <w:rsid w:val="00103A47"/>
    <w:rsid w:val="00106277"/>
    <w:rsid w:val="00106D4D"/>
    <w:rsid w:val="001119A2"/>
    <w:rsid w:val="001221D6"/>
    <w:rsid w:val="0012510A"/>
    <w:rsid w:val="00125F67"/>
    <w:rsid w:val="001261AE"/>
    <w:rsid w:val="001348A4"/>
    <w:rsid w:val="0014117C"/>
    <w:rsid w:val="00146FE8"/>
    <w:rsid w:val="0014767B"/>
    <w:rsid w:val="00147AED"/>
    <w:rsid w:val="00154C87"/>
    <w:rsid w:val="001769C6"/>
    <w:rsid w:val="00177AAF"/>
    <w:rsid w:val="00183850"/>
    <w:rsid w:val="00184D9F"/>
    <w:rsid w:val="001A4749"/>
    <w:rsid w:val="001A4842"/>
    <w:rsid w:val="001A5833"/>
    <w:rsid w:val="001C2158"/>
    <w:rsid w:val="001C51F2"/>
    <w:rsid w:val="001C73AB"/>
    <w:rsid w:val="001D2EA4"/>
    <w:rsid w:val="001F47CE"/>
    <w:rsid w:val="001F5776"/>
    <w:rsid w:val="0020620D"/>
    <w:rsid w:val="002069BC"/>
    <w:rsid w:val="002069EB"/>
    <w:rsid w:val="002201B0"/>
    <w:rsid w:val="00220900"/>
    <w:rsid w:val="0022307E"/>
    <w:rsid w:val="00224D05"/>
    <w:rsid w:val="002323A3"/>
    <w:rsid w:val="00236EF7"/>
    <w:rsid w:val="0024058A"/>
    <w:rsid w:val="002410C0"/>
    <w:rsid w:val="00252894"/>
    <w:rsid w:val="00253FA6"/>
    <w:rsid w:val="00254728"/>
    <w:rsid w:val="002550E7"/>
    <w:rsid w:val="002558D4"/>
    <w:rsid w:val="002560E2"/>
    <w:rsid w:val="00264CFA"/>
    <w:rsid w:val="00270DD7"/>
    <w:rsid w:val="00276F4A"/>
    <w:rsid w:val="00280BFB"/>
    <w:rsid w:val="00280C88"/>
    <w:rsid w:val="002973A4"/>
    <w:rsid w:val="002A0195"/>
    <w:rsid w:val="002B5B34"/>
    <w:rsid w:val="002B6906"/>
    <w:rsid w:val="002B7215"/>
    <w:rsid w:val="002C0AFD"/>
    <w:rsid w:val="002C59D0"/>
    <w:rsid w:val="002D1A18"/>
    <w:rsid w:val="002D6C79"/>
    <w:rsid w:val="002D76D5"/>
    <w:rsid w:val="002E1104"/>
    <w:rsid w:val="002E3FDD"/>
    <w:rsid w:val="00300EF4"/>
    <w:rsid w:val="00301353"/>
    <w:rsid w:val="00305FF6"/>
    <w:rsid w:val="00307568"/>
    <w:rsid w:val="00311506"/>
    <w:rsid w:val="00316ADB"/>
    <w:rsid w:val="00317623"/>
    <w:rsid w:val="00335F67"/>
    <w:rsid w:val="003361E9"/>
    <w:rsid w:val="00350A65"/>
    <w:rsid w:val="00352164"/>
    <w:rsid w:val="00357793"/>
    <w:rsid w:val="00361C85"/>
    <w:rsid w:val="00371352"/>
    <w:rsid w:val="00376753"/>
    <w:rsid w:val="0038541D"/>
    <w:rsid w:val="00387818"/>
    <w:rsid w:val="00391A13"/>
    <w:rsid w:val="00391FD0"/>
    <w:rsid w:val="003A44FC"/>
    <w:rsid w:val="003B3299"/>
    <w:rsid w:val="003D10A2"/>
    <w:rsid w:val="003D33B8"/>
    <w:rsid w:val="003D624D"/>
    <w:rsid w:val="003D719A"/>
    <w:rsid w:val="003F5EB7"/>
    <w:rsid w:val="003F7FE2"/>
    <w:rsid w:val="004004E7"/>
    <w:rsid w:val="00401C7A"/>
    <w:rsid w:val="00416E1A"/>
    <w:rsid w:val="00426A3F"/>
    <w:rsid w:val="004277D4"/>
    <w:rsid w:val="00461638"/>
    <w:rsid w:val="004706FA"/>
    <w:rsid w:val="00474D8D"/>
    <w:rsid w:val="00475CCD"/>
    <w:rsid w:val="00477266"/>
    <w:rsid w:val="004811BC"/>
    <w:rsid w:val="004838F2"/>
    <w:rsid w:val="00486492"/>
    <w:rsid w:val="00492CF6"/>
    <w:rsid w:val="004A4C9D"/>
    <w:rsid w:val="004C2078"/>
    <w:rsid w:val="004C228F"/>
    <w:rsid w:val="004C6A76"/>
    <w:rsid w:val="004E752F"/>
    <w:rsid w:val="004F1E37"/>
    <w:rsid w:val="00515198"/>
    <w:rsid w:val="00521C44"/>
    <w:rsid w:val="005274E1"/>
    <w:rsid w:val="00531DDF"/>
    <w:rsid w:val="00535FA6"/>
    <w:rsid w:val="00537DB9"/>
    <w:rsid w:val="00542AB7"/>
    <w:rsid w:val="0055358D"/>
    <w:rsid w:val="005540C8"/>
    <w:rsid w:val="00555809"/>
    <w:rsid w:val="00562165"/>
    <w:rsid w:val="005756AF"/>
    <w:rsid w:val="00575A4A"/>
    <w:rsid w:val="00591B6F"/>
    <w:rsid w:val="005A1DAF"/>
    <w:rsid w:val="005A67BD"/>
    <w:rsid w:val="005C17C8"/>
    <w:rsid w:val="005C2098"/>
    <w:rsid w:val="005C2E6C"/>
    <w:rsid w:val="005D0CCF"/>
    <w:rsid w:val="005D1C01"/>
    <w:rsid w:val="005D5BEE"/>
    <w:rsid w:val="005E297D"/>
    <w:rsid w:val="005E3F12"/>
    <w:rsid w:val="005F627E"/>
    <w:rsid w:val="0061652E"/>
    <w:rsid w:val="006205E9"/>
    <w:rsid w:val="00622D0B"/>
    <w:rsid w:val="006270DA"/>
    <w:rsid w:val="00630B75"/>
    <w:rsid w:val="00634DFF"/>
    <w:rsid w:val="00635337"/>
    <w:rsid w:val="0064265B"/>
    <w:rsid w:val="0064519C"/>
    <w:rsid w:val="0065082E"/>
    <w:rsid w:val="006512D0"/>
    <w:rsid w:val="006560A3"/>
    <w:rsid w:val="00656301"/>
    <w:rsid w:val="006600C9"/>
    <w:rsid w:val="006701CC"/>
    <w:rsid w:val="00671F58"/>
    <w:rsid w:val="006762A4"/>
    <w:rsid w:val="006900E7"/>
    <w:rsid w:val="006A00A8"/>
    <w:rsid w:val="006A482D"/>
    <w:rsid w:val="006B11E0"/>
    <w:rsid w:val="006B386A"/>
    <w:rsid w:val="006B7CB4"/>
    <w:rsid w:val="006C24D3"/>
    <w:rsid w:val="006C7917"/>
    <w:rsid w:val="006E51AE"/>
    <w:rsid w:val="0070081F"/>
    <w:rsid w:val="007018F5"/>
    <w:rsid w:val="00710897"/>
    <w:rsid w:val="00712F45"/>
    <w:rsid w:val="00734305"/>
    <w:rsid w:val="007370E1"/>
    <w:rsid w:val="00737684"/>
    <w:rsid w:val="007732A1"/>
    <w:rsid w:val="007739D4"/>
    <w:rsid w:val="00774C4A"/>
    <w:rsid w:val="00775421"/>
    <w:rsid w:val="00782BBB"/>
    <w:rsid w:val="007A0690"/>
    <w:rsid w:val="007A078F"/>
    <w:rsid w:val="007B34D4"/>
    <w:rsid w:val="007C0633"/>
    <w:rsid w:val="007D086C"/>
    <w:rsid w:val="007F1BE1"/>
    <w:rsid w:val="007F637D"/>
    <w:rsid w:val="007F707F"/>
    <w:rsid w:val="007F794C"/>
    <w:rsid w:val="007F7AC9"/>
    <w:rsid w:val="00803B42"/>
    <w:rsid w:val="008073EF"/>
    <w:rsid w:val="0081095C"/>
    <w:rsid w:val="00810C41"/>
    <w:rsid w:val="008212FF"/>
    <w:rsid w:val="0082593B"/>
    <w:rsid w:val="00827537"/>
    <w:rsid w:val="00830A05"/>
    <w:rsid w:val="0083462A"/>
    <w:rsid w:val="008468EA"/>
    <w:rsid w:val="00867140"/>
    <w:rsid w:val="00881134"/>
    <w:rsid w:val="008904F0"/>
    <w:rsid w:val="008B2F27"/>
    <w:rsid w:val="008B4A72"/>
    <w:rsid w:val="008B585E"/>
    <w:rsid w:val="008E0337"/>
    <w:rsid w:val="008E6C0C"/>
    <w:rsid w:val="008F1E63"/>
    <w:rsid w:val="008F3052"/>
    <w:rsid w:val="00901E19"/>
    <w:rsid w:val="009214F7"/>
    <w:rsid w:val="00921CD7"/>
    <w:rsid w:val="00940EB6"/>
    <w:rsid w:val="00944771"/>
    <w:rsid w:val="009601FC"/>
    <w:rsid w:val="00965426"/>
    <w:rsid w:val="0096654A"/>
    <w:rsid w:val="009711E4"/>
    <w:rsid w:val="00971572"/>
    <w:rsid w:val="00981E55"/>
    <w:rsid w:val="00986CEF"/>
    <w:rsid w:val="00987212"/>
    <w:rsid w:val="00992716"/>
    <w:rsid w:val="009A0E5F"/>
    <w:rsid w:val="009F1AF3"/>
    <w:rsid w:val="009F233E"/>
    <w:rsid w:val="00A024AB"/>
    <w:rsid w:val="00A050A5"/>
    <w:rsid w:val="00A05B8B"/>
    <w:rsid w:val="00A1372F"/>
    <w:rsid w:val="00A170EC"/>
    <w:rsid w:val="00A217B3"/>
    <w:rsid w:val="00A23D04"/>
    <w:rsid w:val="00A277D9"/>
    <w:rsid w:val="00A30CEB"/>
    <w:rsid w:val="00A31318"/>
    <w:rsid w:val="00A5432A"/>
    <w:rsid w:val="00A55F8A"/>
    <w:rsid w:val="00A9670E"/>
    <w:rsid w:val="00AA1423"/>
    <w:rsid w:val="00AB7996"/>
    <w:rsid w:val="00AC43C3"/>
    <w:rsid w:val="00AE2EAD"/>
    <w:rsid w:val="00AF77BE"/>
    <w:rsid w:val="00B00BB4"/>
    <w:rsid w:val="00B11CEE"/>
    <w:rsid w:val="00B23428"/>
    <w:rsid w:val="00B264BF"/>
    <w:rsid w:val="00B42E74"/>
    <w:rsid w:val="00B46874"/>
    <w:rsid w:val="00B50E8F"/>
    <w:rsid w:val="00B51151"/>
    <w:rsid w:val="00B523E4"/>
    <w:rsid w:val="00B52B4F"/>
    <w:rsid w:val="00B6108C"/>
    <w:rsid w:val="00B649AD"/>
    <w:rsid w:val="00B64B9C"/>
    <w:rsid w:val="00B67A3E"/>
    <w:rsid w:val="00B735CC"/>
    <w:rsid w:val="00B82C95"/>
    <w:rsid w:val="00B83F87"/>
    <w:rsid w:val="00B84DFD"/>
    <w:rsid w:val="00BB4E38"/>
    <w:rsid w:val="00BC3879"/>
    <w:rsid w:val="00BD0E0D"/>
    <w:rsid w:val="00BD41BC"/>
    <w:rsid w:val="00BD55AD"/>
    <w:rsid w:val="00BD7047"/>
    <w:rsid w:val="00BE0305"/>
    <w:rsid w:val="00BF15F0"/>
    <w:rsid w:val="00BF7DF9"/>
    <w:rsid w:val="00C03559"/>
    <w:rsid w:val="00C05395"/>
    <w:rsid w:val="00C22AD7"/>
    <w:rsid w:val="00C272C1"/>
    <w:rsid w:val="00C32A68"/>
    <w:rsid w:val="00C34282"/>
    <w:rsid w:val="00C35350"/>
    <w:rsid w:val="00C3564B"/>
    <w:rsid w:val="00C41851"/>
    <w:rsid w:val="00C53721"/>
    <w:rsid w:val="00C64D2E"/>
    <w:rsid w:val="00C70F97"/>
    <w:rsid w:val="00C7497C"/>
    <w:rsid w:val="00C757A2"/>
    <w:rsid w:val="00C75966"/>
    <w:rsid w:val="00C76577"/>
    <w:rsid w:val="00C80225"/>
    <w:rsid w:val="00C81349"/>
    <w:rsid w:val="00C93139"/>
    <w:rsid w:val="00CA08A0"/>
    <w:rsid w:val="00CA32D2"/>
    <w:rsid w:val="00CA4E07"/>
    <w:rsid w:val="00CA737D"/>
    <w:rsid w:val="00CB1EF5"/>
    <w:rsid w:val="00CC05D4"/>
    <w:rsid w:val="00CC7166"/>
    <w:rsid w:val="00CF5275"/>
    <w:rsid w:val="00CF6136"/>
    <w:rsid w:val="00D0023D"/>
    <w:rsid w:val="00D006C6"/>
    <w:rsid w:val="00D14A65"/>
    <w:rsid w:val="00D162B9"/>
    <w:rsid w:val="00D251E2"/>
    <w:rsid w:val="00D254F4"/>
    <w:rsid w:val="00D263A7"/>
    <w:rsid w:val="00D26B5D"/>
    <w:rsid w:val="00D33159"/>
    <w:rsid w:val="00D33A19"/>
    <w:rsid w:val="00D349F5"/>
    <w:rsid w:val="00D355B5"/>
    <w:rsid w:val="00D43DC3"/>
    <w:rsid w:val="00D51791"/>
    <w:rsid w:val="00D5281E"/>
    <w:rsid w:val="00D6531B"/>
    <w:rsid w:val="00D6612D"/>
    <w:rsid w:val="00D71AD9"/>
    <w:rsid w:val="00D73C02"/>
    <w:rsid w:val="00D77D81"/>
    <w:rsid w:val="00D8170D"/>
    <w:rsid w:val="00D872ED"/>
    <w:rsid w:val="00D913C6"/>
    <w:rsid w:val="00DA0236"/>
    <w:rsid w:val="00DA37F7"/>
    <w:rsid w:val="00DA5D51"/>
    <w:rsid w:val="00DA5E29"/>
    <w:rsid w:val="00DA61CA"/>
    <w:rsid w:val="00DB66BB"/>
    <w:rsid w:val="00DB73AF"/>
    <w:rsid w:val="00DC2865"/>
    <w:rsid w:val="00DD0894"/>
    <w:rsid w:val="00DD12DB"/>
    <w:rsid w:val="00DE1888"/>
    <w:rsid w:val="00DF1250"/>
    <w:rsid w:val="00DF6EF7"/>
    <w:rsid w:val="00E05454"/>
    <w:rsid w:val="00E074C3"/>
    <w:rsid w:val="00E23329"/>
    <w:rsid w:val="00E24D6D"/>
    <w:rsid w:val="00E341B2"/>
    <w:rsid w:val="00E42633"/>
    <w:rsid w:val="00E5699E"/>
    <w:rsid w:val="00E570E1"/>
    <w:rsid w:val="00E70BEA"/>
    <w:rsid w:val="00E72773"/>
    <w:rsid w:val="00E76739"/>
    <w:rsid w:val="00E81946"/>
    <w:rsid w:val="00E82BB7"/>
    <w:rsid w:val="00E86D13"/>
    <w:rsid w:val="00E936C2"/>
    <w:rsid w:val="00E95346"/>
    <w:rsid w:val="00EA0CEF"/>
    <w:rsid w:val="00EA2E2A"/>
    <w:rsid w:val="00EB79D2"/>
    <w:rsid w:val="00EC0174"/>
    <w:rsid w:val="00EC0839"/>
    <w:rsid w:val="00ED3EEB"/>
    <w:rsid w:val="00ED5749"/>
    <w:rsid w:val="00ED5FA3"/>
    <w:rsid w:val="00ED68C4"/>
    <w:rsid w:val="00ED6A4E"/>
    <w:rsid w:val="00ED72EA"/>
    <w:rsid w:val="00EE3A4F"/>
    <w:rsid w:val="00EF10C3"/>
    <w:rsid w:val="00EF3BD2"/>
    <w:rsid w:val="00F16BCE"/>
    <w:rsid w:val="00F45DA1"/>
    <w:rsid w:val="00F5267B"/>
    <w:rsid w:val="00F53E8B"/>
    <w:rsid w:val="00F663FD"/>
    <w:rsid w:val="00F743B0"/>
    <w:rsid w:val="00F82409"/>
    <w:rsid w:val="00F8264F"/>
    <w:rsid w:val="00F833E9"/>
    <w:rsid w:val="00F84580"/>
    <w:rsid w:val="00F873DA"/>
    <w:rsid w:val="00F95982"/>
    <w:rsid w:val="00FA006C"/>
    <w:rsid w:val="00FA190E"/>
    <w:rsid w:val="00FA288B"/>
    <w:rsid w:val="00FA2997"/>
    <w:rsid w:val="00FA2C71"/>
    <w:rsid w:val="00FB3345"/>
    <w:rsid w:val="00FD0228"/>
    <w:rsid w:val="00FD3BB7"/>
    <w:rsid w:val="00FE0D93"/>
    <w:rsid w:val="00FF2572"/>
    <w:rsid w:val="00FF32AD"/>
    <w:rsid w:val="03946B2A"/>
    <w:rsid w:val="14211128"/>
    <w:rsid w:val="18D17537"/>
    <w:rsid w:val="19927F78"/>
    <w:rsid w:val="20C979E0"/>
    <w:rsid w:val="21AE59D8"/>
    <w:rsid w:val="26A219A2"/>
    <w:rsid w:val="286F56EA"/>
    <w:rsid w:val="2A2C4B8E"/>
    <w:rsid w:val="2D527252"/>
    <w:rsid w:val="2E1039D7"/>
    <w:rsid w:val="2FB61153"/>
    <w:rsid w:val="30916E14"/>
    <w:rsid w:val="329102D6"/>
    <w:rsid w:val="33373AAF"/>
    <w:rsid w:val="356833BB"/>
    <w:rsid w:val="3A9520B3"/>
    <w:rsid w:val="3DE562B7"/>
    <w:rsid w:val="3E6507EA"/>
    <w:rsid w:val="47550EBA"/>
    <w:rsid w:val="50BB3388"/>
    <w:rsid w:val="514B70FF"/>
    <w:rsid w:val="649738FE"/>
    <w:rsid w:val="6636451A"/>
    <w:rsid w:val="6BE94116"/>
    <w:rsid w:val="78916378"/>
    <w:rsid w:val="7BC20073"/>
    <w:rsid w:val="7C631402"/>
    <w:rsid w:val="7DCC0F6E"/>
    <w:rsid w:val="7E140770"/>
    <w:rsid w:val="9BFF62CB"/>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ocked="1"/>
    <w:lsdException w:qFormat="1" w:uiPriority="9" w:name="heading 2" w:locked="1"/>
    <w:lsdException w:qFormat="1" w:uiPriority="9" w:name="heading 3" w:locked="1"/>
    <w:lsdException w:qFormat="1" w:uiPriority="9" w:name="heading 4" w:locked="1"/>
    <w:lsdException w:qFormat="1" w:uiPriority="9" w:name="heading 5" w:locked="1"/>
    <w:lsdException w:qFormat="1" w:uiPriority="9" w:name="heading 6" w:locked="1"/>
    <w:lsdException w:qFormat="1" w:uiPriority="9" w:name="heading 7" w:locked="1"/>
    <w:lsdException w:qFormat="1" w:uiPriority="9" w:name="heading 8" w:locked="1"/>
    <w:lsdException w:qFormat="1" w:uiPriority="9" w:name="heading 9" w:locked="1"/>
    <w:lsdException w:uiPriority="99" w:name="index 1" w:locked="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uiPriority="39" w:name="toc 1" w:locked="1"/>
    <w:lsdException w:uiPriority="39" w:name="toc 2" w:locked="1"/>
    <w:lsdException w:uiPriority="39" w:name="toc 3" w:locked="1"/>
    <w:lsdException w:uiPriority="39" w:name="toc 4" w:locked="1"/>
    <w:lsdException w:uiPriority="39" w:name="toc 5" w:locked="1"/>
    <w:lsdException w:uiPriority="39" w:name="toc 6" w:locked="1"/>
    <w:lsdException w:uiPriority="39" w:name="toc 7" w:locked="1"/>
    <w:lsdException w:uiPriority="39" w:name="toc 8" w:locked="1"/>
    <w:lsdException w:uiPriority="39" w:name="toc 9" w:locked="1"/>
    <w:lsdException w:uiPriority="99" w:name="Normal Indent" w:locked="1"/>
    <w:lsdException w:uiPriority="99" w:name="footnote text" w:locked="1"/>
    <w:lsdException w:qFormat="1" w:uiPriority="99" w:name="annotation text" w:locked="1"/>
    <w:lsdException w:qFormat="1" w:unhideWhenUsed="0" w:uiPriority="99" w:semiHidden="0" w:name="header"/>
    <w:lsdException w:qFormat="1" w:unhideWhenUsed="0" w:uiPriority="99" w:semiHidden="0" w:name="footer"/>
    <w:lsdException w:uiPriority="99" w:name="index heading" w:locked="1"/>
    <w:lsdException w:qFormat="1" w:uiPriority="35" w:name="caption" w:locked="1"/>
    <w:lsdException w:uiPriority="99" w:name="table of figures" w:locked="1"/>
    <w:lsdException w:uiPriority="99" w:name="envelope address" w:locked="1"/>
    <w:lsdException w:uiPriority="99" w:name="envelope return" w:locked="1"/>
    <w:lsdException w:uiPriority="99" w:name="footnote reference" w:locked="1"/>
    <w:lsdException w:uiPriority="99" w:name="annotation reference" w:locked="1"/>
    <w:lsdException w:uiPriority="99" w:name="line number" w:locked="1"/>
    <w:lsdException w:qFormat="1" w:unhideWhenUsed="0" w:uiPriority="99" w:semiHidden="0" w:name="page number"/>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uiPriority="99" w:name="List" w:locked="1"/>
    <w:lsdException w:uiPriority="99" w:name="List Bullet" w:locked="1"/>
    <w:lsdException w:uiPriority="99" w:name="List Number" w:locked="1"/>
    <w:lsdException w:uiPriority="99" w:name="List 2" w:locked="1"/>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10" w:semiHidden="0" w:name="Title" w:locked="1"/>
    <w:lsdException w:uiPriority="99" w:name="Closing" w:locked="1"/>
    <w:lsdException w:uiPriority="99" w:name="Signature" w:locked="1"/>
    <w:lsdException w:qFormat="1" w:uiPriority="1" w:name="Default Paragraph Font"/>
    <w:lsdException w:uiPriority="99" w:name="Body Text" w:locked="1"/>
    <w:lsdException w:uiPriority="99"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11" w:semiHidden="0" w:name="Subtitle" w:locked="1"/>
    <w:lsdException w:uiPriority="99" w:name="Salutation" w:locked="1"/>
    <w:lsdException w:uiPriority="99" w:name="Date" w:locked="1"/>
    <w:lsdException w:uiPriority="99" w:name="Body Text First Indent" w:locked="1"/>
    <w:lsdException w:uiPriority="99" w:name="Body Text First Indent 2" w:locked="1"/>
    <w:lsdException w:uiPriority="99" w:name="Note Heading" w:locked="1"/>
    <w:lsdException w:uiPriority="99" w:name="Body Text 2" w:locked="1"/>
    <w:lsdException w:uiPriority="99" w:name="Body Text 3" w:locked="1"/>
    <w:lsdException w:uiPriority="99" w:name="Body Text Indent 2" w:locked="1"/>
    <w:lsdException w:uiPriority="99" w:name="Body Text Indent 3" w:locked="1"/>
    <w:lsdException w:uiPriority="99" w:name="Block Text" w:locked="1"/>
    <w:lsdException w:uiPriority="99" w:name="Hyperlink" w:locked="1"/>
    <w:lsdException w:uiPriority="99" w:name="FollowedHyperlink" w:locked="1"/>
    <w:lsdException w:qFormat="1" w:unhideWhenUsed="0" w:uiPriority="22" w:semiHidden="0" w:name="Strong" w:locked="1"/>
    <w:lsdException w:qFormat="1" w:unhideWhenUsed="0" w:uiPriority="20" w:semiHidden="0" w:name="Emphasis" w:locked="1"/>
    <w:lsdException w:qFormat="1" w:unhideWhenUsed="0" w:uiPriority="99" w:semiHidden="0" w:name="Document Map"/>
    <w:lsdException w:qFormat="1" w:uiPriority="99" w:semiHidden="0" w:name="Plain Text" w:locked="1"/>
    <w:lsdException w:uiPriority="99" w:name="E-mail Signature" w:locked="1"/>
    <w:lsdException w:uiPriority="99" w:name="Normal (Web)" w:locked="1"/>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name="Normal Table"/>
    <w:lsdException w:uiPriority="99" w:name="annotation subject" w:locked="1"/>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name="Balloon Text"/>
    <w:lsdException w:qFormat="1" w:unhideWhenUsed="0" w:uiPriority="99" w:semiHidden="0" w:name="Table Grid"/>
    <w:lsdException w:uiPriority="99"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SimSun" w:cs="Times New Roman"/>
      <w:kern w:val="2"/>
      <w:sz w:val="32"/>
      <w:szCs w:val="24"/>
      <w:lang w:val="en-US" w:eastAsia="zh-CN" w:bidi="ar-SA"/>
    </w:rPr>
  </w:style>
  <w:style w:type="character" w:default="1" w:styleId="10">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Plain Text"/>
    <w:basedOn w:val="1"/>
    <w:autoRedefine/>
    <w:unhideWhenUsed/>
    <w:qFormat/>
    <w:locked/>
    <w:uiPriority w:val="99"/>
    <w:rPr>
      <w:rFonts w:ascii="SimSun" w:hAnsi="Courier New" w:cs="Courier New"/>
      <w:sz w:val="21"/>
      <w:szCs w:val="21"/>
    </w:rPr>
  </w:style>
  <w:style w:type="paragraph" w:styleId="3">
    <w:name w:val="Document Map"/>
    <w:basedOn w:val="1"/>
    <w:link w:val="12"/>
    <w:qFormat/>
    <w:uiPriority w:val="99"/>
    <w:rPr>
      <w:rFonts w:ascii="SimSun"/>
      <w:sz w:val="18"/>
      <w:szCs w:val="18"/>
    </w:rPr>
  </w:style>
  <w:style w:type="paragraph" w:styleId="4">
    <w:name w:val="annotation text"/>
    <w:basedOn w:val="1"/>
    <w:semiHidden/>
    <w:unhideWhenUsed/>
    <w:qFormat/>
    <w:locked/>
    <w:uiPriority w:val="99"/>
    <w:pPr>
      <w:jc w:val="left"/>
    </w:pPr>
  </w:style>
  <w:style w:type="paragraph" w:styleId="5">
    <w:name w:val="Balloon Text"/>
    <w:basedOn w:val="1"/>
    <w:link w:val="13"/>
    <w:semiHidden/>
    <w:qFormat/>
    <w:uiPriority w:val="99"/>
    <w:rPr>
      <w:sz w:val="18"/>
      <w:szCs w:val="18"/>
    </w:rPr>
  </w:style>
  <w:style w:type="paragraph" w:styleId="6">
    <w:name w:val="footer"/>
    <w:basedOn w:val="1"/>
    <w:link w:val="14"/>
    <w:autoRedefine/>
    <w:qFormat/>
    <w:uiPriority w:val="99"/>
    <w:pPr>
      <w:tabs>
        <w:tab w:val="center" w:pos="4153"/>
        <w:tab w:val="right" w:pos="8306"/>
      </w:tabs>
      <w:snapToGrid w:val="0"/>
      <w:jc w:val="left"/>
    </w:pPr>
    <w:rPr>
      <w:sz w:val="18"/>
      <w:szCs w:val="18"/>
    </w:rPr>
  </w:style>
  <w:style w:type="paragraph" w:styleId="7">
    <w:name w:val="header"/>
    <w:basedOn w:val="1"/>
    <w:link w:val="15"/>
    <w:autoRedefine/>
    <w:qFormat/>
    <w:uiPriority w:val="99"/>
    <w:pPr>
      <w:pBdr>
        <w:bottom w:val="single" w:color="auto" w:sz="6" w:space="1"/>
      </w:pBdr>
      <w:tabs>
        <w:tab w:val="center" w:pos="4153"/>
        <w:tab w:val="right" w:pos="8306"/>
      </w:tabs>
      <w:snapToGrid w:val="0"/>
      <w:jc w:val="center"/>
    </w:pPr>
    <w:rPr>
      <w:sz w:val="18"/>
      <w:szCs w:val="18"/>
    </w:rPr>
  </w:style>
  <w:style w:type="table" w:styleId="9">
    <w:name w:val="Table Grid"/>
    <w:basedOn w:val="8"/>
    <w:autoRedefine/>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1">
    <w:name w:val="page number"/>
    <w:autoRedefine/>
    <w:qFormat/>
    <w:uiPriority w:val="99"/>
    <w:rPr>
      <w:rFonts w:cs="Times New Roman"/>
    </w:rPr>
  </w:style>
  <w:style w:type="character" w:customStyle="1" w:styleId="12">
    <w:name w:val="文档结构图 Char"/>
    <w:link w:val="3"/>
    <w:qFormat/>
    <w:locked/>
    <w:uiPriority w:val="99"/>
    <w:rPr>
      <w:rFonts w:ascii="SimSun" w:cs="Times New Roman"/>
      <w:kern w:val="2"/>
      <w:sz w:val="18"/>
      <w:szCs w:val="18"/>
    </w:rPr>
  </w:style>
  <w:style w:type="character" w:customStyle="1" w:styleId="13">
    <w:name w:val="批注框文本 Char"/>
    <w:link w:val="5"/>
    <w:semiHidden/>
    <w:qFormat/>
    <w:locked/>
    <w:uiPriority w:val="99"/>
    <w:rPr>
      <w:rFonts w:cs="Times New Roman"/>
      <w:sz w:val="2"/>
    </w:rPr>
  </w:style>
  <w:style w:type="character" w:customStyle="1" w:styleId="14">
    <w:name w:val="页脚 Char"/>
    <w:link w:val="6"/>
    <w:qFormat/>
    <w:locked/>
    <w:uiPriority w:val="99"/>
    <w:rPr>
      <w:rFonts w:cs="Times New Roman"/>
      <w:kern w:val="2"/>
      <w:sz w:val="18"/>
      <w:szCs w:val="18"/>
    </w:rPr>
  </w:style>
  <w:style w:type="character" w:customStyle="1" w:styleId="15">
    <w:name w:val="页眉 Char"/>
    <w:link w:val="7"/>
    <w:autoRedefine/>
    <w:semiHidden/>
    <w:qFormat/>
    <w:locked/>
    <w:uiPriority w:val="99"/>
    <w:rPr>
      <w:rFonts w:cs="Times New Roman"/>
      <w:sz w:val="18"/>
      <w:szCs w:val="18"/>
    </w:rPr>
  </w:style>
  <w:style w:type="paragraph" w:customStyle="1" w:styleId="16">
    <w:name w:val="四号正文"/>
    <w:basedOn w:val="1"/>
    <w:link w:val="17"/>
    <w:qFormat/>
    <w:uiPriority w:val="99"/>
    <w:pPr>
      <w:spacing w:line="360" w:lineRule="auto"/>
    </w:pPr>
    <w:rPr>
      <w:rFonts w:ascii="??" w:hAnsi="??" w:cs="SimSun"/>
      <w:color w:val="000000"/>
      <w:kern w:val="0"/>
      <w:sz w:val="28"/>
      <w:szCs w:val="21"/>
    </w:rPr>
  </w:style>
  <w:style w:type="character" w:customStyle="1" w:styleId="17">
    <w:name w:val="四号正文 Char"/>
    <w:link w:val="16"/>
    <w:autoRedefine/>
    <w:qFormat/>
    <w:locked/>
    <w:uiPriority w:val="99"/>
    <w:rPr>
      <w:rFonts w:ascii="??" w:hAnsi="??" w:eastAsia="SimSun" w:cs="SimSun"/>
      <w:color w:val="000000"/>
      <w:sz w:val="21"/>
      <w:szCs w:val="21"/>
      <w:lang w:val="en-US" w:eastAsia="zh-CN" w:bidi="ar-SA"/>
    </w:rPr>
  </w:style>
  <w:style w:type="paragraph" w:customStyle="1" w:styleId="18">
    <w:name w:val="a"/>
    <w:basedOn w:val="1"/>
    <w:qFormat/>
    <w:uiPriority w:val="99"/>
    <w:pPr>
      <w:widowControl/>
      <w:spacing w:before="100" w:beforeAutospacing="1" w:after="100" w:afterAutospacing="1"/>
      <w:jc w:val="left"/>
    </w:pPr>
    <w:rPr>
      <w:rFonts w:ascii="SimSun" w:hAnsi="SimSun" w:cs="SimSun"/>
      <w:kern w:val="0"/>
      <w:sz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PSZX</Company>
  <Pages>4</Pages>
  <Words>2040</Words>
  <Characters>2150</Characters>
  <Lines>3</Lines>
  <Paragraphs>1</Paragraphs>
  <TotalTime>8</TotalTime>
  <ScaleCrop>false</ScaleCrop>
  <LinksUpToDate>false</LinksUpToDate>
  <CharactersWithSpaces>2209</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2020-05-28T09:28:00Z</dcterms:created>
  <dc:creator>陈萍</dc:creator>
  <cp:lastModifiedBy>碧云天</cp:lastModifiedBy>
  <cp:lastPrinted>2022-03-15T02:17:00Z</cp:lastPrinted>
  <dcterms:modified xsi:type="dcterms:W3CDTF">2024-03-28T03:51:39Z</dcterms:modified>
  <dc:title>区域性就业培训基地建设项目</dc:title>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DAB84A0490784276BFFF779F126AF52E_13</vt:lpwstr>
  </property>
</Properties>
</file>