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3EF0C">
      <w:pPr>
        <w:spacing w:line="580" w:lineRule="exact"/>
        <w:rPr>
          <w:rFonts w:hint="eastAsia" w:ascii="仿宋_GB2312" w:hAnsi="仿宋_GB2312" w:eastAsia="黑体" w:cs="仿宋_GB2312"/>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p w14:paraId="73ADE158">
      <w:pPr>
        <w:pStyle w:val="8"/>
        <w:keepNext w:val="0"/>
        <w:keepLines w:val="0"/>
        <w:pageBreakBefore w:val="0"/>
        <w:kinsoku/>
        <w:wordWrap/>
        <w:overflowPunct/>
        <w:topLinePunct w:val="0"/>
        <w:autoSpaceDE/>
        <w:autoSpaceDN/>
        <w:bidi w:val="0"/>
        <w:spacing w:line="600" w:lineRule="exact"/>
        <w:ind w:left="2304" w:leftChars="1045" w:hanging="110" w:hangingChars="25"/>
        <w:jc w:val="both"/>
        <w:textAlignment w:val="auto"/>
        <w:rPr>
          <w:rFonts w:hint="eastAsia" w:ascii="方正小标宋简体" w:hAnsi="宋体" w:eastAsia="方正小标宋简体"/>
          <w:sz w:val="44"/>
          <w:szCs w:val="44"/>
          <w:lang w:eastAsia="zh-CN"/>
        </w:rPr>
      </w:pPr>
    </w:p>
    <w:p w14:paraId="26BC53FA">
      <w:pPr>
        <w:pStyle w:val="8"/>
        <w:keepNext w:val="0"/>
        <w:keepLines w:val="0"/>
        <w:pageBreakBefore w:val="0"/>
        <w:kinsoku/>
        <w:wordWrap/>
        <w:overflowPunct/>
        <w:topLinePunct w:val="0"/>
        <w:autoSpaceDE/>
        <w:autoSpaceDN/>
        <w:bidi w:val="0"/>
        <w:spacing w:line="600" w:lineRule="exact"/>
        <w:ind w:firstLine="880" w:firstLineChars="200"/>
        <w:jc w:val="both"/>
        <w:textAlignment w:val="auto"/>
        <w:rPr>
          <w:rFonts w:hint="eastAsia" w:ascii="方正小标宋简体" w:hAnsi="宋体" w:eastAsia="方正小标宋简体"/>
          <w:sz w:val="44"/>
          <w:szCs w:val="44"/>
          <w:lang w:eastAsia="zh-CN"/>
        </w:rPr>
      </w:pPr>
      <w:bookmarkStart w:id="0" w:name="_Toc4569_WPSOffice_Level2"/>
      <w:r>
        <w:rPr>
          <w:rFonts w:hint="eastAsia" w:ascii="方正小标宋简体" w:hAnsi="宋体" w:eastAsia="方正小标宋简体"/>
          <w:sz w:val="44"/>
          <w:szCs w:val="44"/>
          <w:lang w:eastAsia="zh-CN"/>
        </w:rPr>
        <w:t>阳光信访、领导视频接访网络服务</w:t>
      </w:r>
    </w:p>
    <w:p w14:paraId="4A15E9E5">
      <w:pPr>
        <w:pStyle w:val="8"/>
        <w:keepNext w:val="0"/>
        <w:keepLines w:val="0"/>
        <w:pageBreakBefore w:val="0"/>
        <w:kinsoku/>
        <w:wordWrap/>
        <w:overflowPunct/>
        <w:topLinePunct w:val="0"/>
        <w:autoSpaceDE/>
        <w:autoSpaceDN/>
        <w:bidi w:val="0"/>
        <w:spacing w:line="600" w:lineRule="exact"/>
        <w:ind w:firstLine="880" w:firstLineChars="200"/>
        <w:jc w:val="both"/>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eastAsia="zh-CN"/>
        </w:rPr>
        <w:t>租赁费项目</w:t>
      </w:r>
      <w:bookmarkEnd w:id="0"/>
      <w:bookmarkStart w:id="1" w:name="_Toc5443_WPSOffice_Level2"/>
      <w:r>
        <w:rPr>
          <w:rFonts w:hint="eastAsia" w:ascii="方正小标宋简体" w:hAnsi="宋体" w:eastAsia="方正小标宋简体"/>
          <w:sz w:val="44"/>
          <w:szCs w:val="44"/>
          <w:lang w:val="en-US" w:eastAsia="zh-CN"/>
        </w:rPr>
        <w:t>2023年</w:t>
      </w:r>
      <w:r>
        <w:rPr>
          <w:rFonts w:hint="eastAsia" w:ascii="方正小标宋简体" w:hAnsi="宋体" w:eastAsia="方正小标宋简体"/>
          <w:sz w:val="44"/>
          <w:szCs w:val="44"/>
        </w:rPr>
        <w:t>绩效评</w:t>
      </w:r>
      <w:r>
        <w:rPr>
          <w:rFonts w:hint="eastAsia" w:ascii="方正小标宋简体" w:hAnsi="宋体" w:eastAsia="方正小标宋简体"/>
          <w:sz w:val="44"/>
          <w:szCs w:val="44"/>
          <w:lang w:eastAsia="zh-CN"/>
        </w:rPr>
        <w:t>价</w:t>
      </w:r>
      <w:r>
        <w:rPr>
          <w:rFonts w:hint="eastAsia" w:ascii="方正小标宋简体" w:hAnsi="宋体" w:eastAsia="方正小标宋简体"/>
          <w:sz w:val="44"/>
          <w:szCs w:val="44"/>
        </w:rPr>
        <w:t>报告</w:t>
      </w:r>
      <w:bookmarkEnd w:id="1"/>
    </w:p>
    <w:p w14:paraId="2932688A">
      <w:pPr>
        <w:adjustRightInd w:val="0"/>
        <w:snapToGrid w:val="0"/>
        <w:spacing w:line="600" w:lineRule="exact"/>
        <w:ind w:firstLine="720"/>
        <w:rPr>
          <w:rFonts w:hint="eastAsia" w:ascii="黑体" w:hAnsi="宋体" w:eastAsia="黑体"/>
          <w:sz w:val="32"/>
          <w:szCs w:val="32"/>
          <w:lang w:val="zh-CN"/>
        </w:rPr>
      </w:pPr>
      <w:bookmarkStart w:id="2" w:name="_Toc20615_WPSOffice_Level2"/>
      <w:r>
        <w:rPr>
          <w:rFonts w:hint="eastAsia" w:ascii="黑体" w:hAnsi="宋体" w:eastAsia="黑体"/>
          <w:sz w:val="32"/>
          <w:szCs w:val="32"/>
        </w:rPr>
        <w:t>一、</w:t>
      </w:r>
      <w:r>
        <w:rPr>
          <w:rFonts w:hint="eastAsia" w:ascii="黑体" w:hAnsi="宋体" w:eastAsia="黑体"/>
          <w:sz w:val="32"/>
          <w:szCs w:val="32"/>
          <w:lang w:val="zh-CN"/>
        </w:rPr>
        <w:t>项目概况</w:t>
      </w:r>
      <w:bookmarkEnd w:id="2"/>
    </w:p>
    <w:p w14:paraId="00831F75">
      <w:pPr>
        <w:adjustRightInd w:val="0"/>
        <w:snapToGrid w:val="0"/>
        <w:spacing w:line="600" w:lineRule="exact"/>
        <w:ind w:firstLine="643" w:firstLineChars="200"/>
        <w:rPr>
          <w:rFonts w:hint="eastAsia" w:ascii="楷体_GB2312" w:hAnsi="宋体" w:eastAsia="楷体_GB2312"/>
          <w:b/>
          <w:sz w:val="32"/>
          <w:szCs w:val="32"/>
          <w:lang w:val="zh-CN"/>
        </w:rPr>
      </w:pPr>
      <w:bookmarkStart w:id="3" w:name="_Toc26095_WPSOffice_Level3"/>
      <w:r>
        <w:rPr>
          <w:rFonts w:hint="eastAsia" w:ascii="楷体_GB2312" w:hAnsi="宋体" w:eastAsia="楷体_GB2312"/>
          <w:b/>
          <w:sz w:val="32"/>
          <w:szCs w:val="32"/>
          <w:lang w:val="zh-CN"/>
        </w:rPr>
        <w:t>（一）项目基本情况。</w:t>
      </w:r>
      <w:bookmarkEnd w:id="3"/>
    </w:p>
    <w:p w14:paraId="22A2C222">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1．阳光信访、领导视频接访网络服务租赁费项目是峨边彝族自治县信访局（以下简称县信访局）的单位专项行政运行预算项目，县信访局负责对牵头单位预算拨付的专项资金阳光信访、领导视频接访网络服务租赁费项目实施管理。是根据单位实际工作要求</w:t>
      </w:r>
      <w:r>
        <w:rPr>
          <w:rFonts w:hint="eastAsia" w:ascii="仿宋_GB2312" w:hAnsi="宋体" w:eastAsia="仿宋_GB2312"/>
          <w:sz w:val="32"/>
          <w:szCs w:val="32"/>
          <w:lang w:val="en-US" w:eastAsia="zh-CN"/>
        </w:rPr>
        <w:t>实施至今。</w:t>
      </w:r>
    </w:p>
    <w:p w14:paraId="076B83F3">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2．阳光信访、领导视频接访网络服务租赁费项目是根据本单位工作职能职责安排进行的立项项目，资金申报依据是按照职能职责对该项目工作具体要求、开展时间期限安排进行的预算。</w:t>
      </w:r>
    </w:p>
    <w:p w14:paraId="47E8C7ED">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3．阳光信访、领导视频接访网络服务租赁费项目资金管理是按实所需支付。</w:t>
      </w:r>
    </w:p>
    <w:p w14:paraId="7FC816F1">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资金的使用范围：</w:t>
      </w:r>
      <w:r>
        <w:rPr>
          <w:rFonts w:hint="eastAsia" w:ascii="仿宋_GB2312" w:hAnsi="宋体" w:eastAsia="仿宋_GB2312"/>
          <w:sz w:val="32"/>
          <w:szCs w:val="32"/>
          <w:lang w:val="en-US" w:eastAsia="zh-CN"/>
        </w:rPr>
        <w:t>2023年该项目资金使用范围为全县。资金</w:t>
      </w:r>
      <w:r>
        <w:rPr>
          <w:rFonts w:hint="eastAsia" w:ascii="仿宋_GB2312" w:hAnsi="宋体" w:eastAsia="仿宋_GB2312"/>
          <w:sz w:val="32"/>
          <w:szCs w:val="32"/>
          <w:lang w:val="zh-CN" w:eastAsia="zh-CN"/>
        </w:rPr>
        <w:t>主要用于县级领导视频接访专用、中央省市业务工作视频培训、政策宣传、会议召开以及群众网上信访投诉的网络使用费用的经费支出。</w:t>
      </w:r>
    </w:p>
    <w:p w14:paraId="4655A13E">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4．阳光信访、领导视频接访网络服务租赁费项目资金分配只有维修（维护）费经济科目进行使用。</w:t>
      </w:r>
    </w:p>
    <w:p w14:paraId="4E7E1AAA">
      <w:pPr>
        <w:adjustRightInd w:val="0"/>
        <w:snapToGrid w:val="0"/>
        <w:spacing w:line="600" w:lineRule="exact"/>
        <w:ind w:firstLine="720"/>
        <w:rPr>
          <w:rFonts w:hint="eastAsia" w:ascii="楷体_GB2312" w:hAnsi="宋体" w:eastAsia="楷体_GB2312"/>
          <w:b/>
          <w:sz w:val="32"/>
          <w:szCs w:val="32"/>
          <w:lang w:val="zh-CN"/>
        </w:rPr>
      </w:pPr>
      <w:bookmarkStart w:id="4" w:name="_Toc1740_WPSOffice_Level3"/>
      <w:r>
        <w:rPr>
          <w:rFonts w:hint="eastAsia" w:ascii="楷体_GB2312" w:hAnsi="宋体" w:eastAsia="楷体_GB2312"/>
          <w:b/>
          <w:sz w:val="32"/>
          <w:szCs w:val="32"/>
          <w:lang w:val="zh-CN"/>
        </w:rPr>
        <w:t>（二）项目绩效目标。</w:t>
      </w:r>
      <w:bookmarkEnd w:id="4"/>
    </w:p>
    <w:p w14:paraId="56A54C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val="zh-CN" w:eastAsia="zh-CN"/>
        </w:rPr>
        <w:t>1．阳光信访、领导视频接访网络服务租赁费项目是按单位职能职责而设立：</w:t>
      </w:r>
      <w:r>
        <w:rPr>
          <w:rFonts w:hint="eastAsia" w:ascii="仿宋_GB2312" w:hAnsi="仿宋_GB2312" w:eastAsia="仿宋_GB2312" w:cs="仿宋_GB2312"/>
          <w:sz w:val="32"/>
          <w:szCs w:val="32"/>
          <w:lang w:val="en-US" w:eastAsia="zh-CN"/>
        </w:rPr>
        <w:t>2023年阳光信访、领导视频接访网络服务费支出1.62万元，该项目主要是全年保障网上投诉平台的正常运行，畅通信访渠道。完成278人次县领导视频接访，参加全国省市各类信访工作会6次、业务培训会10次、传达国家信访政策3次。受理群众网上来信63件，受理率、办结率为100%，满意率为98%。为2023年的信访工作提供了有力保证。</w:t>
      </w:r>
    </w:p>
    <w:p w14:paraId="37201897">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val="zh-CN" w:eastAsia="zh-CN"/>
        </w:rPr>
        <w:t>．阳光信访、领导视频接访网络服务租赁费项目是应本单位工作需要安排的长期性工作支出经费，与工作实际相符，申报合理可行。</w:t>
      </w:r>
    </w:p>
    <w:p w14:paraId="706EE12E">
      <w:pPr>
        <w:adjustRightInd w:val="0"/>
        <w:snapToGrid w:val="0"/>
        <w:spacing w:line="600" w:lineRule="exact"/>
        <w:ind w:firstLine="720"/>
        <w:rPr>
          <w:rFonts w:hint="eastAsia" w:ascii="黑体" w:hAnsi="宋体" w:eastAsia="黑体"/>
          <w:sz w:val="32"/>
          <w:szCs w:val="32"/>
          <w:lang w:val="zh-CN"/>
        </w:rPr>
      </w:pPr>
      <w:bookmarkStart w:id="5" w:name="_Toc9845_WPSOffice_Level3"/>
      <w:r>
        <w:rPr>
          <w:rFonts w:hint="eastAsia" w:ascii="楷体_GB2312" w:hAnsi="宋体" w:eastAsia="楷体_GB2312"/>
          <w:b/>
          <w:sz w:val="32"/>
          <w:szCs w:val="32"/>
          <w:lang w:val="zh-CN"/>
        </w:rPr>
        <w:t>（三）项目自评步骤及方法。</w:t>
      </w:r>
      <w:bookmarkEnd w:id="5"/>
    </w:p>
    <w:p w14:paraId="03DE6818">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阳光信访、领导视频接访网络服务租赁费项目绩效自评采用的组织实施步骤按单位常年实际开展工作要求安排，进行该项目经费预算。资金使用方式是预算控制范围内据实报账。</w:t>
      </w:r>
    </w:p>
    <w:p w14:paraId="7C16ADF6">
      <w:pPr>
        <w:adjustRightInd w:val="0"/>
        <w:snapToGrid w:val="0"/>
        <w:spacing w:line="600" w:lineRule="exact"/>
        <w:ind w:firstLine="720"/>
        <w:rPr>
          <w:rFonts w:hint="eastAsia" w:ascii="黑体" w:hAnsi="宋体" w:eastAsia="黑体"/>
          <w:sz w:val="32"/>
          <w:szCs w:val="32"/>
        </w:rPr>
      </w:pPr>
      <w:bookmarkStart w:id="6" w:name="_Toc12707_WPSOffice_Level2"/>
      <w:r>
        <w:rPr>
          <w:rFonts w:hint="eastAsia" w:ascii="黑体" w:hAnsi="宋体" w:eastAsia="黑体"/>
          <w:sz w:val="32"/>
          <w:szCs w:val="32"/>
        </w:rPr>
        <w:t>二、项目资金申报及使用情况</w:t>
      </w:r>
      <w:bookmarkEnd w:id="6"/>
    </w:p>
    <w:p w14:paraId="5317D531">
      <w:pPr>
        <w:adjustRightInd w:val="0"/>
        <w:snapToGrid w:val="0"/>
        <w:spacing w:line="600" w:lineRule="exact"/>
        <w:ind w:firstLine="643" w:firstLineChars="200"/>
        <w:rPr>
          <w:rFonts w:hint="eastAsia" w:ascii="楷体_GB2312" w:hAnsi="宋体" w:eastAsia="楷体_GB2312"/>
          <w:b/>
          <w:sz w:val="32"/>
          <w:szCs w:val="32"/>
          <w:lang w:val="zh-CN"/>
        </w:rPr>
      </w:pPr>
      <w:bookmarkStart w:id="7" w:name="_Toc5223_WPSOffice_Level3"/>
      <w:r>
        <w:rPr>
          <w:rFonts w:hint="eastAsia" w:ascii="楷体_GB2312" w:hAnsi="宋体" w:eastAsia="楷体_GB2312"/>
          <w:b/>
          <w:sz w:val="32"/>
          <w:szCs w:val="32"/>
          <w:lang w:val="zh-CN"/>
        </w:rPr>
        <w:t>（一）项目资金申报及批复情况。</w:t>
      </w:r>
      <w:bookmarkEnd w:id="7"/>
    </w:p>
    <w:p w14:paraId="750F2C20">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阳光信访、领导视频接访网络服务租赁费项目</w:t>
      </w:r>
      <w:r>
        <w:rPr>
          <w:rFonts w:hint="eastAsia" w:ascii="仿宋_GB2312" w:hAnsi="宋体" w:eastAsia="仿宋_GB2312"/>
          <w:sz w:val="32"/>
          <w:szCs w:val="32"/>
          <w:lang w:val="en-US" w:eastAsia="zh-CN"/>
        </w:rPr>
        <w:t>2023年预算资金1.62万元，财政拨款1.62万元，拨款率100%。</w:t>
      </w:r>
    </w:p>
    <w:p w14:paraId="0AE28E8F">
      <w:pPr>
        <w:adjustRightInd w:val="0"/>
        <w:snapToGrid w:val="0"/>
        <w:spacing w:line="600" w:lineRule="exact"/>
        <w:ind w:firstLine="320" w:firstLineChars="100"/>
        <w:rPr>
          <w:rFonts w:hint="eastAsia" w:ascii="黑体" w:hAnsi="宋体" w:eastAsia="黑体"/>
          <w:sz w:val="32"/>
          <w:szCs w:val="32"/>
          <w:lang w:val="zh-CN"/>
        </w:rPr>
      </w:pPr>
      <w:bookmarkStart w:id="8" w:name="_Toc10429_WPSOffice_Level3"/>
      <w:r>
        <w:rPr>
          <w:rFonts w:hint="eastAsia" w:ascii="黑体" w:hAnsi="宋体" w:eastAsia="黑体"/>
          <w:sz w:val="32"/>
          <w:szCs w:val="32"/>
          <w:lang w:val="zh-CN"/>
        </w:rPr>
        <w:t>（</w:t>
      </w:r>
      <w:r>
        <w:rPr>
          <w:rFonts w:hint="eastAsia" w:ascii="楷体_GB2312" w:hAnsi="宋体" w:eastAsia="楷体_GB2312"/>
          <w:b/>
          <w:sz w:val="32"/>
          <w:szCs w:val="32"/>
          <w:lang w:val="zh-CN"/>
        </w:rPr>
        <w:t>二）资金计划、到位及使用情况（可用表格形式反映）</w:t>
      </w:r>
      <w:r>
        <w:rPr>
          <w:rFonts w:hint="eastAsia" w:ascii="黑体" w:hAnsi="宋体" w:eastAsia="黑体"/>
          <w:sz w:val="32"/>
          <w:szCs w:val="32"/>
          <w:lang w:val="zh-CN"/>
        </w:rPr>
        <w:t>。</w:t>
      </w:r>
      <w:bookmarkEnd w:id="8"/>
    </w:p>
    <w:p w14:paraId="7E2CE160">
      <w:pPr>
        <w:adjustRightInd w:val="0"/>
        <w:snapToGrid w:val="0"/>
        <w:spacing w:line="600" w:lineRule="exact"/>
        <w:ind w:firstLine="720"/>
        <w:rPr>
          <w:rFonts w:hint="eastAsia" w:ascii="黑体" w:hAnsi="宋体" w:eastAsia="黑体"/>
          <w:sz w:val="32"/>
          <w:szCs w:val="32"/>
          <w:lang w:val="zh-CN"/>
        </w:rPr>
      </w:pPr>
    </w:p>
    <w:p w14:paraId="77C48A35">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阳光信访、领导视频接访网络服务租赁费项目</w:t>
      </w:r>
    </w:p>
    <w:p w14:paraId="786789D7">
      <w:pPr>
        <w:keepNext w:val="0"/>
        <w:keepLines w:val="0"/>
        <w:pageBreakBefore w:val="0"/>
        <w:kinsoku/>
        <w:wordWrap/>
        <w:overflowPunct/>
        <w:topLinePunct w:val="0"/>
        <w:autoSpaceDE/>
        <w:autoSpaceDN/>
        <w:bidi w:val="0"/>
        <w:adjustRightInd w:val="0"/>
        <w:snapToGrid w:val="0"/>
        <w:spacing w:line="600" w:lineRule="exact"/>
        <w:ind w:firstLine="2560" w:firstLineChars="8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2023年</w:t>
      </w:r>
      <w:r>
        <w:rPr>
          <w:rFonts w:hint="eastAsia" w:ascii="仿宋_GB2312" w:hAnsi="宋体" w:eastAsia="仿宋_GB2312"/>
          <w:sz w:val="32"/>
          <w:szCs w:val="32"/>
          <w:lang w:val="zh-CN" w:eastAsia="zh-CN"/>
        </w:rPr>
        <w:t>支付明细表</w:t>
      </w:r>
    </w:p>
    <w:tbl>
      <w:tblPr>
        <w:tblStyle w:val="5"/>
        <w:tblW w:w="8265"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395"/>
        <w:gridCol w:w="1650"/>
        <w:gridCol w:w="1500"/>
        <w:gridCol w:w="1395"/>
        <w:gridCol w:w="1455"/>
      </w:tblGrid>
      <w:tr w14:paraId="5745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14:paraId="3266F7C8">
            <w:pPr>
              <w:adjustRightInd w:val="0"/>
              <w:snapToGrid w:val="0"/>
              <w:spacing w:line="360" w:lineRule="auto"/>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序号</w:t>
            </w:r>
          </w:p>
        </w:tc>
        <w:tc>
          <w:tcPr>
            <w:tcW w:w="1395" w:type="dxa"/>
          </w:tcPr>
          <w:p w14:paraId="23D829CD">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项目名称</w:t>
            </w:r>
          </w:p>
        </w:tc>
        <w:tc>
          <w:tcPr>
            <w:tcW w:w="1650" w:type="dxa"/>
          </w:tcPr>
          <w:p w14:paraId="233D2EB0">
            <w:pPr>
              <w:adjustRightInd w:val="0"/>
              <w:snapToGrid w:val="0"/>
              <w:spacing w:line="360" w:lineRule="auto"/>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预算金额</w:t>
            </w:r>
          </w:p>
          <w:p w14:paraId="665C5417">
            <w:pPr>
              <w:adjustRightInd w:val="0"/>
              <w:snapToGrid w:val="0"/>
              <w:spacing w:line="360" w:lineRule="auto"/>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（万元）</w:t>
            </w:r>
          </w:p>
        </w:tc>
        <w:tc>
          <w:tcPr>
            <w:tcW w:w="1500" w:type="dxa"/>
          </w:tcPr>
          <w:p w14:paraId="4801C6C1">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申请金额</w:t>
            </w:r>
          </w:p>
          <w:p w14:paraId="4481B2E7">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（万元）</w:t>
            </w:r>
          </w:p>
        </w:tc>
        <w:tc>
          <w:tcPr>
            <w:tcW w:w="1395" w:type="dxa"/>
          </w:tcPr>
          <w:p w14:paraId="1792D74A">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使用金额</w:t>
            </w:r>
          </w:p>
          <w:p w14:paraId="03BEF42F">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（万元）</w:t>
            </w:r>
          </w:p>
        </w:tc>
        <w:tc>
          <w:tcPr>
            <w:tcW w:w="1455" w:type="dxa"/>
          </w:tcPr>
          <w:p w14:paraId="2F19AFF0">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使用比例</w:t>
            </w:r>
          </w:p>
          <w:p w14:paraId="58E66F90">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w:t>
            </w:r>
            <w:r>
              <w:rPr>
                <w:rFonts w:hint="eastAsia" w:ascii="仿宋_GB2312" w:hAnsi="宋体" w:eastAsia="仿宋_GB2312"/>
                <w:sz w:val="24"/>
                <w:szCs w:val="24"/>
                <w:lang w:val="en-US" w:eastAsia="zh-CN"/>
              </w:rPr>
              <w:t>%</w:t>
            </w:r>
            <w:r>
              <w:rPr>
                <w:rFonts w:hint="eastAsia" w:ascii="仿宋_GB2312" w:hAnsi="宋体" w:eastAsia="仿宋_GB2312"/>
                <w:sz w:val="24"/>
                <w:szCs w:val="24"/>
                <w:lang w:val="zh-CN"/>
              </w:rPr>
              <w:t>）</w:t>
            </w:r>
          </w:p>
        </w:tc>
      </w:tr>
      <w:tr w14:paraId="1324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870" w:type="dxa"/>
          </w:tcPr>
          <w:p w14:paraId="2E451218">
            <w:pPr>
              <w:adjustRightInd w:val="0"/>
              <w:snapToGrid w:val="0"/>
              <w:spacing w:line="360" w:lineRule="auto"/>
              <w:jc w:val="both"/>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w:t>
            </w:r>
          </w:p>
        </w:tc>
        <w:tc>
          <w:tcPr>
            <w:tcW w:w="1395" w:type="dxa"/>
          </w:tcPr>
          <w:p w14:paraId="338474CE">
            <w:pPr>
              <w:keepNext w:val="0"/>
              <w:keepLines w:val="0"/>
              <w:pageBreakBefore w:val="0"/>
              <w:widowControl w:val="0"/>
              <w:kinsoku/>
              <w:wordWrap/>
              <w:overflowPunct/>
              <w:topLinePunct w:val="0"/>
              <w:autoSpaceDE/>
              <w:autoSpaceDN/>
              <w:bidi w:val="0"/>
              <w:adjustRightInd w:val="0"/>
              <w:snapToGrid w:val="0"/>
              <w:spacing w:line="360" w:lineRule="exact"/>
              <w:jc w:val="both"/>
              <w:textAlignment w:val="auto"/>
              <w:rPr>
                <w:rFonts w:hint="eastAsia" w:ascii="仿宋_GB2312" w:hAnsi="宋体" w:eastAsia="仿宋_GB2312"/>
                <w:sz w:val="24"/>
                <w:szCs w:val="24"/>
                <w:lang w:val="zh-CN"/>
              </w:rPr>
            </w:pPr>
            <w:r>
              <w:rPr>
                <w:rFonts w:hint="eastAsia" w:ascii="仿宋_GB2312" w:hAnsi="宋体" w:eastAsia="仿宋_GB2312"/>
                <w:sz w:val="24"/>
                <w:szCs w:val="24"/>
                <w:lang w:val="zh-CN"/>
              </w:rPr>
              <w:t>维修（维护）费</w:t>
            </w:r>
          </w:p>
        </w:tc>
        <w:tc>
          <w:tcPr>
            <w:tcW w:w="1650" w:type="dxa"/>
          </w:tcPr>
          <w:p w14:paraId="2230DF09">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1.62</w:t>
            </w:r>
          </w:p>
        </w:tc>
        <w:tc>
          <w:tcPr>
            <w:tcW w:w="1500" w:type="dxa"/>
            <w:vAlign w:val="top"/>
          </w:tcPr>
          <w:p w14:paraId="0C58A039">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1.62</w:t>
            </w:r>
          </w:p>
        </w:tc>
        <w:tc>
          <w:tcPr>
            <w:tcW w:w="1395" w:type="dxa"/>
            <w:vAlign w:val="top"/>
          </w:tcPr>
          <w:p w14:paraId="72C7A97C">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1.62</w:t>
            </w:r>
          </w:p>
        </w:tc>
        <w:tc>
          <w:tcPr>
            <w:tcW w:w="1455" w:type="dxa"/>
            <w:vAlign w:val="top"/>
          </w:tcPr>
          <w:p w14:paraId="23188F1A">
            <w:pPr>
              <w:adjustRightInd w:val="0"/>
              <w:snapToGrid w:val="0"/>
              <w:spacing w:line="240" w:lineRule="auto"/>
              <w:ind w:firstLine="240" w:firstLineChars="100"/>
              <w:jc w:val="both"/>
              <w:rPr>
                <w:rFonts w:hint="eastAsia" w:ascii="仿宋_GB2312" w:hAnsi="宋体" w:eastAsia="仿宋_GB2312"/>
                <w:sz w:val="24"/>
                <w:szCs w:val="24"/>
                <w:lang w:val="zh-CN"/>
              </w:rPr>
            </w:pPr>
            <w:r>
              <w:rPr>
                <w:rFonts w:hint="eastAsia" w:ascii="仿宋_GB2312" w:hAnsi="宋体" w:eastAsia="仿宋_GB2312"/>
                <w:sz w:val="24"/>
                <w:szCs w:val="24"/>
                <w:lang w:val="en-US" w:eastAsia="zh-CN"/>
              </w:rPr>
              <w:t>100%</w:t>
            </w:r>
          </w:p>
        </w:tc>
      </w:tr>
      <w:tr w14:paraId="3E31B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265" w:type="dxa"/>
            <w:gridSpan w:val="2"/>
          </w:tcPr>
          <w:p w14:paraId="3CC66540">
            <w:pPr>
              <w:adjustRightInd w:val="0"/>
              <w:snapToGrid w:val="0"/>
              <w:spacing w:line="360" w:lineRule="auto"/>
              <w:ind w:firstLine="720"/>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合计</w:t>
            </w:r>
          </w:p>
        </w:tc>
        <w:tc>
          <w:tcPr>
            <w:tcW w:w="1650" w:type="dxa"/>
          </w:tcPr>
          <w:p w14:paraId="4E5B85AA">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1.62</w:t>
            </w:r>
          </w:p>
        </w:tc>
        <w:tc>
          <w:tcPr>
            <w:tcW w:w="1500" w:type="dxa"/>
            <w:vAlign w:val="top"/>
          </w:tcPr>
          <w:p w14:paraId="383732A7">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1.62</w:t>
            </w:r>
          </w:p>
        </w:tc>
        <w:tc>
          <w:tcPr>
            <w:tcW w:w="1395" w:type="dxa"/>
            <w:vAlign w:val="top"/>
          </w:tcPr>
          <w:p w14:paraId="245D8D51">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1.62</w:t>
            </w:r>
          </w:p>
        </w:tc>
        <w:tc>
          <w:tcPr>
            <w:tcW w:w="1455" w:type="dxa"/>
            <w:vAlign w:val="top"/>
          </w:tcPr>
          <w:p w14:paraId="48200808">
            <w:pPr>
              <w:adjustRightInd w:val="0"/>
              <w:snapToGrid w:val="0"/>
              <w:spacing w:line="360" w:lineRule="auto"/>
              <w:ind w:firstLine="240" w:firstLineChars="100"/>
              <w:jc w:val="both"/>
              <w:rPr>
                <w:rFonts w:hint="default" w:ascii="仿宋_GB2312" w:hAnsi="宋体" w:eastAsia="仿宋_GB2312"/>
                <w:sz w:val="24"/>
                <w:szCs w:val="24"/>
                <w:lang w:val="en-US"/>
              </w:rPr>
            </w:pPr>
            <w:r>
              <w:rPr>
                <w:rFonts w:hint="eastAsia" w:ascii="仿宋_GB2312" w:hAnsi="宋体" w:eastAsia="仿宋_GB2312"/>
                <w:sz w:val="24"/>
                <w:szCs w:val="24"/>
                <w:lang w:val="en-US" w:eastAsia="zh-CN"/>
              </w:rPr>
              <w:t>100%</w:t>
            </w:r>
          </w:p>
        </w:tc>
      </w:tr>
    </w:tbl>
    <w:p w14:paraId="26E6D8E8">
      <w:pPr>
        <w:adjustRightInd w:val="0"/>
        <w:snapToGrid w:val="0"/>
        <w:spacing w:line="600" w:lineRule="exact"/>
        <w:ind w:firstLine="720"/>
        <w:rPr>
          <w:rFonts w:hint="eastAsia" w:ascii="黑体" w:hAnsi="宋体" w:eastAsia="黑体"/>
          <w:sz w:val="32"/>
          <w:szCs w:val="32"/>
          <w:lang w:val="zh-CN"/>
        </w:rPr>
      </w:pPr>
    </w:p>
    <w:p w14:paraId="06D107E2">
      <w:pPr>
        <w:adjustRightInd w:val="0"/>
        <w:snapToGrid w:val="0"/>
        <w:spacing w:line="600" w:lineRule="exact"/>
        <w:ind w:firstLine="720"/>
        <w:rPr>
          <w:rFonts w:hint="eastAsia" w:ascii="黑体" w:hAnsi="宋体" w:eastAsia="黑体"/>
          <w:sz w:val="32"/>
          <w:szCs w:val="32"/>
          <w:lang w:val="zh-CN"/>
        </w:rPr>
      </w:pPr>
      <w:bookmarkStart w:id="9" w:name="_Toc17004_WPSOffice_Level3"/>
      <w:r>
        <w:rPr>
          <w:rFonts w:hint="eastAsia" w:ascii="楷体_GB2312" w:hAnsi="宋体" w:eastAsia="楷体_GB2312"/>
          <w:b/>
          <w:sz w:val="32"/>
          <w:szCs w:val="32"/>
          <w:lang w:val="zh-CN"/>
        </w:rPr>
        <w:t>（三）项目财务管理情况</w:t>
      </w:r>
      <w:r>
        <w:rPr>
          <w:rFonts w:hint="eastAsia" w:ascii="黑体" w:hAnsi="宋体" w:eastAsia="黑体"/>
          <w:sz w:val="32"/>
          <w:szCs w:val="32"/>
          <w:lang w:val="zh-CN"/>
        </w:rPr>
        <w:t>。</w:t>
      </w:r>
      <w:bookmarkEnd w:id="9"/>
    </w:p>
    <w:p w14:paraId="359636AA">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阳光信访、领导视频接访网络服务租赁费项目资金实施管理制度健全，严格执行财务管理制度，账务处理及时，会计核算规范。</w:t>
      </w:r>
    </w:p>
    <w:p w14:paraId="360FD7AC">
      <w:pPr>
        <w:adjustRightInd w:val="0"/>
        <w:snapToGrid w:val="0"/>
        <w:spacing w:line="600" w:lineRule="exact"/>
        <w:ind w:firstLine="720"/>
        <w:rPr>
          <w:rFonts w:hint="eastAsia" w:ascii="黑体" w:hAnsi="宋体" w:eastAsia="黑体"/>
          <w:sz w:val="32"/>
          <w:szCs w:val="32"/>
        </w:rPr>
      </w:pPr>
      <w:bookmarkStart w:id="10" w:name="_Toc27458_WPSOffice_Level2"/>
      <w:r>
        <w:rPr>
          <w:rFonts w:hint="eastAsia" w:ascii="黑体" w:hAnsi="宋体" w:eastAsia="黑体"/>
          <w:sz w:val="32"/>
          <w:szCs w:val="32"/>
        </w:rPr>
        <w:t>三、项目实施及管理情况</w:t>
      </w:r>
      <w:bookmarkEnd w:id="10"/>
    </w:p>
    <w:p w14:paraId="7870AE2D">
      <w:pPr>
        <w:adjustRightInd w:val="0"/>
        <w:snapToGrid w:val="0"/>
        <w:spacing w:line="600" w:lineRule="exact"/>
        <w:ind w:firstLine="643" w:firstLineChars="200"/>
        <w:rPr>
          <w:rFonts w:hint="eastAsia" w:ascii="黑体" w:hAnsi="宋体" w:eastAsia="黑体"/>
          <w:sz w:val="32"/>
          <w:szCs w:val="32"/>
          <w:lang w:val="zh-CN"/>
        </w:rPr>
      </w:pPr>
      <w:bookmarkStart w:id="11" w:name="_Toc23998_WPSOffice_Level3"/>
      <w:r>
        <w:rPr>
          <w:rFonts w:hint="eastAsia" w:ascii="楷体_GB2312" w:hAnsi="宋体" w:eastAsia="楷体_GB2312"/>
          <w:b/>
          <w:sz w:val="32"/>
          <w:szCs w:val="32"/>
          <w:lang w:val="zh-CN"/>
        </w:rPr>
        <w:t>（一）项目组织架构及实施流程</w:t>
      </w:r>
      <w:r>
        <w:rPr>
          <w:rFonts w:hint="eastAsia" w:ascii="黑体" w:hAnsi="宋体" w:eastAsia="黑体"/>
          <w:sz w:val="32"/>
          <w:szCs w:val="32"/>
          <w:lang w:val="zh-CN"/>
        </w:rPr>
        <w:t>。</w:t>
      </w:r>
      <w:bookmarkEnd w:id="11"/>
    </w:p>
    <w:p w14:paraId="1B4A6FD1">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zh-CN" w:eastAsia="zh-CN"/>
        </w:rPr>
        <w:t>阳光信访、领导视频接访网络服务租赁费项目是由牵头单位进行年初预算，批复后按项目实施单位实际情况进行切块交于县财政将项目资金拨到单位账户，各单位根据工作具体情况安排进行组织实施。</w:t>
      </w:r>
    </w:p>
    <w:p w14:paraId="6696C541">
      <w:pPr>
        <w:adjustRightInd w:val="0"/>
        <w:snapToGrid w:val="0"/>
        <w:spacing w:line="600" w:lineRule="exact"/>
        <w:ind w:firstLine="643" w:firstLineChars="200"/>
        <w:rPr>
          <w:rFonts w:hint="eastAsia" w:ascii="楷体_GB2312" w:hAnsi="宋体" w:eastAsia="楷体_GB2312"/>
          <w:b/>
          <w:sz w:val="32"/>
          <w:szCs w:val="32"/>
          <w:lang w:val="zh-CN"/>
        </w:rPr>
      </w:pPr>
      <w:bookmarkStart w:id="12" w:name="_Toc19802_WPSOffice_Level3"/>
      <w:r>
        <w:rPr>
          <w:rFonts w:hint="eastAsia" w:ascii="楷体_GB2312" w:hAnsi="宋体" w:eastAsia="楷体_GB2312"/>
          <w:b/>
          <w:sz w:val="32"/>
          <w:szCs w:val="32"/>
          <w:lang w:val="zh-CN"/>
        </w:rPr>
        <w:t>（二）项目管理情况。</w:t>
      </w:r>
      <w:bookmarkEnd w:id="12"/>
    </w:p>
    <w:p w14:paraId="793F704E">
      <w:pPr>
        <w:adjustRightInd w:val="0"/>
        <w:snapToGrid w:val="0"/>
        <w:spacing w:line="600" w:lineRule="exact"/>
        <w:ind w:firstLine="720"/>
        <w:rPr>
          <w:rFonts w:hint="default" w:ascii="黑体" w:hAnsi="宋体" w:eastAsia="黑体"/>
          <w:sz w:val="32"/>
          <w:szCs w:val="32"/>
          <w:lang w:val="en-US" w:eastAsia="zh-CN"/>
        </w:rPr>
      </w:pPr>
      <w:r>
        <w:rPr>
          <w:rFonts w:hint="eastAsia" w:ascii="黑体" w:hAnsi="宋体" w:eastAsia="黑体"/>
          <w:sz w:val="32"/>
          <w:szCs w:val="32"/>
          <w:lang w:val="en-US" w:eastAsia="zh-CN"/>
        </w:rPr>
        <w:t xml:space="preserve"> </w:t>
      </w:r>
      <w:r>
        <w:rPr>
          <w:rFonts w:hint="eastAsia" w:ascii="仿宋_GB2312" w:hAnsi="宋体" w:eastAsia="仿宋_GB2312"/>
          <w:sz w:val="32"/>
          <w:szCs w:val="32"/>
          <w:lang w:val="zh-CN" w:eastAsia="zh-CN"/>
        </w:rPr>
        <w:t>阳光信访、领导视频接访网络服务租赁费项目资金管理是严格按照财经制度管理执行，资金使用方式按照全市的标准签订租赁合同，按合同金额转账支付。</w:t>
      </w:r>
    </w:p>
    <w:p w14:paraId="48BA3CBE">
      <w:pPr>
        <w:adjustRightInd w:val="0"/>
        <w:snapToGrid w:val="0"/>
        <w:spacing w:line="600" w:lineRule="exact"/>
        <w:ind w:firstLine="643" w:firstLineChars="200"/>
        <w:rPr>
          <w:rFonts w:hint="eastAsia" w:ascii="楷体_GB2312" w:hAnsi="宋体" w:eastAsia="楷体_GB2312"/>
          <w:b/>
          <w:sz w:val="32"/>
          <w:szCs w:val="32"/>
          <w:lang w:val="zh-CN"/>
        </w:rPr>
      </w:pPr>
      <w:bookmarkStart w:id="13" w:name="_Toc2493_WPSOffice_Level3"/>
      <w:r>
        <w:rPr>
          <w:rFonts w:hint="eastAsia" w:ascii="楷体_GB2312" w:hAnsi="宋体" w:eastAsia="楷体_GB2312"/>
          <w:b/>
          <w:sz w:val="32"/>
          <w:szCs w:val="32"/>
          <w:lang w:val="zh-CN"/>
        </w:rPr>
        <w:t>（三）项目监管情况。</w:t>
      </w:r>
      <w:bookmarkEnd w:id="13"/>
    </w:p>
    <w:p w14:paraId="6F4E69C5">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阳光信访、领导视频接访网络服务租赁费项目监管方式为：项目由网络投诉股、督查督办股负责实施。项目实施后所有票据由分管领导审核签批报单位主要领导签字同意报销，交财务进行转账支付。</w:t>
      </w:r>
    </w:p>
    <w:p w14:paraId="54B48146">
      <w:pPr>
        <w:adjustRightInd w:val="0"/>
        <w:snapToGrid w:val="0"/>
        <w:spacing w:line="600" w:lineRule="exact"/>
        <w:ind w:firstLine="720"/>
        <w:rPr>
          <w:rFonts w:hint="eastAsia" w:ascii="黑体" w:hAnsi="宋体" w:eastAsia="黑体"/>
          <w:sz w:val="32"/>
          <w:szCs w:val="32"/>
          <w:lang w:val="zh-CN"/>
        </w:rPr>
      </w:pPr>
      <w:bookmarkStart w:id="14" w:name="_Toc9854_WPSOffice_Level2"/>
      <w:r>
        <w:rPr>
          <w:rFonts w:hint="eastAsia" w:ascii="黑体" w:hAnsi="宋体" w:eastAsia="黑体"/>
          <w:sz w:val="32"/>
          <w:szCs w:val="32"/>
        </w:rPr>
        <w:t>四、项目绩效情况</w:t>
      </w:r>
      <w:bookmarkEnd w:id="14"/>
      <w:r>
        <w:rPr>
          <w:rFonts w:hint="eastAsia" w:ascii="黑体" w:hAnsi="宋体" w:eastAsia="黑体"/>
          <w:sz w:val="32"/>
          <w:szCs w:val="32"/>
          <w:lang w:val="zh-CN"/>
        </w:rPr>
        <w:tab/>
      </w:r>
    </w:p>
    <w:p w14:paraId="20244638">
      <w:pPr>
        <w:adjustRightInd w:val="0"/>
        <w:snapToGrid w:val="0"/>
        <w:spacing w:line="600" w:lineRule="exact"/>
        <w:ind w:firstLine="720"/>
        <w:rPr>
          <w:rFonts w:hint="eastAsia" w:ascii="黑体" w:hAnsi="宋体" w:eastAsia="黑体"/>
          <w:sz w:val="32"/>
          <w:szCs w:val="32"/>
          <w:lang w:val="zh-CN"/>
        </w:rPr>
      </w:pPr>
      <w:bookmarkStart w:id="15" w:name="_Toc802_WPSOffice_Level3"/>
      <w:r>
        <w:rPr>
          <w:rFonts w:hint="eastAsia" w:ascii="楷体_GB2312" w:hAnsi="宋体" w:eastAsia="楷体_GB2312"/>
          <w:b/>
          <w:sz w:val="32"/>
          <w:szCs w:val="32"/>
          <w:lang w:val="zh-CN"/>
        </w:rPr>
        <w:t>（一）项目完成情况</w:t>
      </w:r>
      <w:r>
        <w:rPr>
          <w:rFonts w:hint="eastAsia" w:ascii="黑体" w:hAnsi="宋体" w:eastAsia="黑体"/>
          <w:sz w:val="32"/>
          <w:szCs w:val="32"/>
          <w:lang w:val="zh-CN"/>
        </w:rPr>
        <w:t>。</w:t>
      </w:r>
      <w:bookmarkEnd w:id="15"/>
    </w:p>
    <w:p w14:paraId="6407804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val="en-US" w:eastAsia="zh-CN"/>
        </w:rPr>
        <w:t>2023年根据工作安排，</w:t>
      </w:r>
      <w:r>
        <w:rPr>
          <w:rFonts w:hint="eastAsia" w:ascii="仿宋_GB2312" w:hAnsi="仿宋_GB2312" w:eastAsia="仿宋_GB2312" w:cs="仿宋_GB2312"/>
          <w:sz w:val="32"/>
          <w:szCs w:val="32"/>
          <w:lang w:val="en-US" w:eastAsia="zh-CN"/>
        </w:rPr>
        <w:t>2023年</w:t>
      </w:r>
      <w:r>
        <w:rPr>
          <w:rFonts w:hint="eastAsia" w:ascii="仿宋_GB2312" w:hAnsi="宋体" w:eastAsia="仿宋_GB2312"/>
          <w:sz w:val="32"/>
          <w:szCs w:val="32"/>
          <w:lang w:val="zh-CN" w:eastAsia="zh-CN"/>
        </w:rPr>
        <w:t>阳光信访、领导视频接访网络服务租赁费</w:t>
      </w:r>
      <w:r>
        <w:rPr>
          <w:rFonts w:hint="eastAsia" w:ascii="仿宋_GB2312" w:hAnsi="仿宋_GB2312" w:eastAsia="仿宋_GB2312" w:cs="仿宋_GB2312"/>
          <w:sz w:val="32"/>
          <w:szCs w:val="32"/>
          <w:lang w:val="en-US" w:eastAsia="zh-CN"/>
        </w:rPr>
        <w:t>支出1.62万元。该项目主要是全年</w:t>
      </w:r>
      <w:bookmarkStart w:id="21" w:name="_GoBack"/>
      <w:bookmarkEnd w:id="21"/>
      <w:r>
        <w:rPr>
          <w:rFonts w:hint="eastAsia" w:ascii="仿宋_GB2312" w:hAnsi="仿宋_GB2312" w:eastAsia="仿宋_GB2312" w:cs="仿宋_GB2312"/>
          <w:sz w:val="32"/>
          <w:szCs w:val="32"/>
          <w:lang w:val="en-US" w:eastAsia="zh-CN"/>
        </w:rPr>
        <w:t>保障网上投诉平台的正常运行，畅通信访渠道。2023年完成278人次县领导视频接访，参加全国省市各类信访工作会6次、业务培训会10次、传达国家信访政策3次。受理群众网上来信63件，受理率、办结率为100%，满意率为98%。为2023年的信访工作提供了有力保证。</w:t>
      </w:r>
    </w:p>
    <w:p w14:paraId="1F5DA64A">
      <w:pPr>
        <w:adjustRightInd w:val="0"/>
        <w:snapToGrid w:val="0"/>
        <w:spacing w:line="600" w:lineRule="exact"/>
        <w:ind w:firstLine="643" w:firstLineChars="200"/>
        <w:rPr>
          <w:rFonts w:hint="eastAsia" w:ascii="黑体" w:hAnsi="宋体" w:eastAsia="黑体"/>
          <w:sz w:val="32"/>
          <w:szCs w:val="32"/>
          <w:lang w:val="zh-CN"/>
        </w:rPr>
      </w:pPr>
      <w:bookmarkStart w:id="16" w:name="_Toc23227_WPSOffice_Level3"/>
      <w:r>
        <w:rPr>
          <w:rFonts w:hint="eastAsia" w:ascii="楷体_GB2312" w:hAnsi="宋体" w:eastAsia="楷体_GB2312"/>
          <w:b/>
          <w:sz w:val="32"/>
          <w:szCs w:val="32"/>
          <w:lang w:val="zh-CN"/>
        </w:rPr>
        <w:t>（二）项目效益情况</w:t>
      </w:r>
      <w:r>
        <w:rPr>
          <w:rFonts w:hint="eastAsia" w:ascii="黑体" w:hAnsi="宋体" w:eastAsia="黑体"/>
          <w:sz w:val="32"/>
          <w:szCs w:val="32"/>
          <w:lang w:val="zh-CN"/>
        </w:rPr>
        <w:t>。</w:t>
      </w:r>
      <w:bookmarkEnd w:id="16"/>
    </w:p>
    <w:p w14:paraId="4CA81D8E">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阳光信访、领导视频接访网络服务租赁费项目是保障全县信访工作正常开展，是为民解难、为党分忧的一项政治工作。是实实在在畅通信访渠道、化解矛盾，解决群众急难愁盼问题，提升干群关系，提高政府公信力，促进社会和谐、促进群众满意度的工作，</w:t>
      </w:r>
      <w:r>
        <w:rPr>
          <w:rFonts w:hint="eastAsia" w:ascii="仿宋_GB2312" w:hAnsi="宋体" w:eastAsia="仿宋_GB2312"/>
          <w:sz w:val="32"/>
          <w:szCs w:val="32"/>
          <w:lang w:val="en-US" w:eastAsia="zh-CN"/>
        </w:rPr>
        <w:t>2023年</w:t>
      </w:r>
      <w:r>
        <w:rPr>
          <w:rFonts w:hint="eastAsia" w:ascii="仿宋_GB2312" w:hAnsi="宋体" w:eastAsia="仿宋_GB2312"/>
          <w:sz w:val="32"/>
          <w:szCs w:val="32"/>
          <w:lang w:val="zh-CN" w:eastAsia="zh-CN"/>
        </w:rPr>
        <w:t>实施阳光信访、领导视频接访网络服务租赁费项目社会满意度达</w:t>
      </w:r>
      <w:r>
        <w:rPr>
          <w:rFonts w:hint="eastAsia" w:ascii="仿宋_GB2312" w:hAnsi="宋体" w:eastAsia="仿宋_GB2312"/>
          <w:sz w:val="32"/>
          <w:szCs w:val="32"/>
          <w:lang w:val="en-US" w:eastAsia="zh-CN"/>
        </w:rPr>
        <w:t>98%，群众满意度为98%</w:t>
      </w:r>
      <w:r>
        <w:rPr>
          <w:rFonts w:hint="eastAsia" w:ascii="仿宋_GB2312" w:hAnsi="宋体" w:eastAsia="仿宋_GB2312"/>
          <w:sz w:val="32"/>
          <w:szCs w:val="32"/>
          <w:lang w:val="zh-CN" w:eastAsia="zh-CN"/>
        </w:rPr>
        <w:t>。</w:t>
      </w:r>
    </w:p>
    <w:p w14:paraId="15E68663">
      <w:pPr>
        <w:adjustRightInd w:val="0"/>
        <w:snapToGrid w:val="0"/>
        <w:spacing w:line="600" w:lineRule="exact"/>
        <w:ind w:firstLine="720"/>
        <w:rPr>
          <w:rFonts w:hint="eastAsia" w:ascii="黑体" w:hAnsi="宋体" w:eastAsia="黑体"/>
          <w:sz w:val="32"/>
          <w:szCs w:val="32"/>
        </w:rPr>
      </w:pPr>
      <w:bookmarkStart w:id="17" w:name="_Toc32691_WPSOffice_Level2"/>
      <w:r>
        <w:rPr>
          <w:rFonts w:hint="eastAsia" w:ascii="黑体" w:hAnsi="宋体" w:eastAsia="黑体"/>
          <w:sz w:val="32"/>
          <w:szCs w:val="32"/>
        </w:rPr>
        <w:t>五、评价结论及建议</w:t>
      </w:r>
      <w:bookmarkEnd w:id="17"/>
    </w:p>
    <w:p w14:paraId="57FBC89B">
      <w:pPr>
        <w:adjustRightInd w:val="0"/>
        <w:snapToGrid w:val="0"/>
        <w:spacing w:line="600" w:lineRule="exact"/>
        <w:ind w:firstLine="643" w:firstLineChars="200"/>
        <w:rPr>
          <w:rFonts w:hint="eastAsia" w:ascii="楷体_GB2312" w:hAnsi="宋体" w:eastAsia="楷体_GB2312"/>
          <w:b/>
          <w:sz w:val="32"/>
          <w:szCs w:val="32"/>
          <w:lang w:val="zh-CN"/>
        </w:rPr>
      </w:pPr>
      <w:bookmarkStart w:id="18" w:name="_Toc23109_WPSOffice_Level3"/>
      <w:r>
        <w:rPr>
          <w:rFonts w:hint="eastAsia" w:ascii="楷体_GB2312" w:hAnsi="宋体" w:eastAsia="楷体_GB2312"/>
          <w:b/>
          <w:sz w:val="32"/>
          <w:szCs w:val="32"/>
          <w:lang w:val="zh-CN"/>
        </w:rPr>
        <w:t>（一）评价结论。</w:t>
      </w:r>
      <w:bookmarkEnd w:id="18"/>
    </w:p>
    <w:p w14:paraId="498833CD">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阳光信访、领导视频接访网络服务租赁费项目申报合理，实施有序，成效明显。预算</w:t>
      </w:r>
      <w:r>
        <w:rPr>
          <w:rFonts w:hint="eastAsia" w:ascii="仿宋_GB2312" w:hAnsi="宋体" w:eastAsia="仿宋_GB2312"/>
          <w:sz w:val="32"/>
          <w:szCs w:val="32"/>
          <w:lang w:val="en-US" w:eastAsia="zh-CN"/>
        </w:rPr>
        <w:t>未使用的项目预算资金，由财政收回。</w:t>
      </w:r>
    </w:p>
    <w:p w14:paraId="5FC07A80">
      <w:pPr>
        <w:adjustRightInd w:val="0"/>
        <w:snapToGrid w:val="0"/>
        <w:spacing w:line="600" w:lineRule="exact"/>
        <w:ind w:firstLine="720"/>
        <w:rPr>
          <w:rFonts w:hint="eastAsia" w:ascii="黑体" w:hAnsi="宋体" w:eastAsia="黑体"/>
          <w:sz w:val="32"/>
          <w:szCs w:val="32"/>
          <w:lang w:val="zh-CN"/>
        </w:rPr>
      </w:pPr>
      <w:bookmarkStart w:id="19" w:name="_Toc5013_WPSOffice_Level3"/>
      <w:r>
        <w:rPr>
          <w:rFonts w:hint="eastAsia" w:ascii="楷体_GB2312" w:hAnsi="宋体" w:eastAsia="楷体_GB2312"/>
          <w:b/>
          <w:sz w:val="32"/>
          <w:szCs w:val="32"/>
          <w:lang w:val="zh-CN"/>
        </w:rPr>
        <w:t>（二）存在的问题</w:t>
      </w:r>
      <w:r>
        <w:rPr>
          <w:rFonts w:hint="eastAsia" w:ascii="黑体" w:hAnsi="宋体" w:eastAsia="黑体"/>
          <w:sz w:val="32"/>
          <w:szCs w:val="32"/>
          <w:lang w:val="zh-CN"/>
        </w:rPr>
        <w:t>。</w:t>
      </w:r>
      <w:bookmarkEnd w:id="19"/>
    </w:p>
    <w:p w14:paraId="2C57007B">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阳光信访、领导视频接访网络服务租赁费项目实施问题：项目的经费预算因是牵头单位进行预算，拨付时间不确定，导致不能按时支付。</w:t>
      </w:r>
    </w:p>
    <w:p w14:paraId="3850E025">
      <w:pPr>
        <w:adjustRightInd w:val="0"/>
        <w:snapToGrid w:val="0"/>
        <w:spacing w:line="600" w:lineRule="exact"/>
        <w:ind w:firstLine="321" w:firstLineChars="100"/>
        <w:rPr>
          <w:rFonts w:hint="eastAsia" w:ascii="黑体" w:hAnsi="宋体" w:eastAsia="黑体"/>
          <w:sz w:val="32"/>
          <w:szCs w:val="32"/>
          <w:lang w:val="zh-CN"/>
        </w:rPr>
      </w:pPr>
      <w:bookmarkStart w:id="20" w:name="_Toc7948_WPSOffice_Level3"/>
      <w:r>
        <w:rPr>
          <w:rFonts w:hint="eastAsia" w:ascii="楷体_GB2312" w:hAnsi="宋体" w:eastAsia="楷体_GB2312"/>
          <w:b/>
          <w:sz w:val="32"/>
          <w:szCs w:val="32"/>
          <w:lang w:val="zh-CN"/>
        </w:rPr>
        <w:t>（三）相关建议</w:t>
      </w:r>
      <w:r>
        <w:rPr>
          <w:rFonts w:hint="eastAsia" w:ascii="黑体" w:hAnsi="宋体" w:eastAsia="黑体"/>
          <w:sz w:val="32"/>
          <w:szCs w:val="32"/>
          <w:lang w:val="zh-CN"/>
        </w:rPr>
        <w:t>。</w:t>
      </w:r>
      <w:bookmarkEnd w:id="20"/>
    </w:p>
    <w:p w14:paraId="068DB617">
      <w:pPr>
        <w:adjustRightInd w:val="0"/>
        <w:snapToGrid w:val="0"/>
        <w:spacing w:line="600" w:lineRule="exact"/>
        <w:ind w:firstLine="720"/>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加强网络的使用，提高工作效率，促进工作的更好开展。</w:t>
      </w:r>
    </w:p>
    <w:p w14:paraId="0E3C9C3F">
      <w:pPr>
        <w:adjustRightInd w:val="0"/>
        <w:snapToGrid w:val="0"/>
        <w:spacing w:line="600" w:lineRule="exact"/>
        <w:ind w:firstLine="720"/>
        <w:rPr>
          <w:rFonts w:hint="eastAsia" w:ascii="黑体" w:hAnsi="宋体" w:eastAsia="黑体"/>
          <w:sz w:val="32"/>
          <w:szCs w:val="32"/>
        </w:rPr>
      </w:pPr>
    </w:p>
    <w:p w14:paraId="395C4CC3">
      <w:pPr>
        <w:spacing w:line="600" w:lineRule="exact"/>
        <w:jc w:val="center"/>
        <w:outlineLvl w:val="0"/>
        <w:rPr>
          <w:rStyle w:val="7"/>
          <w:rFonts w:ascii="黑体" w:hAnsi="黑体" w:eastAsia="黑体"/>
          <w:b w:val="0"/>
        </w:rPr>
      </w:pPr>
    </w:p>
    <w:p w14:paraId="18F9C871">
      <w:pPr>
        <w:spacing w:line="600" w:lineRule="exact"/>
        <w:jc w:val="center"/>
        <w:outlineLvl w:val="0"/>
        <w:rPr>
          <w:rStyle w:val="7"/>
          <w:rFonts w:ascii="黑体" w:hAnsi="黑体" w:eastAsia="黑体"/>
          <w:b w:val="0"/>
        </w:rPr>
      </w:pPr>
    </w:p>
    <w:p w14:paraId="291266C6">
      <w:pPr>
        <w:spacing w:line="600" w:lineRule="exact"/>
        <w:jc w:val="center"/>
        <w:outlineLvl w:val="0"/>
        <w:rPr>
          <w:rStyle w:val="7"/>
          <w:rFonts w:ascii="黑体" w:hAnsi="黑体" w:eastAsia="黑体"/>
          <w:b w:val="0"/>
        </w:rPr>
      </w:pPr>
    </w:p>
    <w:p w14:paraId="29A10A43">
      <w:pPr>
        <w:spacing w:line="600" w:lineRule="exact"/>
        <w:jc w:val="center"/>
        <w:outlineLvl w:val="0"/>
        <w:rPr>
          <w:rStyle w:val="7"/>
          <w:rFonts w:ascii="黑体" w:hAnsi="黑体" w:eastAsia="黑体"/>
          <w:b w:val="0"/>
        </w:rPr>
      </w:pPr>
    </w:p>
    <w:p w14:paraId="79C61C02">
      <w:pPr>
        <w:spacing w:line="600" w:lineRule="exact"/>
        <w:jc w:val="center"/>
        <w:outlineLvl w:val="0"/>
        <w:rPr>
          <w:rStyle w:val="7"/>
          <w:rFonts w:ascii="黑体" w:hAnsi="黑体" w:eastAsia="黑体"/>
          <w:b w:val="0"/>
        </w:rPr>
      </w:pPr>
    </w:p>
    <w:p w14:paraId="05C58EBB">
      <w:pPr>
        <w:spacing w:line="600" w:lineRule="exact"/>
        <w:jc w:val="center"/>
        <w:outlineLvl w:val="0"/>
        <w:rPr>
          <w:rStyle w:val="7"/>
          <w:rFonts w:ascii="黑体" w:hAnsi="黑体" w:eastAsia="黑体"/>
          <w:b w:val="0"/>
        </w:rPr>
      </w:pPr>
    </w:p>
    <w:p w14:paraId="503234E5">
      <w:pPr>
        <w:spacing w:line="600" w:lineRule="exact"/>
        <w:jc w:val="center"/>
        <w:outlineLvl w:val="0"/>
        <w:rPr>
          <w:rStyle w:val="7"/>
          <w:rFonts w:ascii="黑体" w:hAnsi="黑体" w:eastAsia="黑体"/>
          <w:b w:val="0"/>
        </w:rPr>
      </w:pPr>
    </w:p>
    <w:p w14:paraId="4A46F9DF">
      <w:pPr>
        <w:spacing w:line="600" w:lineRule="exact"/>
        <w:jc w:val="center"/>
        <w:outlineLvl w:val="0"/>
        <w:rPr>
          <w:rStyle w:val="7"/>
          <w:rFonts w:ascii="黑体" w:hAnsi="黑体" w:eastAsia="黑体"/>
          <w:b w:val="0"/>
        </w:rPr>
      </w:pPr>
    </w:p>
    <w:p w14:paraId="20E15A38">
      <w:pPr>
        <w:spacing w:line="600" w:lineRule="exact"/>
        <w:jc w:val="center"/>
        <w:outlineLvl w:val="0"/>
        <w:rPr>
          <w:rStyle w:val="7"/>
          <w:rFonts w:ascii="黑体" w:hAnsi="黑体" w:eastAsia="黑体"/>
          <w:b w:val="0"/>
        </w:rPr>
      </w:pPr>
    </w:p>
    <w:p w14:paraId="610E3D0D">
      <w:pPr>
        <w:spacing w:line="600" w:lineRule="exact"/>
        <w:jc w:val="center"/>
        <w:outlineLvl w:val="0"/>
        <w:rPr>
          <w:rStyle w:val="7"/>
          <w:rFonts w:ascii="黑体" w:hAnsi="黑体" w:eastAsia="黑体"/>
          <w:b w:val="0"/>
        </w:rPr>
      </w:pPr>
    </w:p>
    <w:p w14:paraId="3FA42674">
      <w:pPr>
        <w:spacing w:line="600" w:lineRule="exact"/>
        <w:jc w:val="center"/>
        <w:outlineLvl w:val="0"/>
        <w:rPr>
          <w:rStyle w:val="7"/>
          <w:rFonts w:ascii="黑体" w:hAnsi="黑体" w:eastAsia="黑体"/>
          <w:b w:val="0"/>
        </w:rPr>
      </w:pPr>
    </w:p>
    <w:p w14:paraId="61AE82F4">
      <w:pPr>
        <w:spacing w:line="600" w:lineRule="exact"/>
        <w:jc w:val="center"/>
        <w:outlineLvl w:val="0"/>
        <w:rPr>
          <w:rStyle w:val="7"/>
          <w:rFonts w:hint="eastAsia" w:ascii="黑体" w:hAnsi="黑体" w:eastAsia="黑体"/>
          <w:b w:val="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A2258C-FF8A-4D24-89E4-6270AC5DCBF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2" w:fontKey="{7949096A-086B-4C82-8693-CE4ABE3FFE58}"/>
  </w:font>
  <w:font w:name="方正小标宋简体">
    <w:panose1 w:val="02000000000000000000"/>
    <w:charset w:val="86"/>
    <w:family w:val="script"/>
    <w:pitch w:val="default"/>
    <w:sig w:usb0="00000001" w:usb1="080E0000" w:usb2="00000000" w:usb3="00000000" w:csb0="00040000" w:csb1="00000000"/>
    <w:embedRegular r:id="rId3" w:fontKey="{8D5F9103-E713-4E05-8A93-7E8D488E2844}"/>
  </w:font>
  <w:font w:name="楷体_GB2312">
    <w:panose1 w:val="02010609030101010101"/>
    <w:charset w:val="86"/>
    <w:family w:val="modern"/>
    <w:pitch w:val="default"/>
    <w:sig w:usb0="00000001" w:usb1="080E0000" w:usb2="00000000" w:usb3="00000000" w:csb0="00040000" w:csb1="00000000"/>
    <w:embedRegular r:id="rId4" w:fontKey="{CFC0AEDC-000B-4C47-B450-F278D683161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65FB6337"/>
    <w:rsid w:val="009E6125"/>
    <w:rsid w:val="00E60813"/>
    <w:rsid w:val="02A1035C"/>
    <w:rsid w:val="02DA2EEA"/>
    <w:rsid w:val="03BA333C"/>
    <w:rsid w:val="06A7337D"/>
    <w:rsid w:val="08D45425"/>
    <w:rsid w:val="0A49167F"/>
    <w:rsid w:val="0A696ECC"/>
    <w:rsid w:val="0B914376"/>
    <w:rsid w:val="0C842AAF"/>
    <w:rsid w:val="10580F98"/>
    <w:rsid w:val="11C818FF"/>
    <w:rsid w:val="1307610A"/>
    <w:rsid w:val="141B1A4D"/>
    <w:rsid w:val="169D2481"/>
    <w:rsid w:val="16ED3F1B"/>
    <w:rsid w:val="18670EDC"/>
    <w:rsid w:val="188E69AD"/>
    <w:rsid w:val="1C3F2C8F"/>
    <w:rsid w:val="1E79165D"/>
    <w:rsid w:val="1ED156D8"/>
    <w:rsid w:val="1F990032"/>
    <w:rsid w:val="20E751B1"/>
    <w:rsid w:val="22A72A4B"/>
    <w:rsid w:val="23375DC5"/>
    <w:rsid w:val="277E18BE"/>
    <w:rsid w:val="27CA3536"/>
    <w:rsid w:val="29487E0E"/>
    <w:rsid w:val="2A3F0027"/>
    <w:rsid w:val="2B215F7E"/>
    <w:rsid w:val="2C101C61"/>
    <w:rsid w:val="2C470C09"/>
    <w:rsid w:val="2EF9340E"/>
    <w:rsid w:val="2FAC4AA0"/>
    <w:rsid w:val="307926C3"/>
    <w:rsid w:val="315F5349"/>
    <w:rsid w:val="317B79B7"/>
    <w:rsid w:val="321848E4"/>
    <w:rsid w:val="384A410B"/>
    <w:rsid w:val="387D2597"/>
    <w:rsid w:val="38AE26B6"/>
    <w:rsid w:val="3C10447E"/>
    <w:rsid w:val="3C9733B6"/>
    <w:rsid w:val="3F3A27AC"/>
    <w:rsid w:val="3FA13B5E"/>
    <w:rsid w:val="40A250A6"/>
    <w:rsid w:val="44E514C4"/>
    <w:rsid w:val="48C609E2"/>
    <w:rsid w:val="48EC22BB"/>
    <w:rsid w:val="49385353"/>
    <w:rsid w:val="497037D6"/>
    <w:rsid w:val="4A716275"/>
    <w:rsid w:val="4C8378A8"/>
    <w:rsid w:val="4F9A7B44"/>
    <w:rsid w:val="4FAF734A"/>
    <w:rsid w:val="4FC30A56"/>
    <w:rsid w:val="541E0E47"/>
    <w:rsid w:val="56692157"/>
    <w:rsid w:val="589B12BF"/>
    <w:rsid w:val="59016978"/>
    <w:rsid w:val="592C2CDD"/>
    <w:rsid w:val="595A17E9"/>
    <w:rsid w:val="5BB07159"/>
    <w:rsid w:val="5EF60B67"/>
    <w:rsid w:val="61A12B60"/>
    <w:rsid w:val="631E1C33"/>
    <w:rsid w:val="63204CBB"/>
    <w:rsid w:val="633F3AE9"/>
    <w:rsid w:val="63687D51"/>
    <w:rsid w:val="65916826"/>
    <w:rsid w:val="65FB6337"/>
    <w:rsid w:val="663369DD"/>
    <w:rsid w:val="66641C1D"/>
    <w:rsid w:val="694B47BF"/>
    <w:rsid w:val="696D105A"/>
    <w:rsid w:val="6C2E1689"/>
    <w:rsid w:val="717E4960"/>
    <w:rsid w:val="71974719"/>
    <w:rsid w:val="724C27C2"/>
    <w:rsid w:val="73467953"/>
    <w:rsid w:val="75F02C40"/>
    <w:rsid w:val="75F24CC3"/>
    <w:rsid w:val="765C3C5C"/>
    <w:rsid w:val="77E6525A"/>
    <w:rsid w:val="79554E1A"/>
    <w:rsid w:val="7CB85FF0"/>
    <w:rsid w:val="7DD13D24"/>
    <w:rsid w:val="7DE559D9"/>
    <w:rsid w:val="7E5C6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Char"/>
    <w:basedOn w:val="6"/>
    <w:link w:val="3"/>
    <w:qFormat/>
    <w:uiPriority w:val="9"/>
    <w:rPr>
      <w:b/>
      <w:bCs/>
      <w:kern w:val="44"/>
      <w:sz w:val="44"/>
      <w:szCs w:val="4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1798</Words>
  <Characters>1892</Characters>
  <Lines>0</Lines>
  <Paragraphs>0</Paragraphs>
  <TotalTime>4</TotalTime>
  <ScaleCrop>false</ScaleCrop>
  <LinksUpToDate>false</LinksUpToDate>
  <CharactersWithSpaces>1894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2023-11-07T02:08:00Z</dcterms:created>
  <dc:creator>Administrator</dc:creator>
  <cp:lastModifiedBy>碧云天</cp:lastModifiedBy>
  <dcterms:modified xsi:type="dcterms:W3CDTF">2024-10-23T09:45:11Z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AF340EB9FE5C4CAAA3D6536301E760EB</vt:lpwstr>
  </property>
</Properties>
</file>