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F055E">
      <w:pPr>
        <w:spacing w:line="580" w:lineRule="exact"/>
        <w:rPr>
          <w:rFonts w:hint="eastAsia" w:ascii="仿宋_GB2312" w:hAnsi="仿宋_GB2312" w:eastAsia="黑体" w:cs="仿宋_GB2312"/>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p w14:paraId="6DE83DDC">
      <w:pPr>
        <w:pStyle w:val="8"/>
        <w:keepNext w:val="0"/>
        <w:keepLines w:val="0"/>
        <w:pageBreakBefore w:val="0"/>
        <w:kinsoku/>
        <w:wordWrap/>
        <w:overflowPunct/>
        <w:topLinePunct w:val="0"/>
        <w:autoSpaceDE/>
        <w:autoSpaceDN/>
        <w:bidi w:val="0"/>
        <w:spacing w:line="600" w:lineRule="exact"/>
        <w:jc w:val="both"/>
        <w:textAlignment w:val="auto"/>
        <w:rPr>
          <w:rFonts w:hint="eastAsia" w:ascii="方正小标宋简体" w:hAnsi="宋体" w:eastAsia="方正小标宋简体"/>
          <w:sz w:val="44"/>
          <w:szCs w:val="44"/>
          <w:lang w:eastAsia="zh-CN"/>
        </w:rPr>
      </w:pPr>
      <w:bookmarkStart w:id="0" w:name="_Toc4569_WPSOffice_Level2"/>
    </w:p>
    <w:p w14:paraId="003ECF18">
      <w:pPr>
        <w:pStyle w:val="8"/>
        <w:keepNext w:val="0"/>
        <w:keepLines w:val="0"/>
        <w:pageBreakBefore w:val="0"/>
        <w:kinsoku/>
        <w:wordWrap/>
        <w:overflowPunct/>
        <w:topLinePunct w:val="0"/>
        <w:autoSpaceDE/>
        <w:autoSpaceDN/>
        <w:bidi w:val="0"/>
        <w:spacing w:line="600" w:lineRule="exact"/>
        <w:ind w:left="2200" w:hanging="2200" w:hangingChars="500"/>
        <w:jc w:val="both"/>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eastAsia="zh-CN"/>
        </w:rPr>
        <w:t>心连心热线服务平台维护和通信费项目</w:t>
      </w:r>
      <w:bookmarkEnd w:id="0"/>
      <w:bookmarkStart w:id="1" w:name="_Toc5443_WPSOffice_Level2"/>
      <w:r>
        <w:rPr>
          <w:rFonts w:hint="eastAsia" w:ascii="方正小标宋简体" w:hAnsi="宋体" w:eastAsia="方正小标宋简体"/>
          <w:sz w:val="44"/>
          <w:szCs w:val="44"/>
          <w:lang w:val="en-US" w:eastAsia="zh-CN"/>
        </w:rPr>
        <w:t>2023年</w:t>
      </w:r>
      <w:r>
        <w:rPr>
          <w:rFonts w:hint="eastAsia" w:ascii="方正小标宋简体" w:hAnsi="宋体" w:eastAsia="方正小标宋简体"/>
          <w:sz w:val="44"/>
          <w:szCs w:val="44"/>
        </w:rPr>
        <w:t>绩效评</w:t>
      </w:r>
      <w:r>
        <w:rPr>
          <w:rFonts w:hint="eastAsia" w:ascii="方正小标宋简体" w:hAnsi="宋体" w:eastAsia="方正小标宋简体"/>
          <w:sz w:val="44"/>
          <w:szCs w:val="44"/>
          <w:lang w:eastAsia="zh-CN"/>
        </w:rPr>
        <w:t>价</w:t>
      </w:r>
      <w:r>
        <w:rPr>
          <w:rFonts w:hint="eastAsia" w:ascii="方正小标宋简体" w:hAnsi="宋体" w:eastAsia="方正小标宋简体"/>
          <w:sz w:val="44"/>
          <w:szCs w:val="44"/>
        </w:rPr>
        <w:t>报告</w:t>
      </w:r>
      <w:bookmarkEnd w:id="1"/>
    </w:p>
    <w:p w14:paraId="5A674EF0">
      <w:pPr>
        <w:adjustRightInd w:val="0"/>
        <w:snapToGrid w:val="0"/>
        <w:spacing w:line="600" w:lineRule="exact"/>
        <w:ind w:firstLine="720"/>
        <w:rPr>
          <w:rFonts w:hint="eastAsia" w:ascii="黑体" w:hAnsi="宋体" w:eastAsia="黑体"/>
          <w:sz w:val="32"/>
          <w:szCs w:val="32"/>
          <w:lang w:val="zh-CN"/>
        </w:rPr>
      </w:pPr>
      <w:bookmarkStart w:id="2" w:name="_Toc20615_WPSOffice_Level2"/>
      <w:r>
        <w:rPr>
          <w:rFonts w:hint="eastAsia" w:ascii="黑体" w:hAnsi="宋体" w:eastAsia="黑体"/>
          <w:sz w:val="32"/>
          <w:szCs w:val="32"/>
        </w:rPr>
        <w:t>一、</w:t>
      </w:r>
      <w:r>
        <w:rPr>
          <w:rFonts w:hint="eastAsia" w:ascii="黑体" w:hAnsi="宋体" w:eastAsia="黑体"/>
          <w:sz w:val="32"/>
          <w:szCs w:val="32"/>
          <w:lang w:val="zh-CN"/>
        </w:rPr>
        <w:t>项目概况</w:t>
      </w:r>
      <w:bookmarkEnd w:id="2"/>
    </w:p>
    <w:p w14:paraId="63F4C3E0">
      <w:pPr>
        <w:adjustRightInd w:val="0"/>
        <w:snapToGrid w:val="0"/>
        <w:spacing w:line="600" w:lineRule="exact"/>
        <w:ind w:firstLine="643" w:firstLineChars="200"/>
        <w:rPr>
          <w:rFonts w:hint="eastAsia" w:ascii="楷体_GB2312" w:hAnsi="宋体" w:eastAsia="楷体_GB2312"/>
          <w:b/>
          <w:sz w:val="32"/>
          <w:szCs w:val="32"/>
          <w:lang w:val="zh-CN"/>
        </w:rPr>
      </w:pPr>
      <w:bookmarkStart w:id="3" w:name="_Toc26095_WPSOffice_Level3"/>
      <w:r>
        <w:rPr>
          <w:rFonts w:hint="eastAsia" w:ascii="楷体_GB2312" w:hAnsi="宋体" w:eastAsia="楷体_GB2312"/>
          <w:b/>
          <w:sz w:val="32"/>
          <w:szCs w:val="32"/>
          <w:lang w:val="zh-CN"/>
        </w:rPr>
        <w:t>（一）项目基本情况。</w:t>
      </w:r>
      <w:bookmarkEnd w:id="3"/>
    </w:p>
    <w:p w14:paraId="37DCF4A7">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1．心连心热线服务平台维护和通信费项目是峨边彝族自治县信访局（以下简称县信访局）的单位专项行政运行预算项目，县信访局负责对牵头单位预算拨付资金由我单位实施的专项心连心热线服务平台维护和通信费项目实施管理。是根据单位实际工作要求从</w:t>
      </w:r>
      <w:r>
        <w:rPr>
          <w:rFonts w:hint="eastAsia" w:ascii="仿宋_GB2312" w:hAnsi="宋体" w:eastAsia="仿宋_GB2312"/>
          <w:sz w:val="32"/>
          <w:szCs w:val="32"/>
          <w:lang w:val="en-US" w:eastAsia="zh-CN"/>
        </w:rPr>
        <w:t>2022年实施至今。</w:t>
      </w:r>
    </w:p>
    <w:p w14:paraId="0FC64C38">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2．心连心热线服务平台维护和通信费项目是根据本单位工作职能职责安排进行的立项项目，资金申报依据是按照职能职责对该项目工作具体要求、开展时间期限安排进行的预算。</w:t>
      </w:r>
    </w:p>
    <w:p w14:paraId="7FED9766">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3．心连心热线服务平台维护和通信费项目资金管理是按实所需支付。</w:t>
      </w:r>
    </w:p>
    <w:p w14:paraId="4B8F88F7">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资金的使用范围：</w:t>
      </w:r>
      <w:r>
        <w:rPr>
          <w:rFonts w:hint="eastAsia" w:ascii="仿宋_GB2312" w:hAnsi="宋体" w:eastAsia="仿宋_GB2312"/>
          <w:sz w:val="32"/>
          <w:szCs w:val="32"/>
          <w:lang w:val="en-US" w:eastAsia="zh-CN"/>
        </w:rPr>
        <w:t>2023年该项目资金使用范围为全县。资金</w:t>
      </w:r>
      <w:r>
        <w:rPr>
          <w:rFonts w:hint="eastAsia" w:ascii="仿宋_GB2312" w:hAnsi="宋体" w:eastAsia="仿宋_GB2312"/>
          <w:sz w:val="32"/>
          <w:szCs w:val="32"/>
          <w:lang w:val="zh-CN" w:eastAsia="zh-CN"/>
        </w:rPr>
        <w:t>主要用于心连心热线服务平台正常运行和进行回访、转交办等通信所产生的经费支出。</w:t>
      </w:r>
    </w:p>
    <w:p w14:paraId="157D28FB">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4．心连心热线服务平台维护和通信费项目资金分配只按维修（维护）费经济科目进行使用。</w:t>
      </w:r>
    </w:p>
    <w:p w14:paraId="533270DC">
      <w:pPr>
        <w:adjustRightInd w:val="0"/>
        <w:snapToGrid w:val="0"/>
        <w:spacing w:line="600" w:lineRule="exact"/>
        <w:ind w:firstLine="720"/>
        <w:rPr>
          <w:rFonts w:hint="eastAsia" w:ascii="楷体_GB2312" w:hAnsi="宋体" w:eastAsia="楷体_GB2312"/>
          <w:b/>
          <w:sz w:val="32"/>
          <w:szCs w:val="32"/>
          <w:lang w:val="zh-CN"/>
        </w:rPr>
      </w:pPr>
      <w:bookmarkStart w:id="4" w:name="_Toc1740_WPSOffice_Level3"/>
      <w:r>
        <w:rPr>
          <w:rFonts w:hint="eastAsia" w:ascii="楷体_GB2312" w:hAnsi="宋体" w:eastAsia="楷体_GB2312"/>
          <w:b/>
          <w:sz w:val="32"/>
          <w:szCs w:val="32"/>
          <w:lang w:val="zh-CN"/>
        </w:rPr>
        <w:t>（二）项目绩效目标。</w:t>
      </w:r>
      <w:bookmarkEnd w:id="4"/>
    </w:p>
    <w:p w14:paraId="4FFB07D2">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sz w:val="32"/>
          <w:szCs w:val="32"/>
          <w:lang w:val="en-US" w:eastAsia="zh-CN"/>
        </w:rPr>
      </w:pPr>
      <w:r>
        <w:rPr>
          <w:rFonts w:hint="eastAsia" w:ascii="仿宋_GB2312" w:hAnsi="宋体" w:eastAsia="仿宋_GB2312"/>
          <w:sz w:val="32"/>
          <w:szCs w:val="32"/>
          <w:lang w:val="zh-CN" w:eastAsia="zh-CN"/>
        </w:rPr>
        <w:t>1．心连心热线服务平台维护和通信费项目是按单位职能职责而设立：</w:t>
      </w:r>
      <w:r>
        <w:rPr>
          <w:rFonts w:hint="eastAsia" w:ascii="仿宋_GB2312" w:hAnsi="仿宋_GB2312" w:eastAsia="仿宋_GB2312" w:cs="仿宋_GB2312"/>
          <w:sz w:val="32"/>
          <w:szCs w:val="32"/>
          <w:lang w:val="en-US" w:eastAsia="zh-CN"/>
        </w:rPr>
        <w:t>2023年</w:t>
      </w:r>
      <w:r>
        <w:rPr>
          <w:rFonts w:hint="eastAsia" w:ascii="仿宋_GB2312" w:hAnsi="宋体" w:eastAsia="仿宋_GB2312"/>
          <w:sz w:val="32"/>
          <w:szCs w:val="32"/>
          <w:lang w:val="zh-CN" w:eastAsia="zh-CN"/>
        </w:rPr>
        <w:t>心连心热线服务平台维护和通信费</w:t>
      </w:r>
      <w:r>
        <w:rPr>
          <w:rFonts w:hint="eastAsia" w:ascii="仿宋_GB2312" w:hAnsi="仿宋_GB2312" w:eastAsia="仿宋_GB2312" w:cs="仿宋_GB2312"/>
          <w:sz w:val="32"/>
          <w:szCs w:val="32"/>
          <w:lang w:val="en-US" w:eastAsia="zh-CN"/>
        </w:rPr>
        <w:t>支出0.89万元，该项目主要是保障全年心连心服务热线平台的运行维护和通信，切实帮助群众排忧解难。2023年受理心连心热线4216件，并进行转交办，受理率、办结率、回复率均为100%， 获得表扬件6件，完成45期周报编发，上报市局经典案例46篇，在市委、市政府，峨边门户网发布热线信息309件，乡镇和部门参与心连心直播现场连线22场。2023年度被市政府评为乐山市人民群众最满意区县，有力维护群众权益，提升群众满意度。</w:t>
      </w:r>
    </w:p>
    <w:p w14:paraId="63119C92">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lang w:val="zh-CN" w:eastAsia="zh-CN"/>
        </w:rPr>
        <w:t>心连心热线服务平台维护和通信费项目是应本单位工作需要安排的长期性工作支出经费，与工作实际相符，申报合理可行。</w:t>
      </w:r>
    </w:p>
    <w:p w14:paraId="0079F1A6">
      <w:pPr>
        <w:adjustRightInd w:val="0"/>
        <w:snapToGrid w:val="0"/>
        <w:spacing w:line="600" w:lineRule="exact"/>
        <w:ind w:firstLine="720"/>
        <w:rPr>
          <w:rFonts w:hint="eastAsia" w:ascii="黑体" w:hAnsi="宋体" w:eastAsia="黑体"/>
          <w:sz w:val="32"/>
          <w:szCs w:val="32"/>
          <w:lang w:val="zh-CN"/>
        </w:rPr>
      </w:pPr>
      <w:bookmarkStart w:id="5" w:name="_Toc9845_WPSOffice_Level3"/>
      <w:r>
        <w:rPr>
          <w:rFonts w:hint="eastAsia" w:ascii="楷体_GB2312" w:hAnsi="宋体" w:eastAsia="楷体_GB2312"/>
          <w:b/>
          <w:sz w:val="32"/>
          <w:szCs w:val="32"/>
          <w:lang w:val="zh-CN"/>
        </w:rPr>
        <w:t>（三）项目自评步骤及方法。</w:t>
      </w:r>
      <w:bookmarkEnd w:id="5"/>
    </w:p>
    <w:p w14:paraId="14FB515E">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心连心热线服务平台维护和通信费项目绩效自评采用的组织实施步骤按单位常年实际开展工作要求安排，进行该项目经费预算。资金使用方式是预算控制范围内据实报账。</w:t>
      </w:r>
    </w:p>
    <w:p w14:paraId="75968368">
      <w:pPr>
        <w:adjustRightInd w:val="0"/>
        <w:snapToGrid w:val="0"/>
        <w:spacing w:line="600" w:lineRule="exact"/>
        <w:ind w:firstLine="720"/>
        <w:rPr>
          <w:rFonts w:hint="eastAsia" w:ascii="黑体" w:hAnsi="宋体" w:eastAsia="黑体"/>
          <w:sz w:val="32"/>
          <w:szCs w:val="32"/>
        </w:rPr>
      </w:pPr>
      <w:bookmarkStart w:id="6" w:name="_Toc12707_WPSOffice_Level2"/>
      <w:r>
        <w:rPr>
          <w:rFonts w:hint="eastAsia" w:ascii="黑体" w:hAnsi="宋体" w:eastAsia="黑体"/>
          <w:sz w:val="32"/>
          <w:szCs w:val="32"/>
        </w:rPr>
        <w:t>二、项目资金申报及使用情况</w:t>
      </w:r>
      <w:bookmarkEnd w:id="6"/>
    </w:p>
    <w:p w14:paraId="08A7A235">
      <w:pPr>
        <w:adjustRightInd w:val="0"/>
        <w:snapToGrid w:val="0"/>
        <w:spacing w:line="600" w:lineRule="exact"/>
        <w:ind w:firstLine="643" w:firstLineChars="200"/>
        <w:rPr>
          <w:rFonts w:hint="eastAsia" w:ascii="楷体_GB2312" w:hAnsi="宋体" w:eastAsia="楷体_GB2312"/>
          <w:b/>
          <w:sz w:val="32"/>
          <w:szCs w:val="32"/>
          <w:lang w:val="zh-CN"/>
        </w:rPr>
      </w:pPr>
      <w:bookmarkStart w:id="7" w:name="_Toc5223_WPSOffice_Level3"/>
      <w:r>
        <w:rPr>
          <w:rFonts w:hint="eastAsia" w:ascii="楷体_GB2312" w:hAnsi="宋体" w:eastAsia="楷体_GB2312"/>
          <w:b/>
          <w:sz w:val="32"/>
          <w:szCs w:val="32"/>
          <w:lang w:val="zh-CN"/>
        </w:rPr>
        <w:t>（一）项目资金申报及批复情况。</w:t>
      </w:r>
      <w:bookmarkEnd w:id="7"/>
    </w:p>
    <w:p w14:paraId="48BDFB51">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心连心热线服务平台维护和通信费项目</w:t>
      </w:r>
      <w:r>
        <w:rPr>
          <w:rFonts w:hint="eastAsia" w:ascii="仿宋_GB2312" w:hAnsi="宋体" w:eastAsia="仿宋_GB2312"/>
          <w:sz w:val="32"/>
          <w:szCs w:val="32"/>
          <w:lang w:val="en-US" w:eastAsia="zh-CN"/>
        </w:rPr>
        <w:t>2023年预算资金0.89万元，财政拨款0.89万元，拨款率100%。</w:t>
      </w:r>
    </w:p>
    <w:p w14:paraId="1CA34F02">
      <w:pPr>
        <w:adjustRightInd w:val="0"/>
        <w:snapToGrid w:val="0"/>
        <w:spacing w:line="600" w:lineRule="exact"/>
        <w:ind w:firstLine="320" w:firstLineChars="100"/>
        <w:rPr>
          <w:rFonts w:hint="eastAsia" w:ascii="黑体" w:hAnsi="宋体" w:eastAsia="黑体"/>
          <w:sz w:val="32"/>
          <w:szCs w:val="32"/>
          <w:lang w:val="zh-CN"/>
        </w:rPr>
      </w:pPr>
      <w:bookmarkStart w:id="8" w:name="_Toc10429_WPSOffice_Level3"/>
      <w:r>
        <w:rPr>
          <w:rFonts w:hint="eastAsia" w:ascii="黑体" w:hAnsi="宋体" w:eastAsia="黑体"/>
          <w:sz w:val="32"/>
          <w:szCs w:val="32"/>
          <w:lang w:val="zh-CN"/>
        </w:rPr>
        <w:t>（</w:t>
      </w:r>
      <w:r>
        <w:rPr>
          <w:rFonts w:hint="eastAsia" w:ascii="楷体_GB2312" w:hAnsi="宋体" w:eastAsia="楷体_GB2312"/>
          <w:b/>
          <w:sz w:val="32"/>
          <w:szCs w:val="32"/>
          <w:lang w:val="zh-CN"/>
        </w:rPr>
        <w:t>二）资金计划、到位及使用情况（可用表格形式反映）</w:t>
      </w:r>
      <w:r>
        <w:rPr>
          <w:rFonts w:hint="eastAsia" w:ascii="黑体" w:hAnsi="宋体" w:eastAsia="黑体"/>
          <w:sz w:val="32"/>
          <w:szCs w:val="32"/>
          <w:lang w:val="zh-CN"/>
        </w:rPr>
        <w:t>。</w:t>
      </w:r>
      <w:bookmarkEnd w:id="8"/>
    </w:p>
    <w:p w14:paraId="27E0FBE3">
      <w:pPr>
        <w:adjustRightInd w:val="0"/>
        <w:snapToGrid w:val="0"/>
        <w:spacing w:line="600" w:lineRule="exact"/>
        <w:ind w:firstLine="720"/>
        <w:rPr>
          <w:rFonts w:hint="eastAsia" w:ascii="黑体" w:hAnsi="宋体" w:eastAsia="黑体"/>
          <w:sz w:val="32"/>
          <w:szCs w:val="32"/>
          <w:lang w:val="zh-CN"/>
        </w:rPr>
      </w:pPr>
    </w:p>
    <w:p w14:paraId="7B850AD2">
      <w:pPr>
        <w:adjustRightInd w:val="0"/>
        <w:snapToGrid w:val="0"/>
        <w:spacing w:line="600" w:lineRule="exact"/>
        <w:ind w:firstLine="1280" w:firstLineChars="400"/>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心连心热线服务平台维护和通信费</w:t>
      </w:r>
    </w:p>
    <w:p w14:paraId="2BE11C59">
      <w:pPr>
        <w:adjustRightInd w:val="0"/>
        <w:snapToGrid w:val="0"/>
        <w:spacing w:line="600" w:lineRule="exact"/>
        <w:ind w:firstLine="2240" w:firstLineChars="70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2023年</w:t>
      </w:r>
      <w:r>
        <w:rPr>
          <w:rFonts w:hint="eastAsia" w:ascii="仿宋_GB2312" w:hAnsi="宋体" w:eastAsia="仿宋_GB2312"/>
          <w:sz w:val="32"/>
          <w:szCs w:val="32"/>
          <w:lang w:val="zh-CN" w:eastAsia="zh-CN"/>
        </w:rPr>
        <w:t>支付明细表</w:t>
      </w:r>
    </w:p>
    <w:tbl>
      <w:tblPr>
        <w:tblStyle w:val="5"/>
        <w:tblW w:w="8265"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395"/>
        <w:gridCol w:w="1650"/>
        <w:gridCol w:w="1500"/>
        <w:gridCol w:w="1395"/>
        <w:gridCol w:w="1455"/>
      </w:tblGrid>
      <w:tr w14:paraId="3405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14:paraId="2F921628">
            <w:pPr>
              <w:adjustRightInd w:val="0"/>
              <w:snapToGrid w:val="0"/>
              <w:spacing w:line="360" w:lineRule="auto"/>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序号</w:t>
            </w:r>
          </w:p>
        </w:tc>
        <w:tc>
          <w:tcPr>
            <w:tcW w:w="1395" w:type="dxa"/>
          </w:tcPr>
          <w:p w14:paraId="11CB3E70">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项目名称</w:t>
            </w:r>
          </w:p>
        </w:tc>
        <w:tc>
          <w:tcPr>
            <w:tcW w:w="1650" w:type="dxa"/>
          </w:tcPr>
          <w:p w14:paraId="564B3E49">
            <w:pPr>
              <w:adjustRightInd w:val="0"/>
              <w:snapToGrid w:val="0"/>
              <w:spacing w:line="360" w:lineRule="auto"/>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预算金额</w:t>
            </w:r>
          </w:p>
          <w:p w14:paraId="5E52D5A2">
            <w:pPr>
              <w:adjustRightInd w:val="0"/>
              <w:snapToGrid w:val="0"/>
              <w:spacing w:line="360" w:lineRule="auto"/>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（万元）</w:t>
            </w:r>
          </w:p>
        </w:tc>
        <w:tc>
          <w:tcPr>
            <w:tcW w:w="1500" w:type="dxa"/>
          </w:tcPr>
          <w:p w14:paraId="2B3ABCFC">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申请金额</w:t>
            </w:r>
          </w:p>
          <w:p w14:paraId="1A20EEB3">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（万元）</w:t>
            </w:r>
          </w:p>
        </w:tc>
        <w:tc>
          <w:tcPr>
            <w:tcW w:w="1395" w:type="dxa"/>
          </w:tcPr>
          <w:p w14:paraId="61589A1C">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使用金额</w:t>
            </w:r>
          </w:p>
          <w:p w14:paraId="6A41704E">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（万元）</w:t>
            </w:r>
          </w:p>
        </w:tc>
        <w:tc>
          <w:tcPr>
            <w:tcW w:w="1455" w:type="dxa"/>
          </w:tcPr>
          <w:p w14:paraId="1048998B">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使用比例</w:t>
            </w:r>
          </w:p>
          <w:p w14:paraId="5035F778">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w:t>
            </w:r>
            <w:r>
              <w:rPr>
                <w:rFonts w:hint="eastAsia" w:ascii="仿宋_GB2312" w:hAnsi="宋体" w:eastAsia="仿宋_GB2312"/>
                <w:sz w:val="24"/>
                <w:szCs w:val="24"/>
                <w:lang w:val="en-US" w:eastAsia="zh-CN"/>
              </w:rPr>
              <w:t>%</w:t>
            </w:r>
            <w:r>
              <w:rPr>
                <w:rFonts w:hint="eastAsia" w:ascii="仿宋_GB2312" w:hAnsi="宋体" w:eastAsia="仿宋_GB2312"/>
                <w:sz w:val="24"/>
                <w:szCs w:val="24"/>
                <w:lang w:val="zh-CN"/>
              </w:rPr>
              <w:t>）</w:t>
            </w:r>
          </w:p>
        </w:tc>
      </w:tr>
      <w:tr w14:paraId="049B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870" w:type="dxa"/>
          </w:tcPr>
          <w:p w14:paraId="48A4B313">
            <w:pPr>
              <w:adjustRightInd w:val="0"/>
              <w:snapToGrid w:val="0"/>
              <w:spacing w:line="360" w:lineRule="auto"/>
              <w:jc w:val="both"/>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1</w:t>
            </w:r>
          </w:p>
        </w:tc>
        <w:tc>
          <w:tcPr>
            <w:tcW w:w="1395" w:type="dxa"/>
          </w:tcPr>
          <w:p w14:paraId="3777BDE3">
            <w:pPr>
              <w:adjustRightInd w:val="0"/>
              <w:snapToGrid w:val="0"/>
              <w:spacing w:line="360" w:lineRule="auto"/>
              <w:jc w:val="both"/>
              <w:rPr>
                <w:rFonts w:hint="eastAsia" w:ascii="仿宋_GB2312" w:hAnsi="宋体" w:eastAsia="仿宋_GB2312"/>
                <w:sz w:val="24"/>
                <w:szCs w:val="24"/>
                <w:lang w:val="zh-CN"/>
              </w:rPr>
            </w:pPr>
            <w:r>
              <w:rPr>
                <w:rFonts w:hint="eastAsia" w:ascii="仿宋_GB2312" w:hAnsi="宋体" w:eastAsia="仿宋_GB2312"/>
                <w:sz w:val="24"/>
                <w:szCs w:val="24"/>
                <w:lang w:val="zh-CN"/>
              </w:rPr>
              <w:t>维修（维护）费</w:t>
            </w:r>
          </w:p>
        </w:tc>
        <w:tc>
          <w:tcPr>
            <w:tcW w:w="1650" w:type="dxa"/>
          </w:tcPr>
          <w:p w14:paraId="3FB9E39E">
            <w:pPr>
              <w:adjustRightInd w:val="0"/>
              <w:snapToGrid w:val="0"/>
              <w:spacing w:line="240" w:lineRule="auto"/>
              <w:ind w:firstLine="240" w:firstLineChars="100"/>
              <w:jc w:val="both"/>
              <w:rPr>
                <w:rFonts w:hint="eastAsia" w:ascii="仿宋_GB2312" w:hAnsi="宋体" w:eastAsia="仿宋_GB2312"/>
                <w:sz w:val="24"/>
                <w:szCs w:val="24"/>
                <w:lang w:val="en-US" w:eastAsia="zh-CN"/>
              </w:rPr>
            </w:pPr>
          </w:p>
          <w:p w14:paraId="453A766C">
            <w:pPr>
              <w:adjustRightInd w:val="0"/>
              <w:snapToGrid w:val="0"/>
              <w:spacing w:line="24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0.89</w:t>
            </w:r>
          </w:p>
        </w:tc>
        <w:tc>
          <w:tcPr>
            <w:tcW w:w="1500" w:type="dxa"/>
            <w:vAlign w:val="top"/>
          </w:tcPr>
          <w:p w14:paraId="06DC87FE">
            <w:pPr>
              <w:adjustRightInd w:val="0"/>
              <w:snapToGrid w:val="0"/>
              <w:spacing w:line="240" w:lineRule="auto"/>
              <w:ind w:firstLine="240" w:firstLineChars="100"/>
              <w:jc w:val="both"/>
              <w:rPr>
                <w:rFonts w:hint="eastAsia" w:ascii="仿宋_GB2312" w:hAnsi="宋体" w:eastAsia="仿宋_GB2312"/>
                <w:sz w:val="24"/>
                <w:szCs w:val="24"/>
                <w:lang w:val="en-US" w:eastAsia="zh-CN"/>
              </w:rPr>
            </w:pPr>
          </w:p>
          <w:p w14:paraId="6DBA0A61">
            <w:pPr>
              <w:adjustRightInd w:val="0"/>
              <w:snapToGrid w:val="0"/>
              <w:spacing w:line="24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0.89</w:t>
            </w:r>
          </w:p>
        </w:tc>
        <w:tc>
          <w:tcPr>
            <w:tcW w:w="1395" w:type="dxa"/>
            <w:vAlign w:val="top"/>
          </w:tcPr>
          <w:p w14:paraId="43D61067">
            <w:pPr>
              <w:adjustRightInd w:val="0"/>
              <w:snapToGrid w:val="0"/>
              <w:spacing w:line="240" w:lineRule="auto"/>
              <w:ind w:firstLine="240" w:firstLineChars="100"/>
              <w:jc w:val="both"/>
              <w:rPr>
                <w:rFonts w:hint="eastAsia" w:ascii="仿宋_GB2312" w:hAnsi="宋体" w:eastAsia="仿宋_GB2312"/>
                <w:sz w:val="24"/>
                <w:szCs w:val="24"/>
                <w:lang w:val="en-US" w:eastAsia="zh-CN"/>
              </w:rPr>
            </w:pPr>
          </w:p>
          <w:p w14:paraId="6D5CD837">
            <w:pPr>
              <w:adjustRightInd w:val="0"/>
              <w:snapToGrid w:val="0"/>
              <w:spacing w:line="24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0.89</w:t>
            </w:r>
          </w:p>
        </w:tc>
        <w:tc>
          <w:tcPr>
            <w:tcW w:w="1455" w:type="dxa"/>
            <w:vAlign w:val="top"/>
          </w:tcPr>
          <w:p w14:paraId="27F88BE1">
            <w:pPr>
              <w:adjustRightInd w:val="0"/>
              <w:snapToGrid w:val="0"/>
              <w:spacing w:line="240" w:lineRule="auto"/>
              <w:ind w:firstLine="240" w:firstLineChars="100"/>
              <w:jc w:val="both"/>
              <w:rPr>
                <w:rFonts w:hint="eastAsia" w:ascii="仿宋_GB2312" w:hAnsi="宋体" w:eastAsia="仿宋_GB2312"/>
                <w:sz w:val="24"/>
                <w:szCs w:val="24"/>
                <w:lang w:val="en-US" w:eastAsia="zh-CN"/>
              </w:rPr>
            </w:pPr>
          </w:p>
          <w:p w14:paraId="2B240207">
            <w:pPr>
              <w:adjustRightInd w:val="0"/>
              <w:snapToGrid w:val="0"/>
              <w:spacing w:line="240" w:lineRule="auto"/>
              <w:ind w:firstLine="240" w:firstLineChars="100"/>
              <w:jc w:val="both"/>
              <w:rPr>
                <w:rFonts w:hint="eastAsia" w:ascii="仿宋_GB2312" w:hAnsi="宋体" w:eastAsia="仿宋_GB2312"/>
                <w:sz w:val="24"/>
                <w:szCs w:val="24"/>
                <w:lang w:val="zh-CN"/>
              </w:rPr>
            </w:pPr>
            <w:r>
              <w:rPr>
                <w:rFonts w:hint="eastAsia" w:ascii="仿宋_GB2312" w:hAnsi="宋体" w:eastAsia="仿宋_GB2312"/>
                <w:sz w:val="24"/>
                <w:szCs w:val="24"/>
                <w:lang w:val="en-US" w:eastAsia="zh-CN"/>
              </w:rPr>
              <w:t>100%</w:t>
            </w:r>
          </w:p>
        </w:tc>
      </w:tr>
      <w:tr w14:paraId="2AEE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2265" w:type="dxa"/>
            <w:gridSpan w:val="2"/>
          </w:tcPr>
          <w:p w14:paraId="0C4AB9DB">
            <w:pPr>
              <w:adjustRightInd w:val="0"/>
              <w:snapToGrid w:val="0"/>
              <w:spacing w:line="360" w:lineRule="auto"/>
              <w:ind w:firstLine="720"/>
              <w:jc w:val="center"/>
              <w:rPr>
                <w:rFonts w:hint="eastAsia" w:ascii="仿宋_GB2312" w:hAnsi="宋体" w:eastAsia="仿宋_GB2312"/>
                <w:sz w:val="24"/>
                <w:szCs w:val="24"/>
                <w:lang w:val="zh-CN"/>
              </w:rPr>
            </w:pPr>
          </w:p>
          <w:p w14:paraId="75F06C3B">
            <w:pPr>
              <w:adjustRightInd w:val="0"/>
              <w:snapToGrid w:val="0"/>
              <w:spacing w:line="360" w:lineRule="auto"/>
              <w:ind w:firstLine="720"/>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合计</w:t>
            </w:r>
          </w:p>
        </w:tc>
        <w:tc>
          <w:tcPr>
            <w:tcW w:w="1650" w:type="dxa"/>
            <w:vAlign w:val="top"/>
          </w:tcPr>
          <w:p w14:paraId="380F981B">
            <w:pPr>
              <w:adjustRightInd w:val="0"/>
              <w:snapToGrid w:val="0"/>
              <w:spacing w:line="240" w:lineRule="auto"/>
              <w:ind w:firstLine="240" w:firstLineChars="100"/>
              <w:jc w:val="both"/>
              <w:rPr>
                <w:rFonts w:hint="eastAsia" w:ascii="仿宋_GB2312" w:hAnsi="宋体" w:eastAsia="仿宋_GB2312"/>
                <w:sz w:val="24"/>
                <w:szCs w:val="24"/>
                <w:lang w:val="en-US" w:eastAsia="zh-CN"/>
              </w:rPr>
            </w:pPr>
          </w:p>
          <w:p w14:paraId="2DED8074">
            <w:pPr>
              <w:adjustRightInd w:val="0"/>
              <w:snapToGrid w:val="0"/>
              <w:spacing w:line="24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0.89</w:t>
            </w:r>
          </w:p>
        </w:tc>
        <w:tc>
          <w:tcPr>
            <w:tcW w:w="1500" w:type="dxa"/>
            <w:vAlign w:val="top"/>
          </w:tcPr>
          <w:p w14:paraId="255911ED">
            <w:pPr>
              <w:adjustRightInd w:val="0"/>
              <w:snapToGrid w:val="0"/>
              <w:spacing w:line="240" w:lineRule="auto"/>
              <w:ind w:firstLine="240" w:firstLineChars="100"/>
              <w:jc w:val="both"/>
              <w:rPr>
                <w:rFonts w:hint="eastAsia" w:ascii="仿宋_GB2312" w:hAnsi="宋体" w:eastAsia="仿宋_GB2312"/>
                <w:sz w:val="24"/>
                <w:szCs w:val="24"/>
                <w:lang w:val="en-US" w:eastAsia="zh-CN"/>
              </w:rPr>
            </w:pPr>
          </w:p>
          <w:p w14:paraId="3FF030D0">
            <w:pPr>
              <w:adjustRightInd w:val="0"/>
              <w:snapToGrid w:val="0"/>
              <w:spacing w:line="24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0.89</w:t>
            </w:r>
          </w:p>
        </w:tc>
        <w:tc>
          <w:tcPr>
            <w:tcW w:w="1395" w:type="dxa"/>
            <w:vAlign w:val="top"/>
          </w:tcPr>
          <w:p w14:paraId="1586A5AC">
            <w:pPr>
              <w:adjustRightInd w:val="0"/>
              <w:snapToGrid w:val="0"/>
              <w:spacing w:line="240" w:lineRule="auto"/>
              <w:ind w:firstLine="240" w:firstLineChars="100"/>
              <w:jc w:val="both"/>
              <w:rPr>
                <w:rFonts w:hint="eastAsia" w:ascii="仿宋_GB2312" w:hAnsi="宋体" w:eastAsia="仿宋_GB2312"/>
                <w:sz w:val="24"/>
                <w:szCs w:val="24"/>
                <w:lang w:val="en-US" w:eastAsia="zh-CN"/>
              </w:rPr>
            </w:pPr>
          </w:p>
          <w:p w14:paraId="0AE4DA7F">
            <w:pPr>
              <w:adjustRightInd w:val="0"/>
              <w:snapToGrid w:val="0"/>
              <w:spacing w:line="24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0.89</w:t>
            </w:r>
          </w:p>
        </w:tc>
        <w:tc>
          <w:tcPr>
            <w:tcW w:w="1455" w:type="dxa"/>
            <w:vAlign w:val="top"/>
          </w:tcPr>
          <w:p w14:paraId="30572044">
            <w:pPr>
              <w:adjustRightInd w:val="0"/>
              <w:snapToGrid w:val="0"/>
              <w:spacing w:line="360" w:lineRule="auto"/>
              <w:ind w:firstLine="240" w:firstLineChars="100"/>
              <w:jc w:val="both"/>
              <w:rPr>
                <w:rFonts w:hint="eastAsia" w:ascii="仿宋_GB2312" w:hAnsi="宋体" w:eastAsia="仿宋_GB2312"/>
                <w:sz w:val="24"/>
                <w:szCs w:val="24"/>
                <w:lang w:val="en-US" w:eastAsia="zh-CN"/>
              </w:rPr>
            </w:pPr>
          </w:p>
          <w:p w14:paraId="37CB5F0E">
            <w:pPr>
              <w:adjustRightInd w:val="0"/>
              <w:snapToGrid w:val="0"/>
              <w:spacing w:line="360" w:lineRule="auto"/>
              <w:ind w:firstLine="240" w:firstLineChars="100"/>
              <w:jc w:val="both"/>
              <w:rPr>
                <w:rFonts w:hint="default" w:ascii="仿宋_GB2312" w:hAnsi="宋体" w:eastAsia="仿宋_GB2312"/>
                <w:sz w:val="24"/>
                <w:szCs w:val="24"/>
                <w:lang w:val="en-US"/>
              </w:rPr>
            </w:pPr>
            <w:r>
              <w:rPr>
                <w:rFonts w:hint="eastAsia" w:ascii="仿宋_GB2312" w:hAnsi="宋体" w:eastAsia="仿宋_GB2312"/>
                <w:sz w:val="24"/>
                <w:szCs w:val="24"/>
                <w:lang w:val="en-US" w:eastAsia="zh-CN"/>
              </w:rPr>
              <w:t>100%</w:t>
            </w:r>
          </w:p>
        </w:tc>
      </w:tr>
    </w:tbl>
    <w:p w14:paraId="49A04026">
      <w:pPr>
        <w:adjustRightInd w:val="0"/>
        <w:snapToGrid w:val="0"/>
        <w:spacing w:line="600" w:lineRule="exact"/>
        <w:ind w:firstLine="720"/>
        <w:rPr>
          <w:rFonts w:hint="eastAsia" w:ascii="黑体" w:hAnsi="宋体" w:eastAsia="黑体"/>
          <w:sz w:val="32"/>
          <w:szCs w:val="32"/>
          <w:lang w:val="zh-CN"/>
        </w:rPr>
      </w:pPr>
    </w:p>
    <w:p w14:paraId="7582C7B8">
      <w:pPr>
        <w:adjustRightInd w:val="0"/>
        <w:snapToGrid w:val="0"/>
        <w:spacing w:line="600" w:lineRule="exact"/>
        <w:ind w:firstLine="720"/>
        <w:rPr>
          <w:rFonts w:hint="eastAsia" w:ascii="黑体" w:hAnsi="宋体" w:eastAsia="黑体"/>
          <w:sz w:val="32"/>
          <w:szCs w:val="32"/>
          <w:lang w:val="zh-CN"/>
        </w:rPr>
      </w:pPr>
      <w:bookmarkStart w:id="9" w:name="_Toc17004_WPSOffice_Level3"/>
      <w:r>
        <w:rPr>
          <w:rFonts w:hint="eastAsia" w:ascii="楷体_GB2312" w:hAnsi="宋体" w:eastAsia="楷体_GB2312"/>
          <w:b/>
          <w:sz w:val="32"/>
          <w:szCs w:val="32"/>
          <w:lang w:val="zh-CN"/>
        </w:rPr>
        <w:t>（三）项目财务管理情况</w:t>
      </w:r>
      <w:r>
        <w:rPr>
          <w:rFonts w:hint="eastAsia" w:ascii="黑体" w:hAnsi="宋体" w:eastAsia="黑体"/>
          <w:sz w:val="32"/>
          <w:szCs w:val="32"/>
          <w:lang w:val="zh-CN"/>
        </w:rPr>
        <w:t>。</w:t>
      </w:r>
      <w:bookmarkEnd w:id="9"/>
    </w:p>
    <w:p w14:paraId="1350B14B">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心连心热线服务平台维护和通信费项目资金实施管理制度健全，严格执行财务管理制度，账务处理及时，会计核算规范。</w:t>
      </w:r>
    </w:p>
    <w:p w14:paraId="3128BD67">
      <w:pPr>
        <w:adjustRightInd w:val="0"/>
        <w:snapToGrid w:val="0"/>
        <w:spacing w:line="600" w:lineRule="exact"/>
        <w:ind w:firstLine="720"/>
        <w:rPr>
          <w:rFonts w:hint="eastAsia" w:ascii="黑体" w:hAnsi="宋体" w:eastAsia="黑体"/>
          <w:sz w:val="32"/>
          <w:szCs w:val="32"/>
        </w:rPr>
      </w:pPr>
      <w:bookmarkStart w:id="10" w:name="_Toc27458_WPSOffice_Level2"/>
      <w:r>
        <w:rPr>
          <w:rFonts w:hint="eastAsia" w:ascii="黑体" w:hAnsi="宋体" w:eastAsia="黑体"/>
          <w:sz w:val="32"/>
          <w:szCs w:val="32"/>
        </w:rPr>
        <w:t>三、项目实施及管理情况</w:t>
      </w:r>
      <w:bookmarkEnd w:id="10"/>
    </w:p>
    <w:p w14:paraId="10511AC2">
      <w:pPr>
        <w:adjustRightInd w:val="0"/>
        <w:snapToGrid w:val="0"/>
        <w:spacing w:line="600" w:lineRule="exact"/>
        <w:ind w:firstLine="643" w:firstLineChars="200"/>
        <w:rPr>
          <w:rFonts w:hint="eastAsia" w:ascii="黑体" w:hAnsi="宋体" w:eastAsia="黑体"/>
          <w:sz w:val="32"/>
          <w:szCs w:val="32"/>
          <w:lang w:val="zh-CN"/>
        </w:rPr>
      </w:pPr>
      <w:bookmarkStart w:id="11" w:name="_Toc23998_WPSOffice_Level3"/>
      <w:r>
        <w:rPr>
          <w:rFonts w:hint="eastAsia" w:ascii="楷体_GB2312" w:hAnsi="宋体" w:eastAsia="楷体_GB2312"/>
          <w:b/>
          <w:sz w:val="32"/>
          <w:szCs w:val="32"/>
          <w:lang w:val="zh-CN"/>
        </w:rPr>
        <w:t>（一）项目组织架构及实施流程</w:t>
      </w:r>
      <w:r>
        <w:rPr>
          <w:rFonts w:hint="eastAsia" w:ascii="黑体" w:hAnsi="宋体" w:eastAsia="黑体"/>
          <w:sz w:val="32"/>
          <w:szCs w:val="32"/>
          <w:lang w:val="zh-CN"/>
        </w:rPr>
        <w:t>。</w:t>
      </w:r>
      <w:bookmarkEnd w:id="11"/>
    </w:p>
    <w:p w14:paraId="760854EC">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zh-CN" w:eastAsia="zh-CN"/>
        </w:rPr>
        <w:t>心连心热线服务平台维护和通信费项目是年初预算，批复后再申请资金，由县财政将预算项目资金拨到单位账户后再根据单位工作安排进行组织实施。</w:t>
      </w:r>
    </w:p>
    <w:p w14:paraId="324D3FCE">
      <w:pPr>
        <w:adjustRightInd w:val="0"/>
        <w:snapToGrid w:val="0"/>
        <w:spacing w:line="600" w:lineRule="exact"/>
        <w:ind w:firstLine="643" w:firstLineChars="200"/>
        <w:rPr>
          <w:rFonts w:hint="eastAsia" w:ascii="楷体_GB2312" w:hAnsi="宋体" w:eastAsia="楷体_GB2312"/>
          <w:b/>
          <w:sz w:val="32"/>
          <w:szCs w:val="32"/>
          <w:lang w:val="zh-CN"/>
        </w:rPr>
      </w:pPr>
      <w:bookmarkStart w:id="12" w:name="_Toc19802_WPSOffice_Level3"/>
      <w:r>
        <w:rPr>
          <w:rFonts w:hint="eastAsia" w:ascii="楷体_GB2312" w:hAnsi="宋体" w:eastAsia="楷体_GB2312"/>
          <w:b/>
          <w:sz w:val="32"/>
          <w:szCs w:val="32"/>
          <w:lang w:val="zh-CN"/>
        </w:rPr>
        <w:t>（二）项目管理情况。</w:t>
      </w:r>
      <w:bookmarkEnd w:id="12"/>
    </w:p>
    <w:p w14:paraId="71FB3CCD">
      <w:pPr>
        <w:adjustRightInd w:val="0"/>
        <w:snapToGrid w:val="0"/>
        <w:spacing w:line="600" w:lineRule="exact"/>
        <w:ind w:firstLine="720"/>
        <w:rPr>
          <w:rFonts w:hint="default" w:ascii="黑体" w:hAnsi="宋体" w:eastAsia="黑体"/>
          <w:sz w:val="32"/>
          <w:szCs w:val="32"/>
          <w:lang w:val="en-US" w:eastAsia="zh-CN"/>
        </w:rPr>
      </w:pPr>
      <w:r>
        <w:rPr>
          <w:rFonts w:hint="eastAsia" w:ascii="黑体" w:hAnsi="宋体" w:eastAsia="黑体"/>
          <w:sz w:val="32"/>
          <w:szCs w:val="32"/>
          <w:lang w:val="en-US" w:eastAsia="zh-CN"/>
        </w:rPr>
        <w:t xml:space="preserve"> </w:t>
      </w:r>
      <w:r>
        <w:rPr>
          <w:rFonts w:hint="eastAsia" w:ascii="仿宋_GB2312" w:hAnsi="宋体" w:eastAsia="仿宋_GB2312"/>
          <w:sz w:val="32"/>
          <w:szCs w:val="32"/>
          <w:lang w:val="zh-CN" w:eastAsia="zh-CN"/>
        </w:rPr>
        <w:t>心连心热线服务平台维护和通信费项目资金管理是严格按照财经制度管理执行，资金使用方式按照全市的标准签订</w:t>
      </w:r>
      <w:bookmarkStart w:id="21" w:name="_GoBack"/>
      <w:bookmarkEnd w:id="21"/>
      <w:r>
        <w:rPr>
          <w:rFonts w:hint="eastAsia" w:ascii="仿宋_GB2312" w:hAnsi="宋体" w:eastAsia="仿宋_GB2312"/>
          <w:sz w:val="32"/>
          <w:szCs w:val="32"/>
          <w:lang w:val="zh-CN" w:eastAsia="zh-CN"/>
        </w:rPr>
        <w:t>租赁合同，按合同转账支付。</w:t>
      </w:r>
    </w:p>
    <w:p w14:paraId="54CA6BC9">
      <w:pPr>
        <w:adjustRightInd w:val="0"/>
        <w:snapToGrid w:val="0"/>
        <w:spacing w:line="600" w:lineRule="exact"/>
        <w:ind w:firstLine="643" w:firstLineChars="200"/>
        <w:rPr>
          <w:rFonts w:hint="eastAsia" w:ascii="楷体_GB2312" w:hAnsi="宋体" w:eastAsia="楷体_GB2312"/>
          <w:b/>
          <w:sz w:val="32"/>
          <w:szCs w:val="32"/>
          <w:lang w:val="zh-CN"/>
        </w:rPr>
      </w:pPr>
      <w:bookmarkStart w:id="13" w:name="_Toc2493_WPSOffice_Level3"/>
      <w:r>
        <w:rPr>
          <w:rFonts w:hint="eastAsia" w:ascii="楷体_GB2312" w:hAnsi="宋体" w:eastAsia="楷体_GB2312"/>
          <w:b/>
          <w:sz w:val="32"/>
          <w:szCs w:val="32"/>
          <w:lang w:val="zh-CN"/>
        </w:rPr>
        <w:t>（三）项目监管情况。</w:t>
      </w:r>
      <w:bookmarkEnd w:id="13"/>
    </w:p>
    <w:p w14:paraId="3FCB0FA6">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心连心热线服务平台维护和通信费</w:t>
      </w:r>
      <w:r>
        <w:rPr>
          <w:rFonts w:hint="eastAsia" w:ascii="仿宋_GB2312" w:hAnsi="宋体" w:eastAsia="仿宋_GB2312"/>
          <w:sz w:val="32"/>
          <w:szCs w:val="32"/>
          <w:lang w:val="zh-CN" w:eastAsia="zh-CN"/>
        </w:rPr>
        <w:t>项目监管方式为：项目由单位心连心热线服务中心负责实施。项目实施后所有票据由分管领导审核签批报单位主要领导签字同意报销，交财务进行转账支付。</w:t>
      </w:r>
    </w:p>
    <w:p w14:paraId="4B49EF3B">
      <w:pPr>
        <w:adjustRightInd w:val="0"/>
        <w:snapToGrid w:val="0"/>
        <w:spacing w:line="600" w:lineRule="exact"/>
        <w:ind w:firstLine="720"/>
        <w:rPr>
          <w:rFonts w:hint="eastAsia" w:ascii="黑体" w:hAnsi="宋体" w:eastAsia="黑体"/>
          <w:sz w:val="32"/>
          <w:szCs w:val="32"/>
          <w:lang w:val="zh-CN"/>
        </w:rPr>
      </w:pPr>
      <w:bookmarkStart w:id="14" w:name="_Toc9854_WPSOffice_Level2"/>
      <w:r>
        <w:rPr>
          <w:rFonts w:hint="eastAsia" w:ascii="黑体" w:hAnsi="宋体" w:eastAsia="黑体"/>
          <w:sz w:val="32"/>
          <w:szCs w:val="32"/>
        </w:rPr>
        <w:t>四、项目绩效情况</w:t>
      </w:r>
      <w:bookmarkEnd w:id="14"/>
      <w:r>
        <w:rPr>
          <w:rFonts w:hint="eastAsia" w:ascii="黑体" w:hAnsi="宋体" w:eastAsia="黑体"/>
          <w:sz w:val="32"/>
          <w:szCs w:val="32"/>
          <w:lang w:val="zh-CN"/>
        </w:rPr>
        <w:tab/>
      </w:r>
    </w:p>
    <w:p w14:paraId="240FB2A9">
      <w:pPr>
        <w:adjustRightInd w:val="0"/>
        <w:snapToGrid w:val="0"/>
        <w:spacing w:line="600" w:lineRule="exact"/>
        <w:ind w:firstLine="720"/>
        <w:rPr>
          <w:rFonts w:hint="eastAsia" w:ascii="黑体" w:hAnsi="宋体" w:eastAsia="黑体"/>
          <w:sz w:val="32"/>
          <w:szCs w:val="32"/>
          <w:lang w:val="zh-CN"/>
        </w:rPr>
      </w:pPr>
      <w:bookmarkStart w:id="15" w:name="_Toc802_WPSOffice_Level3"/>
      <w:r>
        <w:rPr>
          <w:rFonts w:hint="eastAsia" w:ascii="楷体_GB2312" w:hAnsi="宋体" w:eastAsia="楷体_GB2312"/>
          <w:b/>
          <w:sz w:val="32"/>
          <w:szCs w:val="32"/>
          <w:lang w:val="zh-CN"/>
        </w:rPr>
        <w:t>（一）项目完成情况</w:t>
      </w:r>
      <w:r>
        <w:rPr>
          <w:rFonts w:hint="eastAsia" w:ascii="黑体" w:hAnsi="宋体" w:eastAsia="黑体"/>
          <w:sz w:val="32"/>
          <w:szCs w:val="32"/>
          <w:lang w:val="zh-CN"/>
        </w:rPr>
        <w:t>。</w:t>
      </w:r>
      <w:bookmarkEnd w:id="15"/>
    </w:p>
    <w:p w14:paraId="7B8CA286">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sz w:val="32"/>
          <w:szCs w:val="32"/>
          <w:lang w:val="en-US" w:eastAsia="zh-CN"/>
        </w:rPr>
      </w:pPr>
      <w:r>
        <w:rPr>
          <w:rFonts w:hint="eastAsia" w:ascii="仿宋_GB2312" w:hAnsi="宋体" w:eastAsia="仿宋_GB2312"/>
          <w:sz w:val="32"/>
          <w:szCs w:val="32"/>
          <w:lang w:val="en-US" w:eastAsia="zh-CN"/>
        </w:rPr>
        <w:t>2023年根据工作安排，</w:t>
      </w:r>
      <w:r>
        <w:rPr>
          <w:rFonts w:hint="eastAsia" w:ascii="仿宋_GB2312" w:hAnsi="仿宋_GB2312" w:eastAsia="仿宋_GB2312" w:cs="仿宋_GB2312"/>
          <w:sz w:val="32"/>
          <w:szCs w:val="32"/>
          <w:lang w:val="en-US" w:eastAsia="zh-CN"/>
        </w:rPr>
        <w:t>2023年</w:t>
      </w:r>
      <w:r>
        <w:rPr>
          <w:rFonts w:hint="eastAsia" w:ascii="仿宋_GB2312" w:hAnsi="宋体" w:eastAsia="仿宋_GB2312"/>
          <w:sz w:val="32"/>
          <w:szCs w:val="32"/>
          <w:lang w:val="en-US" w:eastAsia="zh-CN"/>
        </w:rPr>
        <w:t>心连心热线服务平台维护和通信费</w:t>
      </w:r>
      <w:r>
        <w:rPr>
          <w:rFonts w:hint="eastAsia" w:ascii="仿宋_GB2312" w:hAnsi="仿宋_GB2312" w:eastAsia="仿宋_GB2312" w:cs="仿宋_GB2312"/>
          <w:sz w:val="32"/>
          <w:szCs w:val="32"/>
          <w:lang w:val="en-US" w:eastAsia="zh-CN"/>
        </w:rPr>
        <w:t>支出0.89万元。2023年受理心连心热线4216件，并进行转交办，受理率、办结率、回复率均为100%， 获得表扬件6件，完成45期周报编发，上报市局经典案例46篇，在市委、市政府，峨边门户网发布热线信息309件，乡镇和部门参与心连心直播现场连线22场。2023年度被市政府评为乐山市人民群众最满意区县，有力维护群众权益，提升群众满意度。</w:t>
      </w:r>
    </w:p>
    <w:p w14:paraId="07F524A5">
      <w:pPr>
        <w:adjustRightInd w:val="0"/>
        <w:snapToGrid w:val="0"/>
        <w:spacing w:line="600" w:lineRule="exact"/>
        <w:ind w:firstLine="643" w:firstLineChars="200"/>
        <w:rPr>
          <w:rFonts w:hint="eastAsia" w:ascii="黑体" w:hAnsi="宋体" w:eastAsia="黑体"/>
          <w:sz w:val="32"/>
          <w:szCs w:val="32"/>
          <w:lang w:val="zh-CN"/>
        </w:rPr>
      </w:pPr>
      <w:bookmarkStart w:id="16" w:name="_Toc23227_WPSOffice_Level3"/>
      <w:r>
        <w:rPr>
          <w:rFonts w:hint="eastAsia" w:ascii="楷体_GB2312" w:hAnsi="宋体" w:eastAsia="楷体_GB2312"/>
          <w:b/>
          <w:sz w:val="32"/>
          <w:szCs w:val="32"/>
          <w:lang w:val="zh-CN"/>
        </w:rPr>
        <w:t>（二）项目效益情况</w:t>
      </w:r>
      <w:r>
        <w:rPr>
          <w:rFonts w:hint="eastAsia" w:ascii="黑体" w:hAnsi="宋体" w:eastAsia="黑体"/>
          <w:sz w:val="32"/>
          <w:szCs w:val="32"/>
          <w:lang w:val="zh-CN"/>
        </w:rPr>
        <w:t>。</w:t>
      </w:r>
      <w:bookmarkEnd w:id="16"/>
    </w:p>
    <w:p w14:paraId="4F943499">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心连心热线服务平台维护和通信费</w:t>
      </w:r>
      <w:r>
        <w:rPr>
          <w:rFonts w:hint="eastAsia" w:ascii="仿宋_GB2312" w:hAnsi="宋体" w:eastAsia="仿宋_GB2312"/>
          <w:sz w:val="32"/>
          <w:szCs w:val="32"/>
          <w:lang w:val="zh-CN" w:eastAsia="zh-CN"/>
        </w:rPr>
        <w:t>项目是保障全县信访工作正常开展，是为民解难、为党分忧的一项政治工作。是实实在在化解矛盾，解决群众急难愁盼问题，提升干群关系，提高政府公信力，促进社会和谐、促进群众满意度的工作，</w:t>
      </w:r>
      <w:r>
        <w:rPr>
          <w:rFonts w:hint="eastAsia" w:ascii="仿宋_GB2312" w:hAnsi="宋体" w:eastAsia="仿宋_GB2312"/>
          <w:sz w:val="32"/>
          <w:szCs w:val="32"/>
          <w:lang w:val="en-US" w:eastAsia="zh-CN"/>
        </w:rPr>
        <w:t>2023年</w:t>
      </w:r>
      <w:r>
        <w:rPr>
          <w:rFonts w:hint="eastAsia" w:ascii="仿宋_GB2312" w:hAnsi="宋体" w:eastAsia="仿宋_GB2312"/>
          <w:sz w:val="32"/>
          <w:szCs w:val="32"/>
          <w:lang w:val="zh-CN" w:eastAsia="zh-CN"/>
        </w:rPr>
        <w:t>实施</w:t>
      </w:r>
      <w:r>
        <w:rPr>
          <w:rFonts w:hint="eastAsia" w:ascii="仿宋_GB2312" w:hAnsi="宋体" w:eastAsia="仿宋_GB2312"/>
          <w:sz w:val="32"/>
          <w:szCs w:val="32"/>
          <w:lang w:val="en-US" w:eastAsia="zh-CN"/>
        </w:rPr>
        <w:t>心连心热线服务平台维护和通信费</w:t>
      </w:r>
      <w:r>
        <w:rPr>
          <w:rFonts w:hint="eastAsia" w:ascii="仿宋_GB2312" w:hAnsi="宋体" w:eastAsia="仿宋_GB2312"/>
          <w:sz w:val="32"/>
          <w:szCs w:val="32"/>
          <w:lang w:val="zh-CN" w:eastAsia="zh-CN"/>
        </w:rPr>
        <w:t>项目社会满意度达</w:t>
      </w:r>
      <w:r>
        <w:rPr>
          <w:rFonts w:hint="eastAsia" w:ascii="仿宋_GB2312" w:hAnsi="宋体" w:eastAsia="仿宋_GB2312"/>
          <w:sz w:val="32"/>
          <w:szCs w:val="32"/>
          <w:lang w:val="en-US" w:eastAsia="zh-CN"/>
        </w:rPr>
        <w:t>98%，群众满意度为98%</w:t>
      </w:r>
      <w:r>
        <w:rPr>
          <w:rFonts w:hint="eastAsia" w:ascii="仿宋_GB2312" w:hAnsi="宋体" w:eastAsia="仿宋_GB2312"/>
          <w:sz w:val="32"/>
          <w:szCs w:val="32"/>
          <w:lang w:val="zh-CN" w:eastAsia="zh-CN"/>
        </w:rPr>
        <w:t>。</w:t>
      </w:r>
    </w:p>
    <w:p w14:paraId="45DD3EA4">
      <w:pPr>
        <w:adjustRightInd w:val="0"/>
        <w:snapToGrid w:val="0"/>
        <w:spacing w:line="600" w:lineRule="exact"/>
        <w:ind w:firstLine="720"/>
        <w:rPr>
          <w:rFonts w:hint="eastAsia" w:ascii="黑体" w:hAnsi="宋体" w:eastAsia="黑体"/>
          <w:sz w:val="32"/>
          <w:szCs w:val="32"/>
        </w:rPr>
      </w:pPr>
      <w:bookmarkStart w:id="17" w:name="_Toc32691_WPSOffice_Level2"/>
      <w:r>
        <w:rPr>
          <w:rFonts w:hint="eastAsia" w:ascii="黑体" w:hAnsi="宋体" w:eastAsia="黑体"/>
          <w:sz w:val="32"/>
          <w:szCs w:val="32"/>
        </w:rPr>
        <w:t>五、评价结论及建议</w:t>
      </w:r>
      <w:bookmarkEnd w:id="17"/>
    </w:p>
    <w:p w14:paraId="1A871DE6">
      <w:pPr>
        <w:adjustRightInd w:val="0"/>
        <w:snapToGrid w:val="0"/>
        <w:spacing w:line="600" w:lineRule="exact"/>
        <w:ind w:firstLine="643" w:firstLineChars="200"/>
        <w:rPr>
          <w:rFonts w:hint="eastAsia" w:ascii="楷体_GB2312" w:hAnsi="宋体" w:eastAsia="楷体_GB2312"/>
          <w:b/>
          <w:sz w:val="32"/>
          <w:szCs w:val="32"/>
          <w:lang w:val="zh-CN"/>
        </w:rPr>
      </w:pPr>
      <w:bookmarkStart w:id="18" w:name="_Toc23109_WPSOffice_Level3"/>
      <w:r>
        <w:rPr>
          <w:rFonts w:hint="eastAsia" w:ascii="楷体_GB2312" w:hAnsi="宋体" w:eastAsia="楷体_GB2312"/>
          <w:b/>
          <w:sz w:val="32"/>
          <w:szCs w:val="32"/>
          <w:lang w:val="zh-CN"/>
        </w:rPr>
        <w:t>（一）评价结论。</w:t>
      </w:r>
      <w:bookmarkEnd w:id="18"/>
    </w:p>
    <w:p w14:paraId="78957595">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心连心热线服务平台维护和通信费</w:t>
      </w:r>
      <w:r>
        <w:rPr>
          <w:rFonts w:hint="eastAsia" w:ascii="仿宋_GB2312" w:hAnsi="宋体" w:eastAsia="仿宋_GB2312"/>
          <w:sz w:val="32"/>
          <w:szCs w:val="32"/>
          <w:lang w:val="zh-CN" w:eastAsia="zh-CN"/>
        </w:rPr>
        <w:t>项目申报合理，实施有序，成效明显。预算</w:t>
      </w:r>
      <w:r>
        <w:rPr>
          <w:rFonts w:hint="eastAsia" w:ascii="仿宋_GB2312" w:hAnsi="宋体" w:eastAsia="仿宋_GB2312"/>
          <w:sz w:val="32"/>
          <w:szCs w:val="32"/>
          <w:lang w:val="en-US" w:eastAsia="zh-CN"/>
        </w:rPr>
        <w:t>未使用的项目预算资金，由财政收回。</w:t>
      </w:r>
    </w:p>
    <w:p w14:paraId="29236521">
      <w:pPr>
        <w:adjustRightInd w:val="0"/>
        <w:snapToGrid w:val="0"/>
        <w:spacing w:line="600" w:lineRule="exact"/>
        <w:ind w:firstLine="720"/>
        <w:rPr>
          <w:rFonts w:hint="eastAsia" w:ascii="黑体" w:hAnsi="宋体" w:eastAsia="黑体"/>
          <w:sz w:val="32"/>
          <w:szCs w:val="32"/>
          <w:lang w:val="zh-CN"/>
        </w:rPr>
      </w:pPr>
      <w:bookmarkStart w:id="19" w:name="_Toc5013_WPSOffice_Level3"/>
      <w:r>
        <w:rPr>
          <w:rFonts w:hint="eastAsia" w:ascii="楷体_GB2312" w:hAnsi="宋体" w:eastAsia="楷体_GB2312"/>
          <w:b/>
          <w:sz w:val="32"/>
          <w:szCs w:val="32"/>
          <w:lang w:val="zh-CN"/>
        </w:rPr>
        <w:t>（二）存在的问题</w:t>
      </w:r>
      <w:r>
        <w:rPr>
          <w:rFonts w:hint="eastAsia" w:ascii="黑体" w:hAnsi="宋体" w:eastAsia="黑体"/>
          <w:sz w:val="32"/>
          <w:szCs w:val="32"/>
          <w:lang w:val="zh-CN"/>
        </w:rPr>
        <w:t>。</w:t>
      </w:r>
      <w:bookmarkEnd w:id="19"/>
    </w:p>
    <w:p w14:paraId="735449AE">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心连心热线服务平台维护和通信费</w:t>
      </w:r>
      <w:r>
        <w:rPr>
          <w:rFonts w:hint="eastAsia" w:ascii="仿宋_GB2312" w:hAnsi="宋体" w:eastAsia="仿宋_GB2312"/>
          <w:sz w:val="32"/>
          <w:szCs w:val="32"/>
          <w:lang w:val="zh-CN" w:eastAsia="zh-CN"/>
        </w:rPr>
        <w:t>项目实施问题：项目的经费预算因每年工作任务不能达到精准计算，所以经费预算上有所偏差。</w:t>
      </w:r>
    </w:p>
    <w:p w14:paraId="2E0F243B">
      <w:pPr>
        <w:adjustRightInd w:val="0"/>
        <w:snapToGrid w:val="0"/>
        <w:spacing w:line="600" w:lineRule="exact"/>
        <w:ind w:firstLine="321" w:firstLineChars="100"/>
        <w:rPr>
          <w:rFonts w:hint="eastAsia" w:ascii="黑体" w:hAnsi="宋体" w:eastAsia="黑体"/>
          <w:sz w:val="32"/>
          <w:szCs w:val="32"/>
          <w:lang w:val="zh-CN"/>
        </w:rPr>
      </w:pPr>
      <w:bookmarkStart w:id="20" w:name="_Toc7948_WPSOffice_Level3"/>
      <w:r>
        <w:rPr>
          <w:rFonts w:hint="eastAsia" w:ascii="楷体_GB2312" w:hAnsi="宋体" w:eastAsia="楷体_GB2312"/>
          <w:b/>
          <w:sz w:val="32"/>
          <w:szCs w:val="32"/>
          <w:lang w:val="zh-CN"/>
        </w:rPr>
        <w:t>（三）相关建议</w:t>
      </w:r>
      <w:r>
        <w:rPr>
          <w:rFonts w:hint="eastAsia" w:ascii="黑体" w:hAnsi="宋体" w:eastAsia="黑体"/>
          <w:sz w:val="32"/>
          <w:szCs w:val="32"/>
          <w:lang w:val="zh-CN"/>
        </w:rPr>
        <w:t>。</w:t>
      </w:r>
      <w:bookmarkEnd w:id="20"/>
    </w:p>
    <w:p w14:paraId="1A4991E5">
      <w:pPr>
        <w:adjustRightInd w:val="0"/>
        <w:snapToGrid w:val="0"/>
        <w:spacing w:line="600" w:lineRule="exact"/>
        <w:ind w:firstLine="720"/>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提高工作任务的前瞻性预判，促进工作的更好开展。</w:t>
      </w:r>
    </w:p>
    <w:p w14:paraId="428C1F23">
      <w:pPr>
        <w:adjustRightInd w:val="0"/>
        <w:snapToGrid w:val="0"/>
        <w:spacing w:line="600" w:lineRule="exact"/>
        <w:ind w:firstLine="720"/>
        <w:rPr>
          <w:rFonts w:hint="eastAsia" w:ascii="黑体" w:hAnsi="宋体" w:eastAsia="黑体"/>
          <w:sz w:val="32"/>
          <w:szCs w:val="32"/>
        </w:rPr>
      </w:pPr>
    </w:p>
    <w:p w14:paraId="422DCCAA">
      <w:pPr>
        <w:spacing w:line="600" w:lineRule="exact"/>
        <w:jc w:val="center"/>
        <w:outlineLvl w:val="0"/>
        <w:rPr>
          <w:rStyle w:val="7"/>
          <w:rFonts w:ascii="黑体" w:hAnsi="黑体" w:eastAsia="黑体"/>
          <w:b w:val="0"/>
        </w:rPr>
      </w:pPr>
    </w:p>
    <w:p w14:paraId="35B4869F">
      <w:pPr>
        <w:spacing w:line="600" w:lineRule="exact"/>
        <w:jc w:val="center"/>
        <w:outlineLvl w:val="0"/>
        <w:rPr>
          <w:rStyle w:val="7"/>
          <w:rFonts w:ascii="黑体" w:hAnsi="黑体" w:eastAsia="黑体"/>
          <w:b w:val="0"/>
        </w:rPr>
      </w:pPr>
    </w:p>
    <w:p w14:paraId="212D7A03">
      <w:pPr>
        <w:spacing w:line="600" w:lineRule="exact"/>
        <w:jc w:val="center"/>
        <w:outlineLvl w:val="0"/>
        <w:rPr>
          <w:rStyle w:val="7"/>
          <w:rFonts w:ascii="黑体" w:hAnsi="黑体" w:eastAsia="黑体"/>
          <w:b w:val="0"/>
        </w:rPr>
      </w:pPr>
    </w:p>
    <w:p w14:paraId="45E1A50E">
      <w:pPr>
        <w:spacing w:line="600" w:lineRule="exact"/>
        <w:jc w:val="center"/>
        <w:outlineLvl w:val="0"/>
        <w:rPr>
          <w:rStyle w:val="7"/>
          <w:rFonts w:ascii="黑体" w:hAnsi="黑体" w:eastAsia="黑体"/>
          <w:b w:val="0"/>
        </w:rPr>
      </w:pPr>
    </w:p>
    <w:p w14:paraId="03C2D3E2">
      <w:pPr>
        <w:spacing w:line="600" w:lineRule="exact"/>
        <w:jc w:val="center"/>
        <w:outlineLvl w:val="0"/>
        <w:rPr>
          <w:rStyle w:val="7"/>
          <w:rFonts w:ascii="黑体" w:hAnsi="黑体" w:eastAsia="黑体"/>
          <w:b w:val="0"/>
        </w:rPr>
      </w:pPr>
    </w:p>
    <w:p w14:paraId="012490F4">
      <w:pPr>
        <w:spacing w:line="600" w:lineRule="exact"/>
        <w:jc w:val="center"/>
        <w:outlineLvl w:val="0"/>
        <w:rPr>
          <w:rStyle w:val="7"/>
          <w:rFonts w:ascii="黑体" w:hAnsi="黑体" w:eastAsia="黑体"/>
          <w:b w:val="0"/>
        </w:rPr>
      </w:pPr>
    </w:p>
    <w:p w14:paraId="0491D893">
      <w:pPr>
        <w:spacing w:line="600" w:lineRule="exact"/>
        <w:jc w:val="center"/>
        <w:outlineLvl w:val="0"/>
        <w:rPr>
          <w:rStyle w:val="7"/>
          <w:rFonts w:ascii="黑体" w:hAnsi="黑体" w:eastAsia="黑体"/>
          <w:b w:val="0"/>
        </w:rPr>
      </w:pPr>
    </w:p>
    <w:p w14:paraId="57C947C7">
      <w:pPr>
        <w:spacing w:line="600" w:lineRule="exact"/>
        <w:jc w:val="center"/>
        <w:outlineLvl w:val="0"/>
        <w:rPr>
          <w:rStyle w:val="7"/>
          <w:rFonts w:ascii="黑体" w:hAnsi="黑体" w:eastAsia="黑体"/>
          <w:b w:val="0"/>
        </w:rPr>
      </w:pPr>
    </w:p>
    <w:p w14:paraId="7FA8ED61">
      <w:pPr>
        <w:spacing w:line="600" w:lineRule="exact"/>
        <w:jc w:val="center"/>
        <w:outlineLvl w:val="0"/>
        <w:rPr>
          <w:rStyle w:val="7"/>
          <w:rFonts w:ascii="黑体" w:hAnsi="黑体" w:eastAsia="黑体"/>
          <w:b w:val="0"/>
        </w:rPr>
      </w:pPr>
    </w:p>
    <w:p w14:paraId="5371AE9F">
      <w:pPr>
        <w:spacing w:line="600" w:lineRule="exact"/>
        <w:jc w:val="center"/>
        <w:outlineLvl w:val="0"/>
        <w:rPr>
          <w:rStyle w:val="7"/>
          <w:rFonts w:ascii="黑体" w:hAnsi="黑体" w:eastAsia="黑体"/>
          <w:b w:val="0"/>
        </w:rPr>
      </w:pPr>
    </w:p>
    <w:p w14:paraId="1EB234BD">
      <w:pPr>
        <w:spacing w:line="600" w:lineRule="exact"/>
        <w:jc w:val="center"/>
        <w:outlineLvl w:val="0"/>
        <w:rPr>
          <w:rStyle w:val="7"/>
          <w:rFonts w:ascii="黑体" w:hAnsi="黑体" w:eastAsia="黑体"/>
          <w:b w:val="0"/>
        </w:rPr>
      </w:pPr>
    </w:p>
    <w:p w14:paraId="22A22320">
      <w:pPr>
        <w:spacing w:line="600" w:lineRule="exact"/>
        <w:jc w:val="center"/>
        <w:outlineLvl w:val="0"/>
        <w:rPr>
          <w:rStyle w:val="7"/>
          <w:rFonts w:ascii="黑体" w:hAnsi="黑体" w:eastAsia="黑体"/>
          <w:b w:val="0"/>
        </w:rPr>
      </w:pPr>
    </w:p>
    <w:p w14:paraId="711AC23B">
      <w:pPr>
        <w:spacing w:line="600" w:lineRule="exact"/>
        <w:jc w:val="center"/>
        <w:outlineLvl w:val="0"/>
        <w:rPr>
          <w:rStyle w:val="7"/>
          <w:rFonts w:ascii="黑体" w:hAnsi="黑体" w:eastAsia="黑体"/>
          <w:b w:val="0"/>
        </w:rPr>
      </w:pPr>
    </w:p>
    <w:p w14:paraId="3A7CD348">
      <w:pPr>
        <w:spacing w:line="600" w:lineRule="exact"/>
        <w:jc w:val="center"/>
        <w:outlineLvl w:val="0"/>
        <w:rPr>
          <w:rStyle w:val="7"/>
          <w:rFonts w:ascii="黑体" w:hAnsi="黑体" w:eastAsia="黑体"/>
          <w:b w:val="0"/>
        </w:rPr>
      </w:pPr>
    </w:p>
    <w:p w14:paraId="049EA28F">
      <w:pPr>
        <w:spacing w:line="600" w:lineRule="exact"/>
        <w:jc w:val="center"/>
        <w:outlineLvl w:val="0"/>
        <w:rPr>
          <w:rStyle w:val="7"/>
          <w:rFonts w:hint="eastAsia" w:ascii="黑体" w:hAnsi="黑体" w:eastAsia="黑体"/>
          <w:b w:val="0"/>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B41D3A-24F7-4A1C-A16A-151C736CA40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2" w:fontKey="{C03366E8-0062-481F-AD2C-ACC3735848EC}"/>
  </w:font>
  <w:font w:name="方正小标宋简体">
    <w:panose1 w:val="02000000000000000000"/>
    <w:charset w:val="86"/>
    <w:family w:val="script"/>
    <w:pitch w:val="default"/>
    <w:sig w:usb0="00000001" w:usb1="080E0000" w:usb2="00000000" w:usb3="00000000" w:csb0="00040000" w:csb1="00000000"/>
    <w:embedRegular r:id="rId3" w:fontKey="{173310DE-D923-40E0-9FA6-E1E3EFF8052D}"/>
  </w:font>
  <w:font w:name="楷体_GB2312">
    <w:panose1 w:val="02010609030101010101"/>
    <w:charset w:val="86"/>
    <w:family w:val="modern"/>
    <w:pitch w:val="default"/>
    <w:sig w:usb0="00000001" w:usb1="080E0000" w:usb2="00000000" w:usb3="00000000" w:csb0="00040000" w:csb1="00000000"/>
    <w:embedRegular r:id="rId4" w:fontKey="{AC7E00E5-D42C-4AEF-B06F-79052C74726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65FB6337"/>
    <w:rsid w:val="009E6125"/>
    <w:rsid w:val="00E60813"/>
    <w:rsid w:val="01960997"/>
    <w:rsid w:val="02A1035C"/>
    <w:rsid w:val="02DA2EEA"/>
    <w:rsid w:val="03BA333C"/>
    <w:rsid w:val="06A7337D"/>
    <w:rsid w:val="06E705B9"/>
    <w:rsid w:val="08D45425"/>
    <w:rsid w:val="0A49167F"/>
    <w:rsid w:val="0A696ECC"/>
    <w:rsid w:val="0B914376"/>
    <w:rsid w:val="0C7906E0"/>
    <w:rsid w:val="0C842AAF"/>
    <w:rsid w:val="103B0DDA"/>
    <w:rsid w:val="10580F98"/>
    <w:rsid w:val="11C818FF"/>
    <w:rsid w:val="1307610A"/>
    <w:rsid w:val="141B1A4D"/>
    <w:rsid w:val="16ED3F1B"/>
    <w:rsid w:val="18670EDC"/>
    <w:rsid w:val="188E69AD"/>
    <w:rsid w:val="1C3F2C8F"/>
    <w:rsid w:val="1E79165D"/>
    <w:rsid w:val="1ED156D8"/>
    <w:rsid w:val="1F4B21C8"/>
    <w:rsid w:val="1F990032"/>
    <w:rsid w:val="20E751B1"/>
    <w:rsid w:val="22A72A4B"/>
    <w:rsid w:val="23375DC5"/>
    <w:rsid w:val="277E18BE"/>
    <w:rsid w:val="27CA3536"/>
    <w:rsid w:val="29487E0E"/>
    <w:rsid w:val="2A3F0027"/>
    <w:rsid w:val="2B215F7E"/>
    <w:rsid w:val="2C101C61"/>
    <w:rsid w:val="2C470C09"/>
    <w:rsid w:val="2EF9340E"/>
    <w:rsid w:val="2FAC4AA0"/>
    <w:rsid w:val="315F5349"/>
    <w:rsid w:val="317B79B7"/>
    <w:rsid w:val="387D2597"/>
    <w:rsid w:val="38AE26B6"/>
    <w:rsid w:val="3A601831"/>
    <w:rsid w:val="3C9733B6"/>
    <w:rsid w:val="3FA13B5E"/>
    <w:rsid w:val="3FE15C8E"/>
    <w:rsid w:val="40A250A6"/>
    <w:rsid w:val="44E514C4"/>
    <w:rsid w:val="48B97656"/>
    <w:rsid w:val="48C609E2"/>
    <w:rsid w:val="48EC22BB"/>
    <w:rsid w:val="49385353"/>
    <w:rsid w:val="497037D6"/>
    <w:rsid w:val="4A716275"/>
    <w:rsid w:val="4C8378A8"/>
    <w:rsid w:val="4FAF734A"/>
    <w:rsid w:val="4FC30A56"/>
    <w:rsid w:val="56692157"/>
    <w:rsid w:val="589B12BF"/>
    <w:rsid w:val="58DB4DB6"/>
    <w:rsid w:val="592C2CDD"/>
    <w:rsid w:val="595A17E9"/>
    <w:rsid w:val="5BA05763"/>
    <w:rsid w:val="5BB07159"/>
    <w:rsid w:val="5EF60B67"/>
    <w:rsid w:val="61A12B60"/>
    <w:rsid w:val="631E1C33"/>
    <w:rsid w:val="63204CBB"/>
    <w:rsid w:val="633F3AE9"/>
    <w:rsid w:val="65916826"/>
    <w:rsid w:val="65FB6337"/>
    <w:rsid w:val="663369DD"/>
    <w:rsid w:val="66762568"/>
    <w:rsid w:val="694B47BF"/>
    <w:rsid w:val="6C2E1689"/>
    <w:rsid w:val="71974719"/>
    <w:rsid w:val="724C27C2"/>
    <w:rsid w:val="73180B73"/>
    <w:rsid w:val="75A548D2"/>
    <w:rsid w:val="75F02C40"/>
    <w:rsid w:val="75F24CC3"/>
    <w:rsid w:val="765C3C5C"/>
    <w:rsid w:val="77AA4898"/>
    <w:rsid w:val="77E6525A"/>
    <w:rsid w:val="79554E1A"/>
    <w:rsid w:val="7CB85FF0"/>
    <w:rsid w:val="7DD13D24"/>
    <w:rsid w:val="7DE559D9"/>
    <w:rsid w:val="7E5C6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1 Char"/>
    <w:basedOn w:val="6"/>
    <w:link w:val="3"/>
    <w:qFormat/>
    <w:uiPriority w:val="9"/>
    <w:rPr>
      <w:b/>
      <w:bCs/>
      <w:kern w:val="44"/>
      <w:sz w:val="44"/>
      <w:szCs w:val="4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1772</Words>
  <Characters>1877</Characters>
  <Lines>0</Lines>
  <Paragraphs>0</Paragraphs>
  <TotalTime>5</TotalTime>
  <ScaleCrop>false</ScaleCrop>
  <LinksUpToDate>false</LinksUpToDate>
  <CharactersWithSpaces>1881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2023-11-07T02:08:00Z</dcterms:created>
  <dc:creator>Administrator</dc:creator>
  <cp:lastModifiedBy>碧云天</cp:lastModifiedBy>
  <cp:lastPrinted>2024-07-03T07:46:00Z</cp:lastPrinted>
  <dcterms:modified xsi:type="dcterms:W3CDTF">2024-10-23T08:52:54Z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AF340EB9FE5C4CAAA3D6536301E760EB</vt:lpwstr>
  </property>
</Properties>
</file>