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BC311">
      <w:pPr>
        <w:spacing w:line="580" w:lineRule="exact"/>
        <w:contextualSpacing/>
        <w:rPr>
          <w:rFonts w:ascii="仿宋_GB2312" w:hAnsi="宋体"/>
          <w:szCs w:val="32"/>
          <w:lang w:val="zh-CN"/>
        </w:rPr>
      </w:pPr>
      <w:r>
        <w:rPr>
          <w:rFonts w:hint="eastAsia" w:ascii="仿宋_GB2312" w:hAnsi="宋体"/>
          <w:szCs w:val="32"/>
          <w:lang w:val="zh-CN"/>
        </w:rPr>
        <w:t>附件6</w:t>
      </w:r>
    </w:p>
    <w:p w14:paraId="2A02A24A">
      <w:pPr>
        <w:widowControl/>
        <w:spacing w:line="580" w:lineRule="exact"/>
        <w:ind w:firstLine="883" w:firstLineChars="200"/>
        <w:contextualSpacing/>
        <w:jc w:val="center"/>
        <w:rPr>
          <w:rFonts w:ascii="宋体" w:hAnsi="宋体" w:eastAsia="宋体"/>
          <w:b/>
          <w:sz w:val="44"/>
          <w:szCs w:val="44"/>
          <w:shd w:val="clear" w:color="auto" w:fill="FFFFFF"/>
        </w:rPr>
      </w:pPr>
    </w:p>
    <w:p w14:paraId="35340566">
      <w:pPr>
        <w:widowControl/>
        <w:spacing w:line="580" w:lineRule="exact"/>
        <w:contextualSpacing/>
        <w:jc w:val="center"/>
        <w:rPr>
          <w:rFonts w:hint="eastAsia" w:ascii="宋体" w:hAnsi="宋体" w:eastAsia="宋体"/>
          <w:b/>
          <w:sz w:val="44"/>
          <w:szCs w:val="44"/>
          <w:shd w:val="clear" w:color="auto" w:fill="FFFFFF"/>
          <w:lang w:eastAsia="zh-CN"/>
        </w:rPr>
      </w:pPr>
      <w:r>
        <w:rPr>
          <w:rFonts w:hint="eastAsia" w:ascii="宋体" w:hAnsi="宋体" w:eastAsia="宋体"/>
          <w:b/>
          <w:sz w:val="44"/>
          <w:szCs w:val="44"/>
          <w:shd w:val="clear" w:color="auto" w:fill="FFFFFF"/>
        </w:rPr>
        <w:t>20</w:t>
      </w:r>
      <w:r>
        <w:rPr>
          <w:rFonts w:hint="eastAsia" w:ascii="宋体" w:hAnsi="宋体" w:eastAsia="宋体"/>
          <w:b/>
          <w:sz w:val="44"/>
          <w:szCs w:val="44"/>
          <w:shd w:val="clear" w:color="auto" w:fill="FFFFFF"/>
          <w:lang w:val="en-US" w:eastAsia="zh-CN"/>
        </w:rPr>
        <w:t>23</w:t>
      </w:r>
      <w:r>
        <w:rPr>
          <w:rFonts w:hint="eastAsia" w:ascii="宋体" w:hAnsi="宋体" w:eastAsia="宋体"/>
          <w:b/>
          <w:sz w:val="44"/>
          <w:szCs w:val="44"/>
          <w:shd w:val="clear" w:color="auto" w:fill="FFFFFF"/>
        </w:rPr>
        <w:t>年度</w:t>
      </w:r>
      <w:r>
        <w:rPr>
          <w:rFonts w:hint="eastAsia" w:ascii="宋体" w:hAnsi="宋体" w:eastAsia="宋体"/>
          <w:b/>
          <w:sz w:val="44"/>
          <w:szCs w:val="44"/>
          <w:shd w:val="clear" w:color="auto" w:fill="FFFFFF"/>
          <w:lang w:eastAsia="zh-CN"/>
        </w:rPr>
        <w:t>峨边彝族自治县信访局</w:t>
      </w:r>
    </w:p>
    <w:p w14:paraId="3DFE6D89">
      <w:pPr>
        <w:widowControl/>
        <w:spacing w:line="580" w:lineRule="exact"/>
        <w:contextualSpacing/>
        <w:jc w:val="center"/>
        <w:rPr>
          <w:rFonts w:ascii="宋体" w:hAnsi="宋体" w:eastAsia="宋体"/>
          <w:b/>
          <w:sz w:val="44"/>
          <w:szCs w:val="44"/>
          <w:shd w:val="clear" w:color="auto" w:fill="FFFFFF"/>
        </w:rPr>
      </w:pPr>
      <w:r>
        <w:rPr>
          <w:rFonts w:hint="eastAsia" w:ascii="宋体" w:hAnsi="宋体" w:eastAsia="宋体"/>
          <w:b/>
          <w:sz w:val="44"/>
          <w:szCs w:val="44"/>
          <w:shd w:val="clear" w:color="auto" w:fill="FFFFFF"/>
        </w:rPr>
        <w:t>整体支出绩效评价报告</w:t>
      </w:r>
    </w:p>
    <w:p w14:paraId="413D1557">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14:paraId="7385E683">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部门（单位）概况</w:t>
      </w:r>
    </w:p>
    <w:p w14:paraId="52852DA6">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（一）机构组成。</w:t>
      </w:r>
    </w:p>
    <w:p w14:paraId="4893A521">
      <w:pPr>
        <w:widowControl/>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zh-CN"/>
        </w:rPr>
        <w:t>峨边彝族自治县</w:t>
      </w:r>
      <w:r>
        <w:rPr>
          <w:rFonts w:hint="eastAsia" w:ascii="仿宋_GB2312" w:hAnsi="宋体" w:cs="宋体"/>
          <w:color w:val="000000"/>
          <w:kern w:val="0"/>
          <w:szCs w:val="32"/>
          <w:shd w:val="clear" w:color="auto" w:fill="FFFFFF"/>
          <w:lang w:val="zh-CN" w:eastAsia="zh-CN"/>
        </w:rPr>
        <w:t>信访</w:t>
      </w:r>
      <w:r>
        <w:rPr>
          <w:rFonts w:hint="eastAsia" w:ascii="仿宋_GB2312" w:hAnsi="宋体" w:cs="宋体"/>
          <w:color w:val="000000"/>
          <w:kern w:val="0"/>
          <w:szCs w:val="32"/>
          <w:shd w:val="clear" w:color="auto" w:fill="FFFFFF"/>
          <w:lang w:val="zh-CN"/>
        </w:rPr>
        <w:t>局（</w:t>
      </w:r>
      <w:r>
        <w:rPr>
          <w:rFonts w:hint="eastAsia" w:ascii="仿宋_GB2312" w:hAnsi="宋体" w:cs="宋体"/>
          <w:color w:val="000000"/>
          <w:kern w:val="0"/>
          <w:szCs w:val="32"/>
          <w:shd w:val="clear" w:color="auto" w:fill="FFFFFF"/>
          <w:lang w:val="en-US" w:eastAsia="zh-CN"/>
        </w:rPr>
        <w:t>简称县信访局）为行政机关，一级预算正科级单位。单位设局长1名，副局长2名，中层干部4名，行政编制7个；内设办公室、接访室、督办股、网络投诉股；下属事业单位：峨边彝族自治县群众工作中心（包含心连心服务热线），事业编制8个。</w:t>
      </w:r>
    </w:p>
    <w:p w14:paraId="6CC3EFC8">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（二）机构职能。</w:t>
      </w:r>
    </w:p>
    <w:p w14:paraId="75FB314D">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峨边彝族自治县</w:t>
      </w:r>
      <w:r>
        <w:rPr>
          <w:rFonts w:hint="eastAsia" w:ascii="仿宋_GB2312" w:hAnsi="宋体" w:cs="宋体"/>
          <w:color w:val="000000"/>
          <w:kern w:val="0"/>
          <w:szCs w:val="32"/>
          <w:shd w:val="clear" w:color="auto" w:fill="FFFFFF"/>
          <w:lang w:val="zh-CN" w:eastAsia="zh-CN"/>
        </w:rPr>
        <w:t>信访</w:t>
      </w:r>
      <w:r>
        <w:rPr>
          <w:rFonts w:hint="eastAsia" w:ascii="仿宋_GB2312" w:hAnsi="宋体" w:cs="宋体"/>
          <w:color w:val="000000"/>
          <w:kern w:val="0"/>
          <w:szCs w:val="32"/>
          <w:shd w:val="clear" w:color="auto" w:fill="FFFFFF"/>
          <w:lang w:val="zh-CN"/>
        </w:rPr>
        <w:t>局</w:t>
      </w:r>
      <w:r>
        <w:rPr>
          <w:rFonts w:hint="eastAsia" w:ascii="仿宋_GB2312" w:hAnsi="宋体" w:cs="宋体"/>
          <w:color w:val="000000"/>
          <w:kern w:val="0"/>
          <w:szCs w:val="32"/>
          <w:shd w:val="clear" w:color="auto" w:fill="FFFFFF"/>
          <w:lang w:val="zh-CN" w:eastAsia="zh-CN"/>
        </w:rPr>
        <w:t>（以下简称县信访局）职能简介：</w:t>
      </w:r>
      <w:r>
        <w:rPr>
          <w:rFonts w:hint="eastAsia" w:ascii="仿宋_GB2312" w:hAnsi="宋体" w:cs="宋体"/>
          <w:color w:val="000000"/>
          <w:kern w:val="0"/>
          <w:szCs w:val="32"/>
          <w:shd w:val="clear" w:color="auto" w:fill="FFFFFF"/>
          <w:lang w:val="zh-CN"/>
        </w:rPr>
        <w:t>根据</w:t>
      </w:r>
      <w:r>
        <w:rPr>
          <w:rFonts w:hint="eastAsia" w:ascii="仿宋_GB2312" w:hAnsi="宋体" w:cs="宋体"/>
          <w:color w:val="000000"/>
          <w:kern w:val="0"/>
          <w:szCs w:val="32"/>
          <w:shd w:val="clear" w:color="auto" w:fill="FFFFFF"/>
          <w:lang w:val="zh-CN" w:eastAsia="zh-CN"/>
        </w:rPr>
        <w:t>峨委办〔2019〕38号</w:t>
      </w:r>
      <w:r>
        <w:rPr>
          <w:rFonts w:hint="eastAsia" w:ascii="仿宋_GB2312" w:hAnsi="宋体" w:cs="宋体"/>
          <w:color w:val="000000"/>
          <w:kern w:val="0"/>
          <w:szCs w:val="32"/>
          <w:shd w:val="clear" w:color="auto" w:fill="FFFFFF"/>
          <w:lang w:val="en-US" w:eastAsia="zh-CN"/>
        </w:rPr>
        <w:t>文件</w:t>
      </w:r>
      <w:r>
        <w:rPr>
          <w:rFonts w:hint="eastAsia" w:ascii="仿宋_GB2312" w:hAnsi="宋体" w:cs="宋体"/>
          <w:color w:val="000000"/>
          <w:kern w:val="0"/>
          <w:szCs w:val="32"/>
          <w:shd w:val="clear" w:color="auto" w:fill="FFFFFF"/>
          <w:lang w:val="zh-CN"/>
        </w:rPr>
        <w:t>批</w:t>
      </w:r>
      <w:r>
        <w:rPr>
          <w:rFonts w:hint="eastAsia" w:ascii="仿宋_GB2312" w:hAnsi="宋体" w:cs="宋体"/>
          <w:color w:val="000000"/>
          <w:kern w:val="0"/>
          <w:szCs w:val="32"/>
          <w:shd w:val="clear" w:color="auto" w:fill="FFFFFF"/>
          <w:lang w:val="zh-CN" w:eastAsia="zh-CN"/>
        </w:rPr>
        <w:t>复</w:t>
      </w:r>
      <w:r>
        <w:rPr>
          <w:rFonts w:hint="eastAsia" w:ascii="仿宋_GB2312" w:hAnsi="宋体" w:cs="宋体"/>
          <w:color w:val="000000"/>
          <w:kern w:val="0"/>
          <w:szCs w:val="32"/>
          <w:shd w:val="clear" w:color="auto" w:fill="FFFFFF"/>
          <w:lang w:val="zh-CN"/>
        </w:rPr>
        <w:t>的三定方案，我单位的主要职责是：</w:t>
      </w:r>
    </w:p>
    <w:p w14:paraId="701B268E">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 xml:space="preserve">（一）负责处理县内外群众给县委、县政府的来信，接待群众来访，以及网上信访事项，保证信访渠道畅通；及时、准确地向县委、县政府领导反映来信来访中提出的重要建议、意见和问题；综合分析信访信息，开展调查研究，提出制定有关政策的建议。 </w:t>
      </w:r>
    </w:p>
    <w:p w14:paraId="2211C6C0">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 xml:space="preserve">（二）承办上级和本级人民政府交办的信访事项，督促检查领导同志有关信访批示的落实情况；向各乡镇各部门交办信访事项，督促检查重要信访事项的处理和落实。 </w:t>
      </w:r>
    </w:p>
    <w:p w14:paraId="1CB399A6">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 xml:space="preserve">（三）协调处理跨乡镇和县级部门的重要信访问题；协调处理群众集体到县委、县政府的上访和异常、突发信访事件；检查、指导、协调县级各部门信访工作和各乡镇党政机关的信访工作。 </w:t>
      </w:r>
    </w:p>
    <w:p w14:paraId="79C5931B">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 xml:space="preserve">（四）研究、分析信访情况，开展调查研究，总结推广各乡镇各部门信访工作的经验，提出改进和加强信访工作的意见和建议；通报重大信访问题和信访事件。 </w:t>
      </w:r>
    </w:p>
    <w:p w14:paraId="611524E6">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 xml:space="preserve">（五）了解并掌握全县信访工作队伍建设情况，组织信访干部的培训；指导全县信访工作机构办公自动化建设。 </w:t>
      </w:r>
    </w:p>
    <w:p w14:paraId="5A61C7A2">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 xml:space="preserve">（六）负责信访工作的宣传和信息发布；协调信访工作对外交流和联络。 </w:t>
      </w:r>
    </w:p>
    <w:p w14:paraId="52E53B97">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 xml:space="preserve">（七）承办县政府信访复查委员会办公室工作。 </w:t>
      </w:r>
    </w:p>
    <w:p w14:paraId="5EA9E54B">
      <w:pPr>
        <w:widowControl/>
        <w:adjustRightInd w:val="0"/>
        <w:snapToGrid w:val="0"/>
        <w:spacing w:line="580" w:lineRule="exact"/>
        <w:ind w:firstLine="640" w:firstLineChars="200"/>
        <w:contextualSpacing/>
        <w:jc w:val="left"/>
        <w:rPr>
          <w:rFonts w:hint="eastAsia" w:ascii="仿宋" w:hAnsi="仿宋" w:eastAsia="仿宋"/>
          <w:sz w:val="32"/>
          <w:szCs w:val="32"/>
        </w:rPr>
      </w:pPr>
      <w:r>
        <w:rPr>
          <w:rFonts w:hint="eastAsia" w:ascii="仿宋_GB2312" w:hAnsi="宋体" w:cs="宋体"/>
          <w:color w:val="000000"/>
          <w:kern w:val="0"/>
          <w:szCs w:val="32"/>
          <w:shd w:val="clear" w:color="auto" w:fill="FFFFFF"/>
          <w:lang w:val="zh-CN"/>
        </w:rPr>
        <w:t>（八）承担县委、县政府交办的其他事项</w:t>
      </w:r>
      <w:r>
        <w:rPr>
          <w:rFonts w:hint="eastAsia" w:ascii="仿宋" w:hAnsi="仿宋" w:eastAsia="仿宋"/>
          <w:sz w:val="32"/>
          <w:szCs w:val="32"/>
        </w:rPr>
        <w:t>。</w:t>
      </w:r>
    </w:p>
    <w:p w14:paraId="53C7D213">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（三）人员概况。</w:t>
      </w:r>
    </w:p>
    <w:p w14:paraId="772C4A09">
      <w:pPr>
        <w:widowControl/>
        <w:adjustRightInd w:val="0"/>
        <w:snapToGrid w:val="0"/>
        <w:spacing w:line="580" w:lineRule="exact"/>
        <w:ind w:firstLine="640" w:firstLineChars="200"/>
        <w:contextualSpacing/>
        <w:jc w:val="left"/>
        <w:rPr>
          <w:rFonts w:hint="default"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zh-CN"/>
        </w:rPr>
        <w:t>县信访局经机构编制委员会批准行政编制</w:t>
      </w:r>
      <w:r>
        <w:rPr>
          <w:rFonts w:hint="eastAsia" w:ascii="仿宋_GB2312" w:hAnsi="宋体" w:cs="宋体"/>
          <w:color w:val="000000"/>
          <w:kern w:val="0"/>
          <w:szCs w:val="32"/>
          <w:shd w:val="clear" w:color="auto" w:fill="FFFFFF"/>
          <w:lang w:val="en-US" w:eastAsia="zh-CN"/>
        </w:rPr>
        <w:t>7人，实有人员4人；事业编制8人，实有人员7人；编外聘用人员9人（驾驶员1人，保洁员2人，热线接线员6人）。</w:t>
      </w:r>
    </w:p>
    <w:p w14:paraId="7A713DE7">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二、部门财政资金收支情况</w:t>
      </w:r>
    </w:p>
    <w:p w14:paraId="5AE9B9CF">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（一）部门财政资金收入情况。</w:t>
      </w:r>
    </w:p>
    <w:p w14:paraId="4B5A6DF8">
      <w:pPr>
        <w:widowControl/>
        <w:adjustRightInd w:val="0"/>
        <w:snapToGrid w:val="0"/>
        <w:spacing w:line="580" w:lineRule="exact"/>
        <w:ind w:firstLine="640" w:firstLineChars="200"/>
        <w:contextualSpacing/>
        <w:jc w:val="left"/>
        <w:rPr>
          <w:rFonts w:hint="default"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2023年县信访局财政资金收入是305.97万元，财政拨款占100%。基本支出收入为271.46万元，项目资金收入为34.51万元。</w:t>
      </w:r>
    </w:p>
    <w:p w14:paraId="1C7E3579">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（二）部门财政资金支出情况。</w:t>
      </w:r>
    </w:p>
    <w:p w14:paraId="6A6F0781">
      <w:pPr>
        <w:widowControl/>
        <w:numPr>
          <w:ilvl w:val="0"/>
          <w:numId w:val="0"/>
        </w:numPr>
        <w:adjustRightInd w:val="0"/>
        <w:snapToGrid w:val="0"/>
        <w:spacing w:line="580" w:lineRule="exact"/>
        <w:contextualSpacing/>
        <w:jc w:val="left"/>
        <w:rPr>
          <w:rFonts w:hint="default"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2023年县信访局财政资金共支出：308.97万元，财政拨款占100%。其中：基本支出为271.46万元，项目支出为34.51万元。</w:t>
      </w:r>
    </w:p>
    <w:p w14:paraId="6AF71F82">
      <w:pPr>
        <w:widowControl/>
        <w:numPr>
          <w:ilvl w:val="0"/>
          <w:numId w:val="0"/>
        </w:numPr>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三、部门整体预算绩效管理情况</w:t>
      </w:r>
    </w:p>
    <w:p w14:paraId="0B76FB73">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（一）部门预算管理。</w:t>
      </w:r>
    </w:p>
    <w:p w14:paraId="73EEC9EE">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县信访局单位性质属于综合协调部门，2023年县信访局根据历年单位工作需要以及人员经费进行了资金预算，并对除人员基本经费以外的资金依照其使用作用进行细化编制。制定保运转的行政指标体系专项预算管理项目3个，确保2023年度全局工作顺利开展和完成。</w:t>
      </w:r>
    </w:p>
    <w:p w14:paraId="677E25DF">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基本支出为271.46万元，主要是用于单位职工的工资薪金及各项保险缴费、福利和日常工作时的接待、办公支出，保障单位基本运转。</w:t>
      </w:r>
    </w:p>
    <w:p w14:paraId="1227A091">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（二）专项预算管理</w:t>
      </w:r>
    </w:p>
    <w:p w14:paraId="4964B8F1">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bookmarkStart w:id="0" w:name="_GoBack"/>
      <w:bookmarkEnd w:id="0"/>
      <w:r>
        <w:rPr>
          <w:rFonts w:hint="eastAsia" w:ascii="仿宋_GB2312" w:hAnsi="宋体" w:cs="宋体"/>
          <w:color w:val="000000"/>
          <w:kern w:val="0"/>
          <w:szCs w:val="32"/>
          <w:shd w:val="clear" w:color="auto" w:fill="FFFFFF"/>
          <w:lang w:val="en-US" w:eastAsia="zh-CN"/>
        </w:rPr>
        <w:t>县信访局2023年项目支出为34.51万元，（含1个年初预算项目，2个为牵头单位预算拨付项目经费支出），本单位专项预算管理项目为3个。</w:t>
      </w:r>
    </w:p>
    <w:p w14:paraId="6EA83D11">
      <w:pPr>
        <w:widowControl/>
        <w:numPr>
          <w:ilvl w:val="0"/>
          <w:numId w:val="0"/>
        </w:numPr>
        <w:adjustRightInd w:val="0"/>
        <w:snapToGrid w:val="0"/>
        <w:spacing w:line="580" w:lineRule="exact"/>
        <w:ind w:firstLine="640" w:firstLineChars="200"/>
        <w:contextualSpacing/>
        <w:jc w:val="left"/>
        <w:rPr>
          <w:rFonts w:hint="eastAsia" w:ascii="Calibri" w:hAnsi="Calibri" w:cs="Calibri"/>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zh-CN" w:eastAsia="zh-CN"/>
        </w:rPr>
        <w:t>①</w:t>
      </w:r>
      <w:r>
        <w:rPr>
          <w:rFonts w:hint="eastAsia" w:ascii="Calibri" w:hAnsi="Calibri" w:cs="Calibri"/>
          <w:color w:val="000000"/>
          <w:kern w:val="0"/>
          <w:szCs w:val="32"/>
          <w:shd w:val="clear" w:color="auto" w:fill="FFFFFF"/>
          <w:lang w:val="zh-CN" w:eastAsia="zh-CN"/>
        </w:rPr>
        <w:t>心连心热线服务平台维护和通信费</w:t>
      </w:r>
      <w:r>
        <w:rPr>
          <w:rFonts w:hint="eastAsia" w:ascii="仿宋_GB2312" w:hAnsi="仿宋_GB2312" w:eastAsia="仿宋_GB2312" w:cs="仿宋_GB2312"/>
          <w:color w:val="000000"/>
          <w:kern w:val="0"/>
          <w:szCs w:val="32"/>
          <w:shd w:val="clear" w:color="auto" w:fill="FFFFFF"/>
          <w:lang w:val="zh-CN" w:eastAsia="zh-CN"/>
        </w:rPr>
        <w:t>：</w:t>
      </w:r>
      <w:r>
        <w:rPr>
          <w:rFonts w:hint="eastAsia" w:ascii="仿宋_GB2312" w:hAnsi="仿宋_GB2312" w:eastAsia="仿宋_GB2312" w:cs="仿宋_GB2312"/>
          <w:color w:val="000000"/>
          <w:kern w:val="0"/>
          <w:szCs w:val="32"/>
          <w:shd w:val="clear" w:color="auto" w:fill="FFFFFF"/>
          <w:lang w:val="en-US" w:eastAsia="zh-CN"/>
        </w:rPr>
        <w:t>20</w:t>
      </w:r>
      <w:r>
        <w:rPr>
          <w:rFonts w:hint="eastAsia" w:ascii="仿宋_GB2312" w:hAnsi="仿宋_GB2312" w:cs="仿宋_GB2312"/>
          <w:color w:val="000000"/>
          <w:kern w:val="0"/>
          <w:szCs w:val="32"/>
          <w:shd w:val="clear" w:color="auto" w:fill="FFFFFF"/>
          <w:lang w:val="en-US" w:eastAsia="zh-CN"/>
        </w:rPr>
        <w:t>23</w:t>
      </w:r>
      <w:r>
        <w:rPr>
          <w:rFonts w:hint="eastAsia" w:ascii="Calibri" w:hAnsi="Calibri" w:cs="Calibri"/>
          <w:color w:val="000000"/>
          <w:kern w:val="0"/>
          <w:szCs w:val="32"/>
          <w:shd w:val="clear" w:color="auto" w:fill="FFFFFF"/>
          <w:lang w:val="en-US" w:eastAsia="zh-CN"/>
        </w:rPr>
        <w:t>年</w:t>
      </w:r>
      <w:r>
        <w:rPr>
          <w:rFonts w:hint="eastAsia" w:ascii="Calibri" w:hAnsi="Calibri" w:cs="Calibri"/>
          <w:color w:val="000000"/>
          <w:kern w:val="0"/>
          <w:szCs w:val="32"/>
          <w:shd w:val="clear" w:color="auto" w:fill="FFFFFF"/>
          <w:lang w:val="zh-CN" w:eastAsia="zh-CN"/>
        </w:rPr>
        <w:t>心连心热线服务平台维护和通信费支出</w:t>
      </w:r>
      <w:r>
        <w:rPr>
          <w:rFonts w:hint="eastAsia" w:ascii="Calibri" w:hAnsi="Calibri" w:cs="Calibri"/>
          <w:color w:val="000000"/>
          <w:kern w:val="0"/>
          <w:szCs w:val="32"/>
          <w:shd w:val="clear" w:color="auto" w:fill="FFFFFF"/>
          <w:lang w:val="en-US" w:eastAsia="zh-CN"/>
        </w:rPr>
        <w:t>0.89万元，该项目主要是保障全年心连心服务热线平台的运行维护和通信，切实帮助群众排忧解难。2023年受理心连心热线4216件，并进行转交办，受理率、办结率、回复率均为100%， 获得表扬件6件，完成45期周报编发，上报市局经典案例46篇，在市委、市政府，峨边门户网发布热线信息309件，乡镇和部门参与心连心直播现场连线22场。2023年度被市政府评为乐山市人民群众最满意区县，有力维护群众权益，提升群众满意度。</w:t>
      </w:r>
    </w:p>
    <w:p w14:paraId="362139F5">
      <w:pPr>
        <w:widowControl/>
        <w:numPr>
          <w:ilvl w:val="0"/>
          <w:numId w:val="0"/>
        </w:numPr>
        <w:adjustRightInd w:val="0"/>
        <w:snapToGrid w:val="0"/>
        <w:spacing w:line="580" w:lineRule="exact"/>
        <w:ind w:firstLine="640" w:firstLineChars="200"/>
        <w:contextualSpacing/>
        <w:jc w:val="left"/>
        <w:rPr>
          <w:rFonts w:hint="default" w:ascii="仿宋_GB2312" w:hAnsi="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zh-CN" w:eastAsia="zh-CN"/>
        </w:rPr>
        <w:t>②</w:t>
      </w:r>
      <w:r>
        <w:rPr>
          <w:rFonts w:hint="eastAsia" w:ascii="仿宋_GB2312" w:hAnsi="仿宋_GB2312" w:cs="仿宋_GB2312"/>
          <w:color w:val="000000"/>
          <w:kern w:val="0"/>
          <w:szCs w:val="32"/>
          <w:shd w:val="clear" w:color="auto" w:fill="FFFFFF"/>
          <w:lang w:val="zh-CN" w:eastAsia="zh-CN"/>
        </w:rPr>
        <w:t>阳光信访、领导视频接访网络服务费：</w:t>
      </w:r>
      <w:r>
        <w:rPr>
          <w:rFonts w:hint="eastAsia" w:ascii="仿宋_GB2312" w:hAnsi="仿宋_GB2312" w:cs="仿宋_GB2312"/>
          <w:color w:val="000000"/>
          <w:kern w:val="0"/>
          <w:szCs w:val="32"/>
          <w:shd w:val="clear" w:color="auto" w:fill="FFFFFF"/>
          <w:lang w:val="en-US" w:eastAsia="zh-CN"/>
        </w:rPr>
        <w:t>2023年</w:t>
      </w:r>
      <w:r>
        <w:rPr>
          <w:rFonts w:hint="eastAsia" w:ascii="仿宋_GB2312" w:hAnsi="仿宋_GB2312" w:cs="仿宋_GB2312"/>
          <w:color w:val="000000"/>
          <w:kern w:val="0"/>
          <w:szCs w:val="32"/>
          <w:shd w:val="clear" w:color="auto" w:fill="FFFFFF"/>
          <w:lang w:val="zh-CN" w:eastAsia="zh-CN"/>
        </w:rPr>
        <w:t>阳光信访、领导视频接访网络服务费支出</w:t>
      </w:r>
      <w:r>
        <w:rPr>
          <w:rFonts w:hint="eastAsia" w:ascii="仿宋_GB2312" w:hAnsi="仿宋_GB2312" w:cs="仿宋_GB2312"/>
          <w:color w:val="000000"/>
          <w:kern w:val="0"/>
          <w:szCs w:val="32"/>
          <w:shd w:val="clear" w:color="auto" w:fill="FFFFFF"/>
          <w:lang w:val="en-US" w:eastAsia="zh-CN"/>
        </w:rPr>
        <w:t>1.62万元，该项目主要是全年保障网上投诉平台的正常运行，畅通信访渠道。完成278人次的县领导视频接访，参加召开全国省市2023年的各类信访工作会6次、业务培训会10次，传达国家信访政策3次，受理群众网上来信63件，受理率、办结率为100%，满意率为98%。为2023年的信访工作提供了有力保证。</w:t>
      </w:r>
    </w:p>
    <w:p w14:paraId="4F717B7D">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_GB2312" w:hAnsi="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zh-CN" w:eastAsia="zh-CN"/>
        </w:rPr>
        <w:t>③</w:t>
      </w:r>
      <w:r>
        <w:rPr>
          <w:rFonts w:hint="eastAsia" w:ascii="Calibri" w:hAnsi="Calibri" w:cs="Calibri"/>
          <w:color w:val="000000"/>
          <w:kern w:val="0"/>
          <w:szCs w:val="32"/>
          <w:shd w:val="clear" w:color="auto" w:fill="FFFFFF"/>
          <w:lang w:val="zh-CN" w:eastAsia="zh-CN"/>
        </w:rPr>
        <w:t>信访稳定经费：</w:t>
      </w:r>
      <w:r>
        <w:rPr>
          <w:rFonts w:hint="eastAsia" w:ascii="仿宋_GB2312" w:hAnsi="仿宋_GB2312" w:eastAsia="仿宋_GB2312" w:cs="仿宋_GB2312"/>
          <w:color w:val="000000"/>
          <w:kern w:val="0"/>
          <w:szCs w:val="32"/>
          <w:shd w:val="clear" w:color="auto" w:fill="FFFFFF"/>
          <w:lang w:val="en-US" w:eastAsia="zh-CN"/>
        </w:rPr>
        <w:t>20</w:t>
      </w:r>
      <w:r>
        <w:rPr>
          <w:rFonts w:hint="eastAsia" w:ascii="仿宋_GB2312" w:hAnsi="仿宋_GB2312" w:cs="仿宋_GB2312"/>
          <w:color w:val="000000"/>
          <w:kern w:val="0"/>
          <w:szCs w:val="32"/>
          <w:shd w:val="clear" w:color="auto" w:fill="FFFFFF"/>
          <w:lang w:val="en-US" w:eastAsia="zh-CN"/>
        </w:rPr>
        <w:t>23</w:t>
      </w:r>
      <w:r>
        <w:rPr>
          <w:rFonts w:hint="eastAsia" w:ascii="Calibri" w:hAnsi="Calibri" w:cs="Calibri"/>
          <w:color w:val="000000"/>
          <w:kern w:val="0"/>
          <w:szCs w:val="32"/>
          <w:shd w:val="clear" w:color="auto" w:fill="FFFFFF"/>
          <w:lang w:val="en-US" w:eastAsia="zh-CN"/>
        </w:rPr>
        <w:t>年信访稳定经费支出</w:t>
      </w:r>
      <w:r>
        <w:rPr>
          <w:rFonts w:hint="eastAsia" w:ascii="仿宋_GB2312" w:hAnsi="仿宋_GB2312" w:cs="仿宋_GB2312"/>
          <w:color w:val="000000"/>
          <w:kern w:val="0"/>
          <w:szCs w:val="32"/>
          <w:shd w:val="clear" w:color="auto" w:fill="FFFFFF"/>
          <w:lang w:val="en-US" w:eastAsia="zh-CN"/>
        </w:rPr>
        <w:t>32</w:t>
      </w:r>
      <w:r>
        <w:rPr>
          <w:rFonts w:hint="eastAsia" w:ascii="Calibri" w:hAnsi="Calibri" w:cs="Calibri"/>
          <w:color w:val="000000"/>
          <w:kern w:val="0"/>
          <w:szCs w:val="32"/>
          <w:shd w:val="clear" w:color="auto" w:fill="FFFFFF"/>
          <w:lang w:val="en-US" w:eastAsia="zh-CN"/>
        </w:rPr>
        <w:t>万元，1.</w:t>
      </w:r>
      <w:r>
        <w:rPr>
          <w:rFonts w:hint="eastAsia" w:ascii="仿宋_GB2312" w:hAnsi="仿宋_GB2312" w:cs="仿宋_GB2312"/>
          <w:color w:val="000000"/>
          <w:kern w:val="0"/>
          <w:szCs w:val="32"/>
          <w:shd w:val="clear" w:color="auto" w:fill="FFFFFF"/>
          <w:lang w:val="en-US" w:eastAsia="zh-CN"/>
        </w:rPr>
        <w:t>完成2023年全国及省市县四级召开“两会”期间8次的信访稳定工作。2.全年完成来访群众接待735件次，来信25件次。3.下乡督导、检查169次，带案下访63次。4.化解信访积案6件。5.完成领导接访、下访278次；参加全国、省、市政策、业务培训6次。6.处理突发性、群体性事件42次；参加重要节点、敏感时期、重大活动信访维稳21次。7.完成市信联办派驻到省到京常规性值班工作：驻蓉2个月，驻京5个月协助省信访局开展信访工作。8.完成县委政府交办的38户帮扶任务和常态化城乡环境治理工作及其他交办的临时性工作任务。</w:t>
      </w:r>
    </w:p>
    <w:p w14:paraId="0CEE4D5B">
      <w:pPr>
        <w:widowControl/>
        <w:numPr>
          <w:ilvl w:val="0"/>
          <w:numId w:val="0"/>
        </w:numPr>
        <w:adjustRightInd w:val="0"/>
        <w:snapToGrid w:val="0"/>
        <w:spacing w:line="580" w:lineRule="exact"/>
        <w:ind w:firstLine="640" w:firstLineChars="200"/>
        <w:contextualSpacing/>
        <w:jc w:val="left"/>
        <w:rPr>
          <w:rFonts w:hint="eastAsia" w:ascii="仿宋_GB2312" w:hAnsi="仿宋_GB2312" w:cs="仿宋_GB2312"/>
          <w:color w:val="000000"/>
          <w:kern w:val="0"/>
          <w:szCs w:val="32"/>
          <w:shd w:val="clear" w:color="auto" w:fill="FFFFFF"/>
          <w:lang w:val="en-US" w:eastAsia="zh-CN"/>
        </w:rPr>
      </w:pPr>
      <w:r>
        <w:rPr>
          <w:rFonts w:hint="eastAsia" w:ascii="仿宋_GB2312" w:hAnsi="仿宋_GB2312" w:cs="仿宋_GB2312"/>
          <w:color w:val="000000"/>
          <w:kern w:val="0"/>
          <w:szCs w:val="32"/>
          <w:shd w:val="clear" w:color="auto" w:fill="FFFFFF"/>
          <w:lang w:val="en-US" w:eastAsia="zh-CN"/>
        </w:rPr>
        <w:t>县信访局的各项资金使用按相关规定进行了评价、使用结果在峨边门户网站的县财政重要资金栏进行了公开。</w:t>
      </w:r>
    </w:p>
    <w:p w14:paraId="052EBBD1">
      <w:pPr>
        <w:widowControl/>
        <w:numPr>
          <w:ilvl w:val="0"/>
          <w:numId w:val="0"/>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（三）结果应用情况。</w:t>
      </w:r>
    </w:p>
    <w:p w14:paraId="48A72865">
      <w:pPr>
        <w:widowControl/>
        <w:adjustRightInd w:val="0"/>
        <w:snapToGrid w:val="0"/>
        <w:spacing w:line="580" w:lineRule="exact"/>
        <w:ind w:firstLine="640" w:firstLineChars="200"/>
        <w:contextualSpacing/>
        <w:jc w:val="left"/>
        <w:rPr>
          <w:rFonts w:hint="default" w:ascii="仿宋_GB2312" w:hAnsi="仿宋_GB2312" w:cs="仿宋_GB2312"/>
          <w:color w:val="000000"/>
          <w:kern w:val="0"/>
          <w:szCs w:val="32"/>
          <w:shd w:val="clear" w:color="auto" w:fill="FFFFFF"/>
          <w:lang w:val="en-US" w:eastAsia="zh-CN"/>
        </w:rPr>
      </w:pPr>
      <w:r>
        <w:rPr>
          <w:rFonts w:hint="eastAsia" w:ascii="仿宋_GB2312" w:hAnsi="仿宋_GB2312" w:cs="仿宋_GB2312"/>
          <w:color w:val="000000"/>
          <w:kern w:val="0"/>
          <w:szCs w:val="32"/>
          <w:shd w:val="clear" w:color="auto" w:fill="FFFFFF"/>
          <w:lang w:val="en-US" w:eastAsia="zh-CN"/>
        </w:rPr>
        <w:t>县信访局对2023年各项预算展开分析研究，认为基本支出预算准确合理。项目个数、金额预算准确、经费使用合理，作用成效显著。所有项目的日常管理工作均按照相关管理制度执行，建立了工作有计划、实施有方案、日常有监督的管理机制，工作取得了较好的成效，效能得到了提高、获得了社会公众的好评。</w:t>
      </w:r>
    </w:p>
    <w:p w14:paraId="214444F0">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14:paraId="10E60EAB">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w:t>
      </w:r>
    </w:p>
    <w:p w14:paraId="1989F868">
      <w:pPr>
        <w:widowControl/>
        <w:adjustRightInd w:val="0"/>
        <w:snapToGrid w:val="0"/>
        <w:spacing w:line="580" w:lineRule="exact"/>
        <w:ind w:firstLine="640" w:firstLineChars="200"/>
        <w:contextualSpacing/>
        <w:jc w:val="left"/>
        <w:rPr>
          <w:rFonts w:hint="default"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zh-CN"/>
        </w:rPr>
        <w:t>县信访局</w:t>
      </w:r>
      <w:r>
        <w:rPr>
          <w:rFonts w:hint="eastAsia" w:ascii="仿宋_GB2312" w:hAnsi="宋体" w:cs="宋体"/>
          <w:color w:val="000000"/>
          <w:kern w:val="0"/>
          <w:szCs w:val="32"/>
          <w:shd w:val="clear" w:color="auto" w:fill="FFFFFF"/>
          <w:lang w:val="en-US" w:eastAsia="zh-CN"/>
        </w:rPr>
        <w:t>2023年的各项预算金额准确、科目设置精细、经费使用合理，作用成效显著，充分发挥了信访应有的职责，保障社会和谐，促进社会满意度提升。总分值</w:t>
      </w:r>
      <w:r>
        <w:rPr>
          <w:rFonts w:hint="eastAsia"/>
          <w:lang w:val="en-US" w:eastAsia="zh-CN"/>
        </w:rPr>
        <w:t>100分，自评得分98分。</w:t>
      </w:r>
    </w:p>
    <w:p w14:paraId="2BD38DDC">
      <w:pPr>
        <w:widowControl/>
        <w:numPr>
          <w:ilvl w:val="0"/>
          <w:numId w:val="1"/>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存在问题。</w:t>
      </w:r>
    </w:p>
    <w:p w14:paraId="697D09A0">
      <w:pPr>
        <w:widowControl/>
        <w:numPr>
          <w:ilvl w:val="0"/>
          <w:numId w:val="0"/>
        </w:numPr>
        <w:adjustRightInd w:val="0"/>
        <w:snapToGrid w:val="0"/>
        <w:spacing w:line="580" w:lineRule="exact"/>
        <w:contextualSpacing/>
        <w:jc w:val="left"/>
        <w:rPr>
          <w:rFonts w:hint="default"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经费预算还不够精准，导致经费不够产生中期调整。</w:t>
      </w:r>
    </w:p>
    <w:p w14:paraId="1D3D500B">
      <w:pPr>
        <w:widowControl/>
        <w:numPr>
          <w:ilvl w:val="0"/>
          <w:numId w:val="1"/>
        </w:numPr>
        <w:adjustRightInd w:val="0"/>
        <w:snapToGrid w:val="0"/>
        <w:spacing w:line="580" w:lineRule="exact"/>
        <w:ind w:left="0" w:leftChars="0"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改进建议。</w:t>
      </w:r>
    </w:p>
    <w:p w14:paraId="300FDFB4">
      <w:pPr>
        <w:widowControl/>
        <w:numPr>
          <w:ilvl w:val="0"/>
          <w:numId w:val="0"/>
        </w:numPr>
        <w:adjustRightInd w:val="0"/>
        <w:snapToGrid w:val="0"/>
        <w:spacing w:line="580" w:lineRule="exact"/>
        <w:ind w:left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加大对资金的预算精准度和使用前瞻性预算。</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docPartObj>
        <w:docPartGallery w:val="autotext"/>
      </w:docPartObj>
    </w:sdtPr>
    <w:sdtContent>
      <w:p w14:paraId="7BD74F0C">
        <w:pPr>
          <w:pStyle w:val="6"/>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14:paraId="18B5C530">
    <w:pPr>
      <w:pStyle w:val="6"/>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D2D2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1B73A"/>
    <w:multiLevelType w:val="singleLevel"/>
    <w:tmpl w:val="BB61B73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jFjMDUwODIwZDg4NDczZTI5ZmU1NTQ5YzljMTkifQ=="/>
  </w:docVars>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8561A"/>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0F79"/>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57A35"/>
    <w:rsid w:val="00562165"/>
    <w:rsid w:val="005645BC"/>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2D6F"/>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294D"/>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22C6"/>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114769"/>
    <w:rsid w:val="03DE6C1C"/>
    <w:rsid w:val="03F8520A"/>
    <w:rsid w:val="03FB4BA3"/>
    <w:rsid w:val="04265024"/>
    <w:rsid w:val="05940F15"/>
    <w:rsid w:val="05DE3C30"/>
    <w:rsid w:val="071906B3"/>
    <w:rsid w:val="07C0761E"/>
    <w:rsid w:val="0A430646"/>
    <w:rsid w:val="0A7C78DC"/>
    <w:rsid w:val="0AF009DC"/>
    <w:rsid w:val="0B6B69D1"/>
    <w:rsid w:val="0DBF47EC"/>
    <w:rsid w:val="0DC64933"/>
    <w:rsid w:val="0DE16873"/>
    <w:rsid w:val="0E544CD5"/>
    <w:rsid w:val="0F547E65"/>
    <w:rsid w:val="110A0415"/>
    <w:rsid w:val="126D64A1"/>
    <w:rsid w:val="13204FA4"/>
    <w:rsid w:val="136C3A76"/>
    <w:rsid w:val="13701ED5"/>
    <w:rsid w:val="143F28AB"/>
    <w:rsid w:val="1581497F"/>
    <w:rsid w:val="15A26A59"/>
    <w:rsid w:val="15CF56D4"/>
    <w:rsid w:val="1A156B0E"/>
    <w:rsid w:val="1C9C1E9C"/>
    <w:rsid w:val="1CEE337B"/>
    <w:rsid w:val="1F053140"/>
    <w:rsid w:val="1F062F72"/>
    <w:rsid w:val="1F165253"/>
    <w:rsid w:val="203457BA"/>
    <w:rsid w:val="235F1EAE"/>
    <w:rsid w:val="25335F21"/>
    <w:rsid w:val="263A44B1"/>
    <w:rsid w:val="2640151B"/>
    <w:rsid w:val="2786509D"/>
    <w:rsid w:val="28A659A5"/>
    <w:rsid w:val="29363B2F"/>
    <w:rsid w:val="2B4C076B"/>
    <w:rsid w:val="2BE54132"/>
    <w:rsid w:val="2C550700"/>
    <w:rsid w:val="344B2F18"/>
    <w:rsid w:val="355B6753"/>
    <w:rsid w:val="367B4183"/>
    <w:rsid w:val="36F32D6A"/>
    <w:rsid w:val="38B07D55"/>
    <w:rsid w:val="3C7A5EF9"/>
    <w:rsid w:val="3F654DA9"/>
    <w:rsid w:val="40A124B8"/>
    <w:rsid w:val="40A90CF1"/>
    <w:rsid w:val="40B25687"/>
    <w:rsid w:val="442651B2"/>
    <w:rsid w:val="453C3079"/>
    <w:rsid w:val="46A307FF"/>
    <w:rsid w:val="46B2576C"/>
    <w:rsid w:val="4704113C"/>
    <w:rsid w:val="48F232C2"/>
    <w:rsid w:val="4A0853EB"/>
    <w:rsid w:val="4AE309B1"/>
    <w:rsid w:val="4C01679E"/>
    <w:rsid w:val="4C0A06DA"/>
    <w:rsid w:val="4D9A316B"/>
    <w:rsid w:val="514D7B79"/>
    <w:rsid w:val="51676880"/>
    <w:rsid w:val="52424001"/>
    <w:rsid w:val="527C3ED0"/>
    <w:rsid w:val="52CA6ECF"/>
    <w:rsid w:val="530817FE"/>
    <w:rsid w:val="54970D7E"/>
    <w:rsid w:val="553D0A54"/>
    <w:rsid w:val="560E028A"/>
    <w:rsid w:val="5899332E"/>
    <w:rsid w:val="596D31FA"/>
    <w:rsid w:val="59E20A6C"/>
    <w:rsid w:val="5B895C55"/>
    <w:rsid w:val="5D944333"/>
    <w:rsid w:val="619A40E2"/>
    <w:rsid w:val="62626AA0"/>
    <w:rsid w:val="62AD3905"/>
    <w:rsid w:val="62B76B2F"/>
    <w:rsid w:val="6405476A"/>
    <w:rsid w:val="65046871"/>
    <w:rsid w:val="66C377B5"/>
    <w:rsid w:val="67EE386F"/>
    <w:rsid w:val="682369B0"/>
    <w:rsid w:val="699400F8"/>
    <w:rsid w:val="6BB72E2B"/>
    <w:rsid w:val="6D422E38"/>
    <w:rsid w:val="6E780CFB"/>
    <w:rsid w:val="70025FC9"/>
    <w:rsid w:val="71502A9E"/>
    <w:rsid w:val="720573A1"/>
    <w:rsid w:val="72943129"/>
    <w:rsid w:val="745B3358"/>
    <w:rsid w:val="748C0898"/>
    <w:rsid w:val="777A5DA4"/>
    <w:rsid w:val="77C16757"/>
    <w:rsid w:val="780807B4"/>
    <w:rsid w:val="78FA3CB9"/>
    <w:rsid w:val="79F150F2"/>
    <w:rsid w:val="7A6634C5"/>
    <w:rsid w:val="7CFF15A9"/>
    <w:rsid w:val="7DD1409F"/>
    <w:rsid w:val="7E0439FF"/>
    <w:rsid w:val="7F1D606F"/>
    <w:rsid w:val="7FB678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3">
    <w:name w:val="Document Map"/>
    <w:basedOn w:val="1"/>
    <w:link w:val="14"/>
    <w:qFormat/>
    <w:uiPriority w:val="0"/>
    <w:rPr>
      <w:rFonts w:ascii="宋体" w:eastAsia="宋体"/>
      <w:sz w:val="18"/>
      <w:szCs w:val="18"/>
    </w:rPr>
  </w:style>
  <w:style w:type="paragraph" w:styleId="4">
    <w:name w:val="annotation text"/>
    <w:basedOn w:val="1"/>
    <w:qFormat/>
    <w:uiPriority w:val="0"/>
    <w:pPr>
      <w:jc w:val="left"/>
    </w:pPr>
  </w:style>
  <w:style w:type="paragraph" w:styleId="5">
    <w:name w:val="Balloon Text"/>
    <w:basedOn w:val="1"/>
    <w:semiHidden/>
    <w:qFormat/>
    <w:uiPriority w:val="0"/>
    <w:rPr>
      <w:sz w:val="18"/>
      <w:szCs w:val="18"/>
    </w:rPr>
  </w:style>
  <w:style w:type="paragraph" w:styleId="6">
    <w:name w:val="footer"/>
    <w:basedOn w:val="1"/>
    <w:link w:val="16"/>
    <w:qFormat/>
    <w:uiPriority w:val="99"/>
    <w:pPr>
      <w:tabs>
        <w:tab w:val="center" w:pos="4153"/>
        <w:tab w:val="right" w:pos="8306"/>
      </w:tabs>
      <w:snapToGrid w:val="0"/>
      <w:jc w:val="left"/>
    </w:pPr>
    <w:rPr>
      <w:rFonts w:eastAsia="宋体"/>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paragraph" w:customStyle="1" w:styleId="12">
    <w:name w:val="四号正文"/>
    <w:basedOn w:val="1"/>
    <w:link w:val="13"/>
    <w:qFormat/>
    <w:uiPriority w:val="0"/>
    <w:pPr>
      <w:spacing w:line="360" w:lineRule="auto"/>
    </w:pPr>
    <w:rPr>
      <w:rFonts w:ascii="??" w:hAnsi="??" w:eastAsia="宋体" w:cs="宋体"/>
      <w:color w:val="000000"/>
      <w:kern w:val="0"/>
      <w:sz w:val="28"/>
      <w:szCs w:val="21"/>
    </w:rPr>
  </w:style>
  <w:style w:type="character" w:customStyle="1" w:styleId="13">
    <w:name w:val="四号正文 Char"/>
    <w:basedOn w:val="10"/>
    <w:link w:val="12"/>
    <w:qFormat/>
    <w:uiPriority w:val="0"/>
    <w:rPr>
      <w:rFonts w:ascii="??" w:hAnsi="??" w:eastAsia="宋体" w:cs="宋体"/>
      <w:color w:val="000000"/>
      <w:sz w:val="28"/>
      <w:szCs w:val="21"/>
      <w:lang w:val="en-US" w:eastAsia="zh-CN" w:bidi="ar-SA"/>
    </w:rPr>
  </w:style>
  <w:style w:type="character" w:customStyle="1" w:styleId="14">
    <w:name w:val="文档结构图 Char"/>
    <w:basedOn w:val="10"/>
    <w:link w:val="3"/>
    <w:qFormat/>
    <w:uiPriority w:val="0"/>
    <w:rPr>
      <w:rFonts w:ascii="宋体"/>
      <w:kern w:val="2"/>
      <w:sz w:val="18"/>
      <w:szCs w:val="18"/>
    </w:rPr>
  </w:style>
  <w:style w:type="paragraph" w:customStyle="1" w:styleId="15">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6">
    <w:name w:val="页脚 Char"/>
    <w:basedOn w:val="10"/>
    <w:link w:val="6"/>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PSZX</Company>
  <Pages>5</Pages>
  <Words>2175</Words>
  <Characters>2322</Characters>
  <Lines>1</Lines>
  <Paragraphs>1</Paragraphs>
  <TotalTime>163</TotalTime>
  <ScaleCrop>false</ScaleCrop>
  <LinksUpToDate>false</LinksUpToDate>
  <CharactersWithSpaces>2338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2019-10-29T08:36:00Z</dcterms:created>
  <dc:creator>陈萍</dc:creator>
  <cp:lastModifiedBy>碧云天</cp:lastModifiedBy>
  <cp:lastPrinted>2019-05-23T02:35:00Z</cp:lastPrinted>
  <dcterms:modified xsi:type="dcterms:W3CDTF">2024-10-23T08:51:34Z</dcterms:modified>
  <dc:title>区域性就业培训基地建设项目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C02669262BDB4163AACFAE1C4B5878EF_12</vt:lpwstr>
  </property>
</Properties>
</file>