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ind w:firstLine="2209" w:firstLineChars="500"/>
        <w:contextualSpacing/>
        <w:jc w:val="both"/>
        <w:rPr>
          <w:rFonts w:hint="eastAsia" w:ascii="SimSun" w:eastAsia="SimSun"/>
          <w:b/>
          <w:sz w:val="44"/>
          <w:szCs w:val="44"/>
          <w:shd w:val="clear" w:color="auto" w:fill="FFFFFF"/>
          <w:lang w:eastAsia="zh-CN"/>
        </w:rPr>
      </w:pPr>
      <w:r>
        <w:rPr>
          <w:rFonts w:hint="eastAsia" w:ascii="SimSun"/>
          <w:b/>
          <w:sz w:val="44"/>
          <w:szCs w:val="44"/>
          <w:shd w:val="clear" w:color="auto" w:fill="FFFFFF"/>
          <w:lang w:eastAsia="zh-CN"/>
        </w:rPr>
        <w:t>峨边彝族自治县信访局</w:t>
      </w:r>
    </w:p>
    <w:p>
      <w:pPr>
        <w:widowControl/>
        <w:spacing w:line="580" w:lineRule="exact"/>
        <w:contextualSpacing/>
        <w:jc w:val="center"/>
        <w:rPr>
          <w:rFonts w:ascii="FZXiaoBiaoSong-B05S" w:eastAsia="FZXiaoBiaoSong-B05S"/>
          <w:sz w:val="44"/>
          <w:szCs w:val="44"/>
          <w:shd w:val="clear" w:color="auto" w:fill="FFFFFF"/>
        </w:rPr>
      </w:pPr>
      <w:r>
        <w:rPr>
          <w:rFonts w:hint="eastAsia" w:ascii="FZXiaoBiaoSong-B05S" w:hAnsi="SimSun" w:eastAsia="FZXiaoBiaoSong-B05S"/>
          <w:sz w:val="44"/>
          <w:szCs w:val="44"/>
          <w:shd w:val="clear" w:color="auto" w:fill="FFFFFF"/>
          <w:lang w:val="en-US" w:eastAsia="zh-CN"/>
        </w:rPr>
        <w:t>2022年</w:t>
      </w:r>
      <w:r>
        <w:rPr>
          <w:rFonts w:hint="eastAsia" w:ascii="FZXiaoBiaoSong-B05S" w:hAnsi="SimSun" w:eastAsia="FZXiaoBiaoSong-B05S"/>
          <w:sz w:val="44"/>
          <w:szCs w:val="44"/>
          <w:shd w:val="clear" w:color="auto" w:fill="FFFFFF"/>
        </w:rPr>
        <w:t>部门整体绩效自评报告</w:t>
      </w:r>
    </w:p>
    <w:p>
      <w:pPr>
        <w:widowControl/>
        <w:adjustRightInd w:val="0"/>
        <w:snapToGrid w:val="0"/>
        <w:spacing w:line="580" w:lineRule="exact"/>
        <w:ind w:firstLine="660" w:firstLineChars="200"/>
        <w:contextualSpacing/>
        <w:jc w:val="left"/>
        <w:rPr>
          <w:rFonts w:ascii="方正仿宋_GBK" w:hAnsi="SimSun" w:eastAsia="方正仿宋_GBK" w:cs="SimSun"/>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lang w:val="zh-CN"/>
        </w:rPr>
      </w:pPr>
      <w:r>
        <w:rPr>
          <w:rFonts w:hint="eastAsia" w:ascii="SimHei" w:hAnsi="SimHei" w:eastAsia="SimHei" w:cs="SimSun"/>
          <w:color w:val="000000"/>
          <w:kern w:val="0"/>
          <w:szCs w:val="32"/>
          <w:shd w:val="clear" w:color="auto" w:fill="FFFFFF"/>
        </w:rPr>
        <w:t>一、</w:t>
      </w:r>
      <w:r>
        <w:rPr>
          <w:rFonts w:hint="eastAsia" w:ascii="SimHei" w:hAnsi="SimHei" w:eastAsia="SimHei" w:cs="SimSun"/>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FangSong_GB2312" w:hAnsi="SimSun" w:eastAsia="FangSong_GB2312" w:cs="SimSun"/>
          <w:color w:val="000000"/>
          <w:kern w:val="0"/>
          <w:szCs w:val="32"/>
          <w:shd w:val="clear" w:color="auto" w:fill="FFFFFF"/>
          <w:lang w:val="zh-CN"/>
        </w:rPr>
        <w:t>峨边彝族自治县</w:t>
      </w:r>
      <w:r>
        <w:rPr>
          <w:rFonts w:hint="eastAsia" w:ascii="FangSong_GB2312" w:hAnsi="SimSun" w:eastAsia="FangSong_GB2312" w:cs="SimSun"/>
          <w:color w:val="000000"/>
          <w:kern w:val="0"/>
          <w:szCs w:val="32"/>
          <w:shd w:val="clear" w:color="auto" w:fill="FFFFFF"/>
          <w:lang w:val="zh-CN" w:eastAsia="zh-CN"/>
        </w:rPr>
        <w:t>信访</w:t>
      </w:r>
      <w:r>
        <w:rPr>
          <w:rFonts w:hint="eastAsia" w:ascii="FangSong_GB2312" w:hAnsi="SimSun" w:eastAsia="FangSong_GB2312" w:cs="SimSun"/>
          <w:color w:val="000000"/>
          <w:kern w:val="0"/>
          <w:szCs w:val="32"/>
          <w:shd w:val="clear" w:color="auto" w:fill="FFFFFF"/>
          <w:lang w:val="zh-CN"/>
        </w:rPr>
        <w:t>局（</w:t>
      </w:r>
      <w:r>
        <w:rPr>
          <w:rFonts w:hint="eastAsia" w:ascii="FangSong_GB2312" w:hAnsi="SimSun" w:eastAsia="FangSong_GB2312" w:cs="SimSun"/>
          <w:color w:val="000000"/>
          <w:kern w:val="0"/>
          <w:szCs w:val="32"/>
          <w:shd w:val="clear" w:color="auto" w:fill="FFFFFF"/>
          <w:lang w:val="en-US" w:eastAsia="zh-CN"/>
        </w:rPr>
        <w:t>简称县信访局）为行政机关，一级预算正科级单位。单位设局长1名，副局长2名，中层干部6名，行政编制7个；内设办公室、接访室、督办股、网络投诉股；下属事业单位：峨边彝族自治县群众工作中心（含心连心后热线服务中心），事业编制8个。</w:t>
      </w:r>
    </w:p>
    <w:p>
      <w:pPr>
        <w:widowControl/>
        <w:numPr>
          <w:ilvl w:val="0"/>
          <w:numId w:val="1"/>
        </w:numPr>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机构职能和人员概况。</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KaiTi_GB2312" w:hAnsi="SimSun" w:eastAsia="KaiTi_GB2312" w:cs="SimSun"/>
          <w:color w:val="000000"/>
          <w:kern w:val="0"/>
          <w:szCs w:val="32"/>
          <w:shd w:val="clear" w:color="auto" w:fill="FFFFFF"/>
          <w:lang w:val="en-US" w:eastAsia="zh-CN"/>
        </w:rPr>
        <w:t xml:space="preserve"> 1.机构职能：</w:t>
      </w:r>
      <w:r>
        <w:rPr>
          <w:rFonts w:hint="eastAsia" w:ascii="FangSong_GB2312" w:hAnsi="SimSun" w:eastAsia="FangSong_GB2312" w:cs="SimSun"/>
          <w:color w:val="000000"/>
          <w:kern w:val="0"/>
          <w:szCs w:val="32"/>
          <w:shd w:val="clear" w:color="auto" w:fill="FFFFFF"/>
          <w:lang w:val="zh-CN" w:eastAsia="zh-CN"/>
        </w:rPr>
        <w:t>峨边彝族自治县信访局（以下简称县信访局）职能简介：根据峨委办〔</w:t>
      </w:r>
      <w:r>
        <w:rPr>
          <w:rFonts w:hint="eastAsia" w:ascii="FangSong_GB2312" w:hAnsi="SimSun" w:eastAsia="FangSong_GB2312" w:cs="SimSun"/>
          <w:color w:val="000000"/>
          <w:kern w:val="0"/>
          <w:szCs w:val="32"/>
          <w:shd w:val="clear" w:color="auto" w:fill="FFFFFF"/>
          <w:lang w:val="en-US" w:eastAsia="zh-CN"/>
        </w:rPr>
        <w:t>2019〕38号文件</w:t>
      </w:r>
      <w:r>
        <w:rPr>
          <w:rFonts w:hint="eastAsia" w:ascii="FangSong_GB2312" w:hAnsi="SimSun" w:eastAsia="FangSong_GB2312" w:cs="SimSun"/>
          <w:color w:val="000000"/>
          <w:kern w:val="0"/>
          <w:szCs w:val="32"/>
          <w:shd w:val="clear" w:color="auto" w:fill="FFFFFF"/>
          <w:lang w:val="zh-CN" w:eastAsia="zh-CN"/>
        </w:rPr>
        <w:t>批复的三定方案，我单位的主要职责是：</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Microsoft YaHei" w:hAnsi="Microsoft YaHei" w:eastAsia="Microsoft YaHei" w:cs="Microsoft YaHei"/>
          <w:color w:val="000000"/>
          <w:kern w:val="0"/>
          <w:szCs w:val="32"/>
          <w:shd w:val="clear" w:color="auto" w:fill="FFFFFF"/>
          <w:lang w:val="en-US" w:eastAsia="zh-CN"/>
        </w:rPr>
        <w:t>①</w:t>
      </w:r>
      <w:r>
        <w:rPr>
          <w:rFonts w:hint="eastAsia" w:ascii="FangSong_GB2312" w:hAnsi="SimSun" w:eastAsia="FangSong_GB2312" w:cs="SimSun"/>
          <w:color w:val="000000"/>
          <w:kern w:val="0"/>
          <w:szCs w:val="32"/>
          <w:shd w:val="clear" w:color="auto" w:fill="FFFFFF"/>
          <w:lang w:val="zh-CN" w:eastAsia="zh-CN"/>
        </w:rPr>
        <w:t xml:space="preserve">负责处理县内外群众给县委、县政府的来信，接待群众来访，以及网上信访事项，保证信访渠道畅通；及时、准确地向县委、县政府领导反映来信来访中提出的重要建议、意见和问题；综合分析信访信息，开展调查研究，提出制定有关政策的建议。 </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Microsoft YaHei" w:hAnsi="Microsoft YaHei" w:eastAsia="Microsoft YaHei" w:cs="Microsoft YaHei"/>
          <w:color w:val="000000"/>
          <w:kern w:val="0"/>
          <w:szCs w:val="32"/>
          <w:shd w:val="clear" w:color="auto" w:fill="FFFFFF"/>
          <w:lang w:val="en-US" w:eastAsia="zh-CN"/>
        </w:rPr>
        <w:t>②</w:t>
      </w:r>
      <w:r>
        <w:rPr>
          <w:rFonts w:hint="eastAsia" w:ascii="FangSong_GB2312" w:hAnsi="SimSun" w:eastAsia="FangSong_GB2312" w:cs="SimSun"/>
          <w:color w:val="000000"/>
          <w:kern w:val="0"/>
          <w:szCs w:val="32"/>
          <w:shd w:val="clear" w:color="auto" w:fill="FFFFFF"/>
          <w:lang w:val="zh-CN" w:eastAsia="zh-CN"/>
        </w:rPr>
        <w:t xml:space="preserve">承办上级和本级人民政府交办的信访事项，督促检查领导同志有关信访批示的落实情况；向各乡镇各部门交办信访事项，督促检查重要信访事项的处理和落实。 </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Microsoft YaHei" w:hAnsi="Microsoft YaHei" w:eastAsia="Microsoft YaHei" w:cs="Microsoft YaHei"/>
          <w:color w:val="000000"/>
          <w:kern w:val="0"/>
          <w:szCs w:val="32"/>
          <w:shd w:val="clear" w:color="auto" w:fill="FFFFFF"/>
          <w:lang w:val="en-US" w:eastAsia="zh-CN"/>
        </w:rPr>
        <w:t>③</w:t>
      </w:r>
      <w:r>
        <w:rPr>
          <w:rFonts w:hint="eastAsia" w:ascii="FangSong_GB2312" w:hAnsi="SimSun" w:eastAsia="FangSong_GB2312" w:cs="SimSun"/>
          <w:color w:val="000000"/>
          <w:kern w:val="0"/>
          <w:szCs w:val="32"/>
          <w:shd w:val="clear" w:color="auto" w:fill="FFFFFF"/>
          <w:lang w:val="zh-CN" w:eastAsia="zh-CN"/>
        </w:rPr>
        <w:t>协调处理跨乡镇和县级部门的重要信访问题；协调处理群众集体到县委、县政府的上访和异常、突发信访事件；检查、指导、协调县级各部门信访工作和各乡镇党政机关的信访工作。</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Microsoft YaHei" w:hAnsi="Microsoft YaHei" w:eastAsia="Microsoft YaHei" w:cs="Microsoft YaHei"/>
          <w:color w:val="000000"/>
          <w:kern w:val="0"/>
          <w:szCs w:val="32"/>
          <w:shd w:val="clear" w:color="auto" w:fill="FFFFFF"/>
          <w:lang w:val="en-US" w:eastAsia="zh-CN"/>
        </w:rPr>
        <w:t>④</w:t>
      </w:r>
      <w:r>
        <w:rPr>
          <w:rFonts w:hint="eastAsia" w:ascii="FangSong_GB2312" w:hAnsi="SimSun" w:eastAsia="FangSong_GB2312" w:cs="SimSun"/>
          <w:color w:val="000000"/>
          <w:kern w:val="0"/>
          <w:szCs w:val="32"/>
          <w:shd w:val="clear" w:color="auto" w:fill="FFFFFF"/>
          <w:lang w:val="zh-CN" w:eastAsia="zh-CN"/>
        </w:rPr>
        <w:t xml:space="preserve">研究、分析信访情况，开展调查研究，总结推广各乡镇各部门信访工作的经验，提出改进和加强信访工作的意见和建议；通报重大信访问题和信访事件。 </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Microsoft YaHei" w:hAnsi="Microsoft YaHei" w:eastAsia="Microsoft YaHei" w:cs="Microsoft YaHei"/>
          <w:color w:val="000000"/>
          <w:kern w:val="0"/>
          <w:szCs w:val="32"/>
          <w:shd w:val="clear" w:color="auto" w:fill="FFFFFF"/>
          <w:lang w:val="en-US" w:eastAsia="zh-CN"/>
        </w:rPr>
        <w:t>⑤</w:t>
      </w:r>
      <w:r>
        <w:rPr>
          <w:rFonts w:hint="eastAsia" w:ascii="FangSong_GB2312" w:hAnsi="SimSun" w:eastAsia="FangSong_GB2312" w:cs="SimSun"/>
          <w:color w:val="000000"/>
          <w:kern w:val="0"/>
          <w:szCs w:val="32"/>
          <w:shd w:val="clear" w:color="auto" w:fill="FFFFFF"/>
          <w:lang w:val="zh-CN" w:eastAsia="zh-CN"/>
        </w:rPr>
        <w:t xml:space="preserve">了解并掌握全县信访工作队伍建设情况，组织信访干部的培训；指导全县信访工作机构办公自动化建设。 </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FangSong" w:hAnsi="FangSong" w:eastAsia="FangSong" w:cs="FangSong"/>
          <w:color w:val="000000"/>
          <w:kern w:val="0"/>
          <w:szCs w:val="32"/>
          <w:shd w:val="clear" w:color="auto" w:fill="FFFFFF"/>
          <w:lang w:val="en-US" w:eastAsia="zh-CN"/>
        </w:rPr>
        <w:t>⑥</w:t>
      </w:r>
      <w:r>
        <w:rPr>
          <w:rFonts w:hint="eastAsia" w:ascii="FangSong_GB2312" w:hAnsi="SimSun" w:eastAsia="FangSong_GB2312" w:cs="SimSun"/>
          <w:color w:val="000000"/>
          <w:kern w:val="0"/>
          <w:szCs w:val="32"/>
          <w:shd w:val="clear" w:color="auto" w:fill="FFFFFF"/>
          <w:lang w:val="zh-CN" w:eastAsia="zh-CN"/>
        </w:rPr>
        <w:t xml:space="preserve">负责信访工作的宣传和信息发布；协调信访工作对外交流和联络。 </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zh-CN" w:eastAsia="zh-CN"/>
        </w:rPr>
      </w:pPr>
      <w:r>
        <w:rPr>
          <w:rFonts w:hint="eastAsia" w:ascii="FangSong" w:hAnsi="FangSong" w:eastAsia="FangSong" w:cs="FangSong"/>
          <w:color w:val="000000"/>
          <w:kern w:val="0"/>
          <w:szCs w:val="32"/>
          <w:shd w:val="clear" w:color="auto" w:fill="FFFFFF"/>
          <w:lang w:val="en-US" w:eastAsia="zh-CN"/>
        </w:rPr>
        <w:t>⑦</w:t>
      </w:r>
      <w:r>
        <w:rPr>
          <w:rFonts w:hint="eastAsia" w:ascii="FangSong_GB2312" w:hAnsi="SimSun" w:eastAsia="FangSong_GB2312" w:cs="SimSun"/>
          <w:color w:val="000000"/>
          <w:kern w:val="0"/>
          <w:szCs w:val="32"/>
          <w:shd w:val="clear" w:color="auto" w:fill="FFFFFF"/>
          <w:lang w:val="zh-CN" w:eastAsia="zh-CN"/>
        </w:rPr>
        <w:t xml:space="preserve">承办县政府信访复查委员会办公室工作。 </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 w:hAnsi="FangSong" w:eastAsia="FangSong" w:cs="FangSong"/>
          <w:color w:val="000000"/>
          <w:kern w:val="0"/>
          <w:szCs w:val="32"/>
          <w:shd w:val="clear" w:color="auto" w:fill="FFFFFF"/>
          <w:lang w:val="en-US" w:eastAsia="zh-CN"/>
        </w:rPr>
        <w:t>⑧</w:t>
      </w:r>
      <w:r>
        <w:rPr>
          <w:rFonts w:hint="eastAsia" w:ascii="FangSong_GB2312" w:hAnsi="SimSun" w:eastAsia="FangSong_GB2312" w:cs="SimSun"/>
          <w:color w:val="000000"/>
          <w:kern w:val="0"/>
          <w:szCs w:val="32"/>
          <w:shd w:val="clear" w:color="auto" w:fill="FFFFFF"/>
          <w:lang w:val="zh-CN" w:eastAsia="zh-CN"/>
        </w:rPr>
        <w:t>承担县委、县政府交办的其他事项</w:t>
      </w:r>
      <w:r>
        <w:rPr>
          <w:rFonts w:hint="eastAsia" w:ascii="FangSong_GB2312" w:hAnsi="SimSun" w:eastAsia="FangSong_GB2312" w:cs="SimSun"/>
          <w:color w:val="000000"/>
          <w:kern w:val="0"/>
          <w:szCs w:val="32"/>
          <w:shd w:val="clear" w:color="auto" w:fill="FFFFFF"/>
          <w:lang w:val="en-US" w:eastAsia="zh-CN"/>
        </w:rPr>
        <w:t>。</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KaiTi_GB2312" w:hAnsi="SimSun" w:eastAsia="KaiTi_GB2312" w:cs="SimSun"/>
          <w:color w:val="000000"/>
          <w:kern w:val="0"/>
          <w:szCs w:val="32"/>
          <w:shd w:val="clear" w:color="auto" w:fill="FFFFFF"/>
          <w:lang w:val="en-US" w:eastAsia="zh-CN"/>
        </w:rPr>
        <w:t>2.人员概况：</w:t>
      </w:r>
      <w:r>
        <w:rPr>
          <w:rFonts w:hint="eastAsia" w:ascii="FangSong_GB2312" w:hAnsi="SimSun" w:eastAsia="FangSong_GB2312" w:cs="SimSun"/>
          <w:color w:val="000000"/>
          <w:kern w:val="0"/>
          <w:szCs w:val="32"/>
          <w:shd w:val="clear" w:color="auto" w:fill="FFFFFF"/>
          <w:lang w:val="zh-CN" w:eastAsia="zh-CN"/>
        </w:rPr>
        <w:t>县信访局经机构编制委员会批准行政编制</w:t>
      </w:r>
      <w:r>
        <w:rPr>
          <w:rFonts w:hint="eastAsia" w:ascii="FangSong_GB2312" w:hAnsi="SimSun" w:eastAsia="FangSong_GB2312" w:cs="SimSun"/>
          <w:color w:val="000000"/>
          <w:kern w:val="0"/>
          <w:szCs w:val="32"/>
          <w:shd w:val="clear" w:color="auto" w:fill="FFFFFF"/>
          <w:lang w:val="en-US" w:eastAsia="zh-CN"/>
        </w:rPr>
        <w:t>7人，实有人员4人；事业编制8人，实有人员8人。</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（三）年度主要工作任务。</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FangSong_GB2312" w:hAnsi="FangSong_GB2312" w:eastAsia="FangSong_GB2312" w:cs="FangSong_GB2312"/>
          <w:sz w:val="32"/>
          <w:szCs w:val="32"/>
          <w:lang w:val="en-US" w:eastAsia="zh-CN"/>
        </w:rPr>
        <w:t>深入学习贯彻习近平总书记关于加强和改进人民信访工作及做好网上群众路线工作的重要指示精神。围绕全县“18345”发展方略，以抓好党的二十大召开信访安全保障工作为主线，实现“零到省、零进京”“双零”目标，实现信访事项受理率达100%，办结率达100%，满意率达100%目标。以优异成绩迎接党的二十大胜利召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SimHei" w:hAnsi="SimHei" w:eastAsia="SimHei" w:cs="SimHei"/>
          <w:sz w:val="32"/>
          <w:szCs w:val="32"/>
          <w:lang w:val="en-US" w:eastAsia="zh-CN"/>
        </w:rPr>
      </w:pPr>
      <w:r>
        <w:rPr>
          <w:rFonts w:hint="eastAsia" w:ascii="SimHei" w:hAnsi="SimHei" w:eastAsia="SimHei" w:cs="SimHei"/>
          <w:sz w:val="32"/>
          <w:szCs w:val="32"/>
          <w:lang w:val="en-US" w:eastAsia="zh-CN"/>
        </w:rPr>
        <w:t>1、全面贯彻落实习近平总书记关于信访工作的重要指示精神</w:t>
      </w:r>
      <w:r>
        <w:rPr>
          <w:rFonts w:hint="eastAsia" w:ascii="FangSong_GB2312" w:hAnsi="FangSong_GB2312" w:eastAsia="FangSong_GB2312" w:cs="FangSong_GB2312"/>
          <w:sz w:val="32"/>
          <w:szCs w:val="32"/>
          <w:lang w:val="en-US" w:eastAsia="zh-CN"/>
        </w:rPr>
        <w:t>。提高政治站位，增强“四个意识”、坚定“四个自信”、做到“两个维护”，加强对习近平总书记关于加强和改进人民信访工作及做好网上群众路线工作的研究学习，切实做到学懂弄通做实。准确把握信访工作在统筹发展和安全中的重要地位和作用，提升政治判断力、政治领悟力、政治执行力，牢记“为民解难、为党分忧”的政治责任使命，不断提升科学把握形势变化、有力解决矛盾问题、有效抵御风险挑战的能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2、切实抓好“三率”各项工作。</w:t>
      </w:r>
      <w:r>
        <w:rPr>
          <w:rFonts w:hint="eastAsia" w:ascii="FangSong_GB2312" w:hAnsi="FangSong_GB2312" w:eastAsia="FangSong_GB2312" w:cs="FangSong_GB2312"/>
          <w:sz w:val="32"/>
          <w:szCs w:val="32"/>
          <w:lang w:val="en-US" w:eastAsia="zh-CN"/>
        </w:rPr>
        <w:t>热情接待来访群众，依法及时登记录入和转交办，做好网上群众路线工作，严把省委书记信箱、市委书记信箱等网络投诉信访事项办理。强化信访事项督查督办，督促指导责任单位办件质量，重大信访事项召开信访联席会议推动化解，确保信访事项受理率达100%，办结率达100%，满意率达100%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3、认真落实县级党政领导接访下访制度。</w:t>
      </w:r>
      <w:r>
        <w:rPr>
          <w:rFonts w:hint="eastAsia" w:ascii="FangSong_GB2312" w:hAnsi="FangSong_GB2312" w:eastAsia="FangSong_GB2312" w:cs="FangSong_GB2312"/>
          <w:sz w:val="32"/>
          <w:szCs w:val="32"/>
          <w:lang w:val="en-US" w:eastAsia="zh-CN"/>
        </w:rPr>
        <w:t>协调推动县级党政领导到群众来访接待中心接访、带案下访和重点约访工作。督促抓好重要敏感时期党政负责同志接访下访制度的落实。</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SimHei" w:hAnsi="SimHei" w:eastAsia="SimHei" w:cs="SimHei"/>
          <w:sz w:val="32"/>
          <w:szCs w:val="32"/>
          <w:lang w:val="en-US" w:eastAsia="zh-CN"/>
        </w:rPr>
      </w:pPr>
      <w:r>
        <w:rPr>
          <w:rFonts w:hint="eastAsia" w:ascii="SimHei" w:hAnsi="SimHei" w:eastAsia="SimHei" w:cs="SimHei"/>
          <w:sz w:val="32"/>
          <w:szCs w:val="32"/>
          <w:lang w:val="en-US" w:eastAsia="zh-CN"/>
        </w:rPr>
        <w:t>4、全力做好敏感时间信访服务保障工作。</w:t>
      </w:r>
      <w:r>
        <w:rPr>
          <w:rFonts w:hint="eastAsia" w:ascii="FangSong_GB2312" w:hAnsi="FangSong_GB2312" w:eastAsia="FangSong_GB2312" w:cs="FangSong_GB2312"/>
          <w:sz w:val="32"/>
          <w:szCs w:val="32"/>
          <w:lang w:val="en-US" w:eastAsia="zh-CN"/>
        </w:rPr>
        <w:t>建立政法、司法、公安、网信、国安、信访等相关部门会商机制，做好信访舆情监测引导，持续推动社会稳定风险防控工作。</w:t>
      </w:r>
      <w:r>
        <w:rPr>
          <w:rFonts w:hint="default" w:ascii="FangSong_GB2312" w:hAnsi="FangSong_GB2312" w:eastAsia="FangSong_GB2312" w:cs="FangSong_GB2312"/>
          <w:sz w:val="32"/>
          <w:szCs w:val="32"/>
          <w:lang w:val="en-US" w:eastAsia="zh-CN"/>
        </w:rPr>
        <w:t>全力做好</w:t>
      </w:r>
      <w:r>
        <w:rPr>
          <w:rFonts w:hint="eastAsia" w:ascii="FangSong_GB2312" w:hAnsi="FangSong_GB2312" w:eastAsia="FangSong_GB2312" w:cs="FangSong_GB2312"/>
          <w:sz w:val="32"/>
          <w:szCs w:val="32"/>
          <w:lang w:val="en-US" w:eastAsia="zh-CN"/>
        </w:rPr>
        <w:t>北京冬奥会；</w:t>
      </w:r>
      <w:r>
        <w:rPr>
          <w:rFonts w:hint="default" w:ascii="FangSong_GB2312" w:hAnsi="FangSong_GB2312" w:eastAsia="FangSong_GB2312" w:cs="FangSong_GB2312"/>
          <w:sz w:val="32"/>
          <w:szCs w:val="32"/>
          <w:lang w:val="en-US" w:eastAsia="zh-CN"/>
        </w:rPr>
        <w:t>党的二十大</w:t>
      </w:r>
      <w:r>
        <w:rPr>
          <w:rFonts w:hint="eastAsia" w:ascii="FangSong_GB2312" w:hAnsi="FangSong_GB2312" w:eastAsia="FangSong_GB2312" w:cs="FangSong_GB2312"/>
          <w:sz w:val="32"/>
          <w:szCs w:val="32"/>
          <w:lang w:val="en-US" w:eastAsia="zh-CN"/>
        </w:rPr>
        <w:t>；</w:t>
      </w:r>
      <w:r>
        <w:rPr>
          <w:rFonts w:hint="default" w:ascii="FangSong_GB2312" w:hAnsi="FangSong_GB2312" w:eastAsia="FangSong_GB2312" w:cs="FangSong_GB2312"/>
          <w:sz w:val="32"/>
          <w:szCs w:val="32"/>
          <w:lang w:val="en-US" w:eastAsia="zh-CN"/>
        </w:rPr>
        <w:t>全国、省、市、县</w:t>
      </w:r>
      <w:r>
        <w:rPr>
          <w:rFonts w:hint="eastAsia" w:ascii="FangSong_GB2312" w:hAnsi="FangSong_GB2312" w:eastAsia="FangSong_GB2312" w:cs="FangSong_GB2312"/>
          <w:sz w:val="32"/>
          <w:szCs w:val="32"/>
          <w:lang w:val="en-US" w:eastAsia="zh-CN"/>
        </w:rPr>
        <w:t>两会以及四川省运会</w:t>
      </w:r>
      <w:r>
        <w:rPr>
          <w:rFonts w:hint="default" w:ascii="FangSong_GB2312" w:hAnsi="FangSong_GB2312" w:eastAsia="FangSong_GB2312" w:cs="FangSong_GB2312"/>
          <w:sz w:val="32"/>
          <w:szCs w:val="32"/>
          <w:lang w:val="en-US" w:eastAsia="zh-CN"/>
        </w:rPr>
        <w:t>等重大活动和敏感节点期间的信访服务保障工作，坚决防止插手利用和负面炒作信访问题，维护社会和谐稳定。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5、巩固和化解“治重化积”信访事项。</w:t>
      </w:r>
      <w:r>
        <w:rPr>
          <w:rFonts w:hint="eastAsia" w:ascii="FangSong_GB2312" w:hAnsi="FangSong_GB2312" w:eastAsia="FangSong_GB2312" w:cs="FangSong_GB2312"/>
          <w:sz w:val="32"/>
          <w:szCs w:val="32"/>
          <w:lang w:val="en-US" w:eastAsia="zh-CN"/>
        </w:rPr>
        <w:t>聚焦已化解的第一批中央交办的9件、省交办的7件和市交办的5件重复信访事项，做好“回访”和思想教育稳定工作。持续做好第二批中央交办的2件以及新增“治重化积”信访事项任务化解工作。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6、积极推进争创“全国信访工作示范县”工作。</w:t>
      </w:r>
      <w:r>
        <w:rPr>
          <w:rFonts w:hint="eastAsia" w:ascii="FangSong_GB2312" w:hAnsi="FangSong_GB2312" w:eastAsia="FangSong_GB2312" w:cs="FangSong_GB2312"/>
          <w:sz w:val="32"/>
          <w:szCs w:val="32"/>
          <w:lang w:val="en-US" w:eastAsia="zh-CN"/>
        </w:rPr>
        <w:t>进一步加强沟通联系。持续巩固“全国三无县”“人民满意窗口”创建成果，强化矛盾纠纷源头治理，紧盯重点领域、重点群体和重点人员的信访事项化解。做到诉求合理的解决问题到位、诉求无理的思想教育到位、生活困难的帮扶救助到位，行为违法的依法处理到位。确保成功创建“全国信访工作示范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7、深入开展“大督查大接访大调研、转作风解民忧办实事”活动。</w:t>
      </w:r>
      <w:r>
        <w:rPr>
          <w:rFonts w:hint="eastAsia" w:ascii="FangSong_GB2312" w:hAnsi="FangSong_GB2312" w:eastAsia="FangSong_GB2312" w:cs="FangSong_GB2312"/>
          <w:sz w:val="32"/>
          <w:szCs w:val="32"/>
          <w:lang w:val="en-US" w:eastAsia="zh-CN"/>
        </w:rPr>
        <w:t>班子成员带头示范，推动全县信访干部下基层、上一线、到访点，面对面地接待信访群众，督促推进疑难信访积案化解。建立长效机制，推动信访工作创新发展。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8、做好群众来访接待疫情防控工作。</w:t>
      </w:r>
      <w:r>
        <w:rPr>
          <w:rFonts w:hint="eastAsia" w:ascii="FangSong_GB2312" w:hAnsi="FangSong_GB2312" w:eastAsia="FangSong_GB2312" w:cs="FangSong_GB2312"/>
          <w:sz w:val="32"/>
          <w:szCs w:val="32"/>
          <w:lang w:val="en-US" w:eastAsia="zh-CN"/>
        </w:rPr>
        <w:t>积极应对疫情带来的新问题新挑战，严格落实各项防疫措施，抓好常态化疫情防控，确保来访接待场所信访群众和工作人员安全，做到疫情防控和信访工作两手抓、两不误。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9、加强信访工作基层基础建设。</w:t>
      </w:r>
      <w:r>
        <w:rPr>
          <w:rFonts w:hint="eastAsia" w:ascii="FangSong_GB2312" w:hAnsi="FangSong_GB2312" w:eastAsia="FangSong_GB2312" w:cs="FangSong_GB2312"/>
          <w:sz w:val="32"/>
          <w:szCs w:val="32"/>
          <w:lang w:val="en-US" w:eastAsia="zh-CN"/>
        </w:rPr>
        <w:t>发挥乡镇信访工作联席会议机制职能，加强基层信访工作网络建设，进一步加强和改进群众来信、走访、网上投诉办理、复查复核工作。全面推广县乡基层联合接访制度，促进信访矛盾及时就地解决，努力做到“小事不出村、大事不出镇、矛盾不上交”。</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10、做好巩固脱贫成果推进乡村振兴工作。</w:t>
      </w:r>
      <w:r>
        <w:rPr>
          <w:rFonts w:hint="eastAsia" w:ascii="FangSong_GB2312" w:hAnsi="FangSong_GB2312" w:eastAsia="FangSong_GB2312" w:cs="FangSong_GB2312"/>
          <w:sz w:val="32"/>
          <w:szCs w:val="32"/>
          <w:lang w:val="en-US" w:eastAsia="zh-CN"/>
        </w:rPr>
        <w:t>强化帮扶责任落实，加强与乡镇和联系村的协调沟通，深入开展帮扶工作，每月开展防返贫动态监测，对照脱贫户“一超六有”标准，及时解决发现的短板弱项问题，确保46户脱贫户无返贫风险。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FangSong_GB2312" w:hAnsi="FangSong_GB2312" w:eastAsia="FangSong_GB2312" w:cs="FangSong_GB2312"/>
          <w:sz w:val="32"/>
          <w:szCs w:val="32"/>
          <w:lang w:val="en-US" w:eastAsia="zh-CN"/>
        </w:rPr>
      </w:pPr>
      <w:r>
        <w:rPr>
          <w:rFonts w:hint="eastAsia" w:ascii="SimHei" w:hAnsi="SimHei" w:eastAsia="SimHei" w:cs="SimHei"/>
          <w:sz w:val="32"/>
          <w:szCs w:val="32"/>
          <w:lang w:val="en-US" w:eastAsia="zh-CN"/>
        </w:rPr>
        <w:t>11、加强信访干部队伍建设。</w:t>
      </w:r>
      <w:r>
        <w:rPr>
          <w:rFonts w:hint="eastAsia" w:ascii="FangSong_GB2312" w:hAnsi="FangSong_GB2312" w:eastAsia="FangSong_GB2312" w:cs="FangSong_GB2312"/>
          <w:sz w:val="32"/>
          <w:szCs w:val="32"/>
          <w:lang w:val="en-US" w:eastAsia="zh-CN"/>
        </w:rPr>
        <w:t>常态化开展两学一做学习教育和党史学习教育，加强对局机关和乡镇信访干部的政治理论、政策法规、信访业务培训，提升信访干部的专业素养和履职能力，对干部进行心理咨询服务，落实干部年度健康体检，突出抓好优秀年轻干部培养使用，注重机关文化建设，开展积极健康向上的文化活动，增强机关凝聚力、向心力，不断提升信访干部接访办信水平，建设一支清正廉洁、高效为民的信访干部队伍。</w:t>
      </w:r>
    </w:p>
    <w:p>
      <w:pPr>
        <w:widowControl/>
        <w:numPr>
          <w:ilvl w:val="0"/>
          <w:numId w:val="0"/>
        </w:numPr>
        <w:adjustRightInd w:val="0"/>
        <w:snapToGrid w:val="0"/>
        <w:spacing w:line="580" w:lineRule="exact"/>
        <w:ind w:left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（四）部门整体支出绩效目标。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FangSong_GB2312" w:hAnsi="FangSong_GB2312" w:eastAsia="FangSong_GB2312" w:cs="FangSong_GB2312"/>
          <w:sz w:val="32"/>
          <w:szCs w:val="32"/>
          <w:lang w:val="en-US" w:eastAsia="zh-CN"/>
        </w:rPr>
      </w:pPr>
      <w:r>
        <w:rPr>
          <w:rFonts w:hint="eastAsia" w:ascii="FangSong_GB2312" w:hAnsi="FangSong_GB2312" w:eastAsia="FangSong_GB2312" w:cs="FangSong_GB2312"/>
          <w:sz w:val="32"/>
          <w:szCs w:val="32"/>
          <w:lang w:val="en-US" w:eastAsia="zh-CN"/>
        </w:rPr>
        <w:t>2022年县信访局在县委、</w:t>
      </w:r>
      <w:r>
        <w:rPr>
          <w:rFonts w:hint="eastAsia" w:ascii="FangSong_GB2312" w:hAnsi="FangSong_GB2312" w:cs="FangSong_GB2312"/>
          <w:sz w:val="32"/>
          <w:szCs w:val="32"/>
          <w:lang w:val="en-US" w:eastAsia="zh-CN"/>
        </w:rPr>
        <w:t>县</w:t>
      </w:r>
      <w:r>
        <w:rPr>
          <w:rFonts w:hint="eastAsia" w:ascii="FangSong_GB2312" w:hAnsi="FangSong_GB2312" w:eastAsia="FangSong_GB2312" w:cs="FangSong_GB2312"/>
          <w:sz w:val="32"/>
          <w:szCs w:val="32"/>
          <w:lang w:val="en-US" w:eastAsia="zh-CN"/>
        </w:rPr>
        <w:t>政府的有力领导下顺利完成了县委、县政府及市信联办、信访局下达的各项工作任务和临时性交办的工作：1.保证单位全年的正常运转和23名职工工资的发放以及五险一金的缴纳。2</w:t>
      </w:r>
      <w:r>
        <w:rPr>
          <w:rFonts w:hint="eastAsia" w:ascii="FangSong_GB2312" w:hAnsi="FangSong_GB2312" w:eastAsia="FangSong_GB2312" w:cs="FangSong_GB2312"/>
          <w:sz w:val="32"/>
          <w:szCs w:val="32"/>
          <w:lang w:eastAsia="zh-CN"/>
        </w:rPr>
        <w:t>.</w:t>
      </w:r>
      <w:r>
        <w:rPr>
          <w:rFonts w:hint="eastAsia" w:ascii="FangSong_GB2312" w:hAnsi="FangSong_GB2312" w:eastAsia="FangSong_GB2312" w:cs="FangSong_GB2312"/>
          <w:sz w:val="32"/>
          <w:szCs w:val="32"/>
        </w:rPr>
        <w:t>健全</w:t>
      </w:r>
      <w:r>
        <w:rPr>
          <w:rFonts w:hint="eastAsia" w:ascii="FangSong_GB2312" w:hAnsi="FangSong_GB2312" w:eastAsia="FangSong_GB2312" w:cs="FangSong_GB2312"/>
          <w:sz w:val="32"/>
          <w:szCs w:val="32"/>
          <w:lang w:eastAsia="zh-CN"/>
        </w:rPr>
        <w:t>完善</w:t>
      </w:r>
      <w:r>
        <w:rPr>
          <w:rFonts w:hint="eastAsia" w:ascii="FangSong_GB2312" w:hAnsi="FangSong_GB2312" w:eastAsia="FangSong_GB2312" w:cs="FangSong_GB2312"/>
          <w:sz w:val="32"/>
          <w:szCs w:val="32"/>
        </w:rPr>
        <w:t>各项制度</w:t>
      </w:r>
      <w:r>
        <w:rPr>
          <w:rFonts w:hint="eastAsia" w:ascii="FangSong_GB2312" w:hAnsi="FangSong_GB2312" w:eastAsia="FangSong_GB2312" w:cs="FangSong_GB2312"/>
          <w:sz w:val="32"/>
          <w:szCs w:val="32"/>
          <w:lang w:eastAsia="zh-CN"/>
        </w:rPr>
        <w:t>，改善工作管理流程</w:t>
      </w:r>
      <w:r>
        <w:rPr>
          <w:rFonts w:hint="eastAsia" w:ascii="FangSong_GB2312" w:hAnsi="FangSong_GB2312" w:eastAsia="FangSong_GB2312" w:cs="FangSong_GB2312"/>
          <w:sz w:val="32"/>
          <w:szCs w:val="32"/>
        </w:rPr>
        <w:t>。修订和完善了信访事项办理流程图及群众诉求指南5个，县信访局股（室）岗位工作制度9个，并公示上墙。根据县委</w:t>
      </w:r>
      <w:r>
        <w:rPr>
          <w:rFonts w:hint="eastAsia" w:ascii="FangSong_GB2312" w:hAnsi="FangSong_GB2312" w:cs="FangSong_GB2312"/>
          <w:sz w:val="32"/>
          <w:szCs w:val="32"/>
          <w:lang w:eastAsia="zh-CN"/>
        </w:rPr>
        <w:t>、</w:t>
      </w:r>
      <w:r>
        <w:rPr>
          <w:rFonts w:hint="eastAsia" w:ascii="FangSong_GB2312" w:hAnsi="FangSong_GB2312" w:eastAsia="FangSong_GB2312" w:cs="FangSong_GB2312"/>
          <w:sz w:val="32"/>
          <w:szCs w:val="32"/>
        </w:rPr>
        <w:t>县政府领导分工调整等及时调整完善峨边彝族自治县信访工作</w:t>
      </w:r>
      <w:r>
        <w:rPr>
          <w:rFonts w:hint="eastAsia" w:ascii="FangSong_GB2312" w:hAnsi="FangSong_GB2312" w:eastAsia="SimSun" w:cs="FangSong_GB2312"/>
          <w:sz w:val="32"/>
          <w:szCs w:val="32"/>
          <w:lang w:eastAsia="zh-CN"/>
        </w:rPr>
        <w:t>联席会议</w:t>
      </w:r>
      <w:r>
        <w:rPr>
          <w:rFonts w:hint="eastAsia" w:ascii="FangSong_GB2312" w:hAnsi="FangSong_GB2312" w:eastAsia="FangSong_GB2312" w:cs="FangSong_GB2312"/>
          <w:sz w:val="32"/>
          <w:szCs w:val="32"/>
          <w:lang w:eastAsia="zh-CN"/>
        </w:rPr>
        <w:t>机制</w:t>
      </w:r>
      <w:r>
        <w:rPr>
          <w:rFonts w:hint="eastAsia" w:ascii="FangSong_GB2312" w:hAnsi="FangSong_GB2312" w:eastAsia="FangSong_GB2312" w:cs="FangSong_GB2312"/>
          <w:sz w:val="32"/>
          <w:szCs w:val="32"/>
        </w:rPr>
        <w:t>，督促各乡镇全覆盖建立信访工作联席会</w:t>
      </w:r>
      <w:r>
        <w:rPr>
          <w:rFonts w:hint="eastAsia" w:ascii="FangSong_GB2312" w:hAnsi="FangSong_GB2312" w:eastAsia="FangSong_GB2312" w:cs="FangSong_GB2312"/>
          <w:sz w:val="32"/>
          <w:szCs w:val="32"/>
          <w:lang w:eastAsia="zh-CN"/>
        </w:rPr>
        <w:t>议机制</w:t>
      </w:r>
      <w:r>
        <w:rPr>
          <w:rFonts w:hint="eastAsia" w:ascii="FangSong_GB2312" w:hAnsi="FangSong_GB2312" w:eastAsia="FangSong_GB2312" w:cs="FangSong_GB2312"/>
          <w:sz w:val="32"/>
          <w:szCs w:val="32"/>
        </w:rPr>
        <w:t>。为贯彻落实新颁布《信访工作条例》，组织编写《信访工作指南》，明确底线红线、职责任务、工作流程、注意事项等，层层压实责任。</w:t>
      </w:r>
      <w:r>
        <w:rPr>
          <w:rFonts w:hint="eastAsia" w:ascii="FangSong_GB2312" w:hAnsi="FangSong_GB2312" w:eastAsia="FangSong_GB2312" w:cs="FangSong_GB2312"/>
          <w:sz w:val="32"/>
          <w:szCs w:val="32"/>
          <w:lang w:val="en-US" w:eastAsia="zh-CN"/>
        </w:rPr>
        <w:t>3.认真办理信访事项，及时回应群众诉求。2022年县信访局共接待来访群众508批1420人次，现场处理完成445批1289人次，转交办63批131人次，办理群众来信21件；办理群众网上投诉104件。做到了信访事项及时受理率100%、信访事项按期答复率100%、“治重</w:t>
      </w:r>
      <w:r>
        <w:rPr>
          <w:rFonts w:hint="eastAsia" w:ascii="FangSong_GB2312" w:hAnsi="FangSong_GB2312" w:eastAsia="FangSong_GB2312" w:cs="FangSong_GB2312"/>
          <w:sz w:val="32"/>
          <w:szCs w:val="32"/>
        </w:rPr>
        <w:t>化积”专项工作</w:t>
      </w:r>
      <w:bookmarkStart w:id="0" w:name="OLE_LINK4"/>
      <w:r>
        <w:rPr>
          <w:rFonts w:hint="eastAsia" w:ascii="FangSong_GB2312" w:hAnsi="FangSong_GB2312" w:eastAsia="FangSong_GB2312" w:cs="FangSong_GB2312"/>
          <w:sz w:val="32"/>
          <w:szCs w:val="32"/>
        </w:rPr>
        <w:t>完成率达100%</w:t>
      </w:r>
      <w:bookmarkEnd w:id="0"/>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val="en-US" w:eastAsia="zh-CN"/>
        </w:rPr>
        <w:t>群众评价信访部门参评率96.99%、满意率99.22%，群众评价责任单位参评率96.04%、满意率95.88%。3.认真办理心连心热线，切实维护群众权益。2022年心连心服务中心共交办群众诉求4514件，办结率98.67%，回访群众满意率96.32%。</w:t>
      </w:r>
      <w:r>
        <w:rPr>
          <w:rFonts w:hint="eastAsia" w:ascii="FangSong_GB2312" w:hAnsi="FangSong_GB2312" w:eastAsia="FangSong_GB2312" w:cs="FangSong_GB2312"/>
          <w:b w:val="0"/>
          <w:bCs w:val="0"/>
          <w:kern w:val="2"/>
          <w:sz w:val="32"/>
          <w:szCs w:val="32"/>
          <w:lang w:val="en-US" w:eastAsia="zh-CN" w:bidi="ar-SA"/>
        </w:rPr>
        <w:t>4.及时协调处理群体性事件16起。突发性事件5件，有力促进了社会和谐与稳定。</w:t>
      </w:r>
      <w:r>
        <w:rPr>
          <w:rFonts w:hint="eastAsia" w:ascii="FangSong_GB2312" w:hAnsi="FangSong_GB2312" w:eastAsia="FangSong_GB2312" w:cs="FangSong_GB2312"/>
          <w:sz w:val="32"/>
          <w:szCs w:val="32"/>
          <w:lang w:val="en-US" w:eastAsia="zh-CN"/>
        </w:rPr>
        <w:t>5</w:t>
      </w:r>
      <w:r>
        <w:rPr>
          <w:rFonts w:hint="eastAsia" w:ascii="FangSong_GB2312" w:hAnsi="FangSong_GB2312" w:eastAsia="FangSong_GB2312" w:cs="FangSong_GB2312"/>
          <w:sz w:val="32"/>
          <w:szCs w:val="32"/>
        </w:rPr>
        <w:t>.深入开展“领导干部大接访”活动。全县13个乡（镇）划分成7个片区，共完成10次大接访工作，</w:t>
      </w:r>
      <w:r>
        <w:rPr>
          <w:rFonts w:hint="eastAsia" w:ascii="FangSong_GB2312" w:hAnsi="FangSong_GB2312" w:eastAsia="FangSong_GB2312" w:cs="FangSong_GB2312"/>
          <w:sz w:val="32"/>
          <w:szCs w:val="32"/>
          <w:lang w:eastAsia="zh-CN"/>
        </w:rPr>
        <w:t>由</w:t>
      </w:r>
      <w:r>
        <w:rPr>
          <w:rFonts w:hint="eastAsia" w:ascii="FangSong_GB2312" w:hAnsi="FangSong_GB2312" w:eastAsia="FangSong_GB2312" w:cs="FangSong_GB2312"/>
          <w:sz w:val="32"/>
          <w:szCs w:val="32"/>
        </w:rPr>
        <w:t>26名县级领导、76个帮扶单位、7个重点行业部门全程参与</w:t>
      </w:r>
      <w:r>
        <w:rPr>
          <w:rFonts w:hint="eastAsia" w:ascii="FangSong_GB2312" w:hAnsi="FangSong_GB2312" w:eastAsia="FangSong_GB2312" w:cs="FangSong_GB2312"/>
          <w:sz w:val="32"/>
          <w:szCs w:val="32"/>
          <w:lang w:eastAsia="zh-CN"/>
        </w:rPr>
        <w:t>接访、下访</w:t>
      </w:r>
      <w:r>
        <w:rPr>
          <w:rFonts w:hint="eastAsia" w:ascii="FangSong_GB2312" w:hAnsi="FangSong_GB2312" w:eastAsia="FangSong_GB2312" w:cs="FangSong_GB2312"/>
          <w:sz w:val="32"/>
          <w:szCs w:val="32"/>
        </w:rPr>
        <w:t>。共接待来访群众229人，受理群众信访事项244件，现场解决70件，现场交办174件。</w:t>
      </w:r>
      <w:r>
        <w:rPr>
          <w:rFonts w:hint="eastAsia" w:ascii="FangSong_GB2312" w:hAnsi="FangSong_GB2312" w:eastAsia="FangSong_GB2312" w:cs="FangSong_GB2312"/>
          <w:sz w:val="32"/>
          <w:szCs w:val="32"/>
          <w:lang w:val="en-US" w:eastAsia="zh-CN"/>
        </w:rPr>
        <w:t>6</w:t>
      </w:r>
      <w:r>
        <w:rPr>
          <w:rFonts w:hint="eastAsia" w:ascii="FangSong_GB2312" w:hAnsi="FangSong_GB2312" w:eastAsia="FangSong_GB2312" w:cs="FangSong_GB2312"/>
          <w:sz w:val="32"/>
          <w:szCs w:val="32"/>
        </w:rPr>
        <w:t>.深入开展信访</w:t>
      </w:r>
      <w:r>
        <w:rPr>
          <w:rFonts w:hint="eastAsia" w:ascii="FangSong_GB2312" w:hAnsi="FangSong_GB2312" w:eastAsia="FangSong_GB2312" w:cs="FangSong_GB2312"/>
          <w:sz w:val="32"/>
          <w:szCs w:val="32"/>
          <w:lang w:eastAsia="zh-CN"/>
        </w:rPr>
        <w:t>问题</w:t>
      </w:r>
      <w:r>
        <w:rPr>
          <w:rFonts w:hint="eastAsia" w:ascii="FangSong_GB2312" w:hAnsi="FangSong_GB2312" w:eastAsia="FangSong_GB2312" w:cs="FangSong_GB2312"/>
          <w:sz w:val="32"/>
          <w:szCs w:val="32"/>
        </w:rPr>
        <w:t>化解“百日攻坚”行动。</w:t>
      </w:r>
      <w:r>
        <w:rPr>
          <w:rFonts w:hint="eastAsia" w:ascii="FangSong_GB2312" w:hAnsi="FangSong_GB2312" w:eastAsia="FangSong_GB2312" w:cs="FangSong_GB2312"/>
          <w:sz w:val="32"/>
          <w:szCs w:val="32"/>
          <w:lang w:val="en-US" w:eastAsia="zh-CN"/>
        </w:rPr>
        <w:t>2022年</w:t>
      </w:r>
      <w:r>
        <w:rPr>
          <w:rFonts w:hint="eastAsia" w:ascii="FangSong_GB2312" w:hAnsi="FangSong_GB2312" w:eastAsia="FangSong_GB2312" w:cs="FangSong_GB2312"/>
          <w:sz w:val="32"/>
          <w:szCs w:val="32"/>
        </w:rPr>
        <w:t>已成功化解9件，部分化解4件，其余</w:t>
      </w:r>
      <w:r>
        <w:rPr>
          <w:rFonts w:hint="eastAsia" w:ascii="FangSong_GB2312" w:hAnsi="FangSong_GB2312" w:eastAsia="FangSong_GB2312" w:cs="FangSong_GB2312"/>
          <w:sz w:val="32"/>
          <w:szCs w:val="32"/>
          <w:lang w:eastAsia="zh-CN"/>
        </w:rPr>
        <w:t>事项</w:t>
      </w:r>
      <w:r>
        <w:rPr>
          <w:rFonts w:hint="eastAsia" w:ascii="FangSong_GB2312" w:hAnsi="FangSong_GB2312" w:eastAsia="FangSong_GB2312" w:cs="FangSong_GB2312"/>
          <w:sz w:val="32"/>
          <w:szCs w:val="32"/>
        </w:rPr>
        <w:t>正</w:t>
      </w:r>
      <w:r>
        <w:rPr>
          <w:rFonts w:hint="eastAsia" w:ascii="FangSong_GB2312" w:hAnsi="FangSong_GB2312" w:eastAsia="FangSong_GB2312" w:cs="FangSong_GB2312"/>
          <w:sz w:val="32"/>
          <w:szCs w:val="32"/>
          <w:lang w:eastAsia="zh-CN"/>
        </w:rPr>
        <w:t>在</w:t>
      </w:r>
      <w:r>
        <w:rPr>
          <w:rFonts w:hint="eastAsia" w:ascii="FangSong_GB2312" w:hAnsi="FangSong_GB2312" w:eastAsia="FangSong_GB2312" w:cs="FangSong_GB2312"/>
          <w:sz w:val="32"/>
          <w:szCs w:val="32"/>
        </w:rPr>
        <w:t>有序推进中。</w:t>
      </w:r>
      <w:r>
        <w:rPr>
          <w:rFonts w:hint="eastAsia" w:ascii="FangSong_GB2312" w:hAnsi="FangSong_GB2312" w:eastAsia="FangSong_GB2312" w:cs="FangSong_GB2312"/>
          <w:sz w:val="32"/>
          <w:szCs w:val="32"/>
          <w:lang w:val="en-US" w:eastAsia="zh-CN"/>
        </w:rPr>
        <w:t>7</w:t>
      </w:r>
      <w:r>
        <w:rPr>
          <w:rFonts w:hint="eastAsia" w:ascii="FangSong_GB2312" w:hAnsi="FangSong_GB2312" w:eastAsia="FangSong_GB2312" w:cs="FangSong_GB2312"/>
          <w:sz w:val="32"/>
          <w:szCs w:val="32"/>
        </w:rPr>
        <w:t>.建立“边界”信访矛盾纠纷调处联动机制。在市信访局的</w:t>
      </w:r>
      <w:r>
        <w:rPr>
          <w:rFonts w:hint="eastAsia" w:ascii="FangSong_GB2312" w:hAnsi="FangSong_GB2312" w:eastAsia="FangSong_GB2312" w:cs="FangSong_GB2312"/>
          <w:sz w:val="32"/>
          <w:szCs w:val="32"/>
          <w:lang w:eastAsia="zh-CN"/>
        </w:rPr>
        <w:t>统筹</w:t>
      </w:r>
      <w:r>
        <w:rPr>
          <w:rFonts w:hint="eastAsia" w:ascii="FangSong_GB2312" w:hAnsi="FangSong_GB2312" w:eastAsia="FangSong_GB2312" w:cs="FangSong_GB2312"/>
          <w:sz w:val="32"/>
          <w:szCs w:val="32"/>
        </w:rPr>
        <w:t>推动下，</w:t>
      </w:r>
      <w:r>
        <w:rPr>
          <w:rFonts w:hint="eastAsia" w:ascii="FangSong_GB2312" w:hAnsi="FangSong_GB2312" w:eastAsia="FangSong_GB2312" w:cs="FangSong_GB2312"/>
          <w:sz w:val="32"/>
          <w:szCs w:val="32"/>
          <w:lang w:val="en-US" w:eastAsia="zh-CN"/>
        </w:rPr>
        <w:t>2022年</w:t>
      </w:r>
      <w:r>
        <w:rPr>
          <w:rFonts w:hint="eastAsia" w:ascii="FangSong_GB2312" w:hAnsi="FangSong_GB2312" w:eastAsia="FangSong_GB2312" w:cs="FangSong_GB2312"/>
          <w:sz w:val="32"/>
          <w:szCs w:val="32"/>
        </w:rPr>
        <w:t>峨边彝族自治县信访局、金口河区信访局、马边彝族自治县信访</w:t>
      </w:r>
      <w:r>
        <w:rPr>
          <w:rFonts w:hint="eastAsia" w:ascii="FangSong_GB2312" w:hAnsi="FangSong_GB2312" w:eastAsia="FangSong_GB2312" w:cs="FangSong_GB2312"/>
          <w:sz w:val="32"/>
          <w:szCs w:val="32"/>
          <w:lang w:eastAsia="zh-CN"/>
        </w:rPr>
        <w:t>局</w:t>
      </w:r>
      <w:r>
        <w:rPr>
          <w:rFonts w:hint="eastAsia" w:ascii="FangSong_GB2312" w:hAnsi="FangSong_GB2312" w:eastAsia="FangSong_GB2312" w:cs="FangSong_GB2312"/>
          <w:sz w:val="32"/>
          <w:szCs w:val="32"/>
        </w:rPr>
        <w:t>、美姑县信访局共同签订了“边界”信访工作联席会议工作规则，乐山市信访局</w:t>
      </w:r>
      <w:r>
        <w:rPr>
          <w:rFonts w:hint="eastAsia" w:ascii="FangSong_GB2312" w:hAnsi="FangSong_GB2312" w:eastAsia="FangSong_GB2312" w:cs="FangSong_GB2312"/>
          <w:sz w:val="32"/>
          <w:szCs w:val="32"/>
          <w:lang w:eastAsia="zh-CN"/>
        </w:rPr>
        <w:t>负责人和</w:t>
      </w:r>
      <w:r>
        <w:rPr>
          <w:rFonts w:hint="eastAsia" w:ascii="FangSong_GB2312" w:hAnsi="FangSong_GB2312" w:eastAsia="FangSong_GB2312" w:cs="FangSong_GB2312"/>
          <w:sz w:val="32"/>
          <w:szCs w:val="32"/>
        </w:rPr>
        <w:t>中共美姑县委政法委主要领导为召集人，牵头</w:t>
      </w:r>
      <w:r>
        <w:rPr>
          <w:rFonts w:hint="eastAsia" w:ascii="FangSong_GB2312" w:hAnsi="FangSong_GB2312" w:eastAsia="FangSong_GB2312" w:cs="FangSong_GB2312"/>
          <w:sz w:val="32"/>
          <w:szCs w:val="32"/>
          <w:lang w:eastAsia="zh-CN"/>
        </w:rPr>
        <w:t>统筹</w:t>
      </w:r>
      <w:r>
        <w:rPr>
          <w:rFonts w:hint="eastAsia" w:ascii="FangSong_GB2312" w:hAnsi="FangSong_GB2312" w:eastAsia="FangSong_GB2312" w:cs="FangSong_GB2312"/>
          <w:sz w:val="32"/>
          <w:szCs w:val="32"/>
        </w:rPr>
        <w:t>推动涉及边界信访纠纷调处工作，今年</w:t>
      </w:r>
      <w:r>
        <w:rPr>
          <w:rFonts w:hint="eastAsia" w:ascii="FangSong_GB2312" w:hAnsi="FangSong_GB2312" w:eastAsia="FangSong_GB2312" w:cs="FangSong_GB2312"/>
          <w:sz w:val="32"/>
          <w:szCs w:val="32"/>
          <w:lang w:eastAsia="zh-CN"/>
        </w:rPr>
        <w:t>已</w:t>
      </w:r>
      <w:r>
        <w:rPr>
          <w:rFonts w:hint="eastAsia" w:ascii="FangSong_GB2312" w:hAnsi="FangSong_GB2312" w:eastAsia="FangSong_GB2312" w:cs="FangSong_GB2312"/>
          <w:sz w:val="32"/>
          <w:szCs w:val="32"/>
        </w:rPr>
        <w:t>成功调处2起</w:t>
      </w:r>
      <w:r>
        <w:rPr>
          <w:rFonts w:hint="eastAsia" w:ascii="FangSong_GB2312" w:hAnsi="FangSong_GB2312" w:eastAsia="FangSong_GB2312" w:cs="FangSong_GB2312"/>
          <w:sz w:val="32"/>
          <w:szCs w:val="32"/>
          <w:lang w:eastAsia="zh-CN"/>
        </w:rPr>
        <w:t>三跨三分离信访事项</w:t>
      </w:r>
      <w:r>
        <w:rPr>
          <w:rFonts w:hint="eastAsia" w:ascii="FangSong_GB2312" w:hAnsi="FangSong_GB2312" w:eastAsia="FangSong_GB2312" w:cs="FangSong_GB2312"/>
          <w:sz w:val="32"/>
          <w:szCs w:val="32"/>
        </w:rPr>
        <w:t>。</w:t>
      </w:r>
      <w:r>
        <w:rPr>
          <w:rFonts w:hint="eastAsia" w:ascii="FangSong_GB2312" w:hAnsi="FangSong_GB2312" w:eastAsia="FangSong_GB2312" w:cs="FangSong_GB2312"/>
          <w:sz w:val="32"/>
          <w:szCs w:val="32"/>
          <w:lang w:val="en-US" w:eastAsia="zh-CN"/>
        </w:rPr>
        <w:t>8.完成全国及省市县两会及冬奥会、残奥会等重大会议的信访稳定工作13次。9.全年完成信访事项督查督办183次，带案下访96次，有力推动信访事项的化解。10.拓宽信访渠道，实行阳光信访保障领导接访198次；参加中央、省、市政策宣传和业务培训22次，信访会议11次，保障全县信访工作政令畅通。顺利完成市信联办安排的驻蓉值班值守2个月工作，接返群众93人次。11.圆满完成县委、县政府安排的乡村振兴帮扶、环境整治等其他工作。</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（一）部门财政资金收入情况。</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FangSong_GB2312" w:eastAsia="FangSong_GB2312" w:cs="FangSong_GB2312"/>
          <w:b w:val="0"/>
          <w:bCs w:val="0"/>
          <w:kern w:val="2"/>
          <w:sz w:val="32"/>
          <w:szCs w:val="32"/>
          <w:lang w:val="en-US" w:eastAsia="zh-CN" w:bidi="ar-SA"/>
        </w:rPr>
        <w:t>2022年县信访局</w:t>
      </w:r>
      <w:r>
        <w:rPr>
          <w:rFonts w:hint="eastAsia" w:ascii="FangSong_GB2312" w:hAnsi="SimSun" w:eastAsia="FangSong_GB2312" w:cs="SimSun"/>
          <w:color w:val="000000"/>
          <w:kern w:val="0"/>
          <w:szCs w:val="32"/>
          <w:shd w:val="clear" w:color="auto" w:fill="FFFFFF"/>
          <w:lang w:val="en-US" w:eastAsia="zh-CN"/>
        </w:rPr>
        <w:t>财政拨款预算收入</w:t>
      </w:r>
      <w:r>
        <w:rPr>
          <w:rFonts w:hint="eastAsia" w:ascii="FangSong_GB2312" w:hAnsi="SimSun" w:eastAsia="FangSong_GB2312" w:cs="SimSun"/>
          <w:color w:val="000000"/>
          <w:kern w:val="0"/>
          <w:szCs w:val="32"/>
          <w:highlight w:val="none"/>
          <w:shd w:val="clear" w:color="auto" w:fill="FFFFFF"/>
          <w:lang w:val="en-US" w:eastAsia="zh-CN"/>
        </w:rPr>
        <w:t>231.88</w:t>
      </w:r>
      <w:r>
        <w:rPr>
          <w:rFonts w:hint="eastAsia" w:ascii="FangSong_GB2312" w:hAnsi="SimSun" w:eastAsia="FangSong_GB2312" w:cs="SimSun"/>
          <w:color w:val="000000"/>
          <w:kern w:val="0"/>
          <w:szCs w:val="32"/>
          <w:shd w:val="clear" w:color="auto" w:fill="FFFFFF"/>
          <w:lang w:val="en-US" w:eastAsia="zh-CN"/>
        </w:rPr>
        <w:t>万元，其中上级资金0万元，县级资金231.88万元。其中年初预算项目5个，具体为：常规性驻京驻蓉项目3万元；全国及省市县两会项目3万元；信访稳定经费项目18.3万元；阳光信访、领导视频接访项目5.7万元；信访积案、难案化解专项资金10万元。</w:t>
      </w:r>
    </w:p>
    <w:p>
      <w:pPr>
        <w:pStyle w:val="2"/>
        <w:jc w:val="left"/>
        <w:rPr>
          <w:rFonts w:hint="default" w:ascii="FangSong_GB2312" w:hAnsi="FangSong_GB2312" w:eastAsia="FangSong_GB2312" w:cs="FangSong_GB2312"/>
          <w:b w:val="0"/>
          <w:bCs w:val="0"/>
          <w:kern w:val="2"/>
          <w:sz w:val="32"/>
          <w:szCs w:val="32"/>
          <w:lang w:val="en-US" w:eastAsia="zh-CN" w:bidi="ar-SA"/>
        </w:rPr>
      </w:pPr>
    </w:p>
    <w:p>
      <w:pPr>
        <w:widowControl/>
        <w:numPr>
          <w:ilvl w:val="0"/>
          <w:numId w:val="0"/>
        </w:numPr>
        <w:adjustRightInd w:val="0"/>
        <w:snapToGrid w:val="0"/>
        <w:spacing w:line="580" w:lineRule="exact"/>
        <w:ind w:left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（二）部门财政资金支出情况。</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zh-CN" w:eastAsia="zh-CN"/>
        </w:rPr>
        <w:t>基本支出</w:t>
      </w:r>
      <w:r>
        <w:rPr>
          <w:rFonts w:hint="eastAsia" w:ascii="FangSong_GB2312" w:hAnsi="SimSun" w:eastAsia="FangSong_GB2312" w:cs="SimSun"/>
          <w:color w:val="000000"/>
          <w:kern w:val="0"/>
          <w:szCs w:val="32"/>
          <w:shd w:val="clear" w:color="auto" w:fill="FFFFFF"/>
          <w:lang w:val="en-US" w:eastAsia="zh-CN"/>
        </w:rPr>
        <w:t>200.63万元，项目支出31.25万元，具体支出为：常规性驻京驻蓉项目3万元；全国及省市县两会项目3万元；信访稳定经费项目19.61万元；阳光信访、领导视频接访项目5.64万元。</w:t>
      </w:r>
    </w:p>
    <w:p>
      <w:pPr>
        <w:widowControl/>
        <w:numPr>
          <w:ilvl w:val="0"/>
          <w:numId w:val="1"/>
        </w:numPr>
        <w:adjustRightInd w:val="0"/>
        <w:snapToGrid w:val="0"/>
        <w:spacing w:line="580" w:lineRule="exact"/>
        <w:ind w:left="0" w:leftChars="0" w:firstLine="640" w:firstLineChars="200"/>
        <w:contextualSpacing/>
        <w:jc w:val="left"/>
        <w:rPr>
          <w:rFonts w:hint="default" w:ascii="FangSong_GB2312" w:hAnsi="SimSun" w:eastAsia="FangSong_GB2312" w:cs="SimSun"/>
          <w:b w:val="0"/>
          <w:bCs w:val="0"/>
          <w:color w:val="000000"/>
          <w:kern w:val="0"/>
          <w:sz w:val="32"/>
          <w:szCs w:val="32"/>
          <w:shd w:val="clear" w:color="auto" w:fill="FFFFFF"/>
          <w:lang w:val="en-US" w:eastAsia="zh-CN" w:bidi="ar-SA"/>
        </w:rPr>
      </w:pPr>
      <w:r>
        <w:rPr>
          <w:rFonts w:hint="eastAsia" w:ascii="KaiTi_GB2312" w:hAnsi="SimSun" w:eastAsia="KaiTi_GB2312" w:cs="SimSun"/>
          <w:color w:val="000000"/>
          <w:kern w:val="0"/>
          <w:szCs w:val="32"/>
          <w:shd w:val="clear" w:color="auto" w:fill="FFFFFF"/>
          <w:lang w:val="zh-CN"/>
        </w:rPr>
        <w:t>部门财政资金结转结余情况。</w:t>
      </w:r>
    </w:p>
    <w:p>
      <w:pPr>
        <w:widowControl/>
        <w:numPr>
          <w:ilvl w:val="0"/>
          <w:numId w:val="0"/>
        </w:numPr>
        <w:adjustRightInd w:val="0"/>
        <w:snapToGrid w:val="0"/>
        <w:spacing w:line="580" w:lineRule="exact"/>
        <w:ind w:leftChars="200"/>
        <w:contextualSpacing/>
        <w:jc w:val="left"/>
        <w:rPr>
          <w:rFonts w:hint="default" w:ascii="FangSong_GB2312" w:hAnsi="SimSun" w:eastAsia="FangSong_GB2312" w:cs="SimSun"/>
          <w:b w:val="0"/>
          <w:bCs w:val="0"/>
          <w:color w:val="000000"/>
          <w:kern w:val="0"/>
          <w:sz w:val="32"/>
          <w:szCs w:val="32"/>
          <w:shd w:val="clear" w:color="auto" w:fill="FFFFFF"/>
          <w:lang w:val="en-US" w:eastAsia="zh-CN" w:bidi="ar-SA"/>
        </w:rPr>
      </w:pPr>
      <w:r>
        <w:rPr>
          <w:rFonts w:hint="eastAsia" w:ascii="FangSong_GB2312" w:hAnsi="SimSun" w:eastAsia="FangSong_GB2312" w:cs="SimSun"/>
          <w:b w:val="0"/>
          <w:bCs w:val="0"/>
          <w:color w:val="000000"/>
          <w:kern w:val="0"/>
          <w:sz w:val="32"/>
          <w:szCs w:val="32"/>
          <w:shd w:val="clear" w:color="auto" w:fill="FFFFFF"/>
          <w:lang w:val="en-US" w:eastAsia="zh-CN" w:bidi="ar-SA"/>
        </w:rPr>
        <w:t>2022年县信访局无结转结余资金。</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三、部门整体绩效管理情况（根据自评体系进行描述）</w:t>
      </w:r>
    </w:p>
    <w:p>
      <w:pPr>
        <w:widowControl/>
        <w:adjustRightInd w:val="0"/>
        <w:snapToGrid w:val="0"/>
        <w:spacing w:line="580" w:lineRule="exact"/>
        <w:ind w:firstLine="320" w:firstLineChars="100"/>
        <w:contextualSpacing/>
        <w:jc w:val="left"/>
        <w:rPr>
          <w:rFonts w:hint="eastAsia" w:ascii="KaiTi" w:hAnsi="KaiTi" w:eastAsia="KaiTi" w:cs="KaiTi"/>
          <w:color w:val="000000"/>
          <w:kern w:val="0"/>
          <w:szCs w:val="32"/>
          <w:shd w:val="clear" w:color="auto" w:fill="FFFFFF"/>
          <w:lang w:val="zh-CN"/>
        </w:rPr>
      </w:pPr>
      <w:r>
        <w:rPr>
          <w:rFonts w:hint="eastAsia" w:ascii="KaiTi" w:hAnsi="KaiTi" w:eastAsia="KaiTi" w:cs="KaiTi"/>
          <w:color w:val="000000"/>
          <w:kern w:val="0"/>
          <w:szCs w:val="32"/>
          <w:shd w:val="clear" w:color="auto" w:fill="FFFFFF"/>
          <w:lang w:val="zh-CN"/>
        </w:rPr>
        <w:t>（一）部门预算管理。</w:t>
      </w:r>
    </w:p>
    <w:p>
      <w:pPr>
        <w:widowControl/>
        <w:adjustRightInd w:val="0"/>
        <w:snapToGrid w:val="0"/>
        <w:spacing w:line="580" w:lineRule="exact"/>
        <w:ind w:firstLine="640" w:firstLineChars="200"/>
        <w:contextualSpacing/>
        <w:jc w:val="left"/>
        <w:rPr>
          <w:rFonts w:hint="eastAsia" w:ascii="KaiTi" w:hAnsi="KaiTi" w:eastAsia="KaiTi" w:cs="KaiTi"/>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1.部门管理</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县信访局单位性质属于综合协调部门，2022年县信访局根据历年单位工作需要以及人员经费进行了资金预算，并对除人员基本经费以外的资金依照其使用作用进行细化编制。还制定保运转的行政指标体系专项预算管理项目5个，确保2022年度全局工作顺利开展和完成。</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2.资金执行</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基本支出为200.63万元，主要是用于单位职工的工资薪金及各项保险缴费、福利和日常工作时的接待、办公支出，保障单位基本运转。</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项目支出为31.25万元，本单位专项预算管理项目为5个。主要用于单位为保障常规到京、到省的值班和特殊敏感时段开展信访工作、处置突发事件、带案下访督查督办等工作的正常开展。</w:t>
      </w:r>
    </w:p>
    <w:p>
      <w:pPr>
        <w:widowControl/>
        <w:numPr>
          <w:ilvl w:val="0"/>
          <w:numId w:val="0"/>
        </w:numPr>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3.资金完成</w:t>
      </w:r>
    </w:p>
    <w:p>
      <w:pPr>
        <w:widowControl/>
        <w:numPr>
          <w:ilvl w:val="0"/>
          <w:numId w:val="0"/>
        </w:numPr>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县信访局2022年度全面完成县委、县政府规定的和市下达的各项工作任务，年初资金预算精细、明晰，资金使用、量入为出，资金用途与支出要求相匹配，有效提高资金的使用率、合理化。资金支出无违规、预警记录现象。</w:t>
      </w:r>
    </w:p>
    <w:p>
      <w:pPr>
        <w:widowControl/>
        <w:adjustRightInd w:val="0"/>
        <w:snapToGrid w:val="0"/>
        <w:spacing w:line="580" w:lineRule="exact"/>
        <w:ind w:firstLine="320" w:firstLineChars="1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1.整体情况：县信访局2022年项目支出为31.25万元，本单位专项预算管理项目为5个。</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Microsoft YaHei" w:hAnsi="Microsoft YaHei" w:eastAsia="Microsoft YaHei" w:cs="Microsoft YaHei"/>
          <w:color w:val="000000"/>
          <w:kern w:val="0"/>
          <w:szCs w:val="32"/>
          <w:shd w:val="clear" w:color="auto" w:fill="FFFFFF"/>
          <w:lang w:val="en-US" w:eastAsia="zh-CN"/>
        </w:rPr>
        <w:t>①</w:t>
      </w:r>
      <w:r>
        <w:rPr>
          <w:rFonts w:hint="eastAsia" w:ascii="FangSong_GB2312" w:hAnsi="SimSun" w:eastAsia="FangSong_GB2312" w:cs="SimSun"/>
          <w:color w:val="000000"/>
          <w:kern w:val="0"/>
          <w:szCs w:val="32"/>
          <w:shd w:val="clear" w:color="auto" w:fill="FFFFFF"/>
          <w:lang w:val="zh-CN" w:eastAsia="zh-CN"/>
        </w:rPr>
        <w:t>常规性驻京驻蓉经费：</w:t>
      </w:r>
      <w:r>
        <w:rPr>
          <w:rFonts w:hint="eastAsia" w:ascii="FangSong_GB2312" w:hAnsi="SimSun" w:eastAsia="FangSong_GB2312" w:cs="SimSun"/>
          <w:color w:val="000000"/>
          <w:kern w:val="0"/>
          <w:szCs w:val="32"/>
          <w:shd w:val="clear" w:color="auto" w:fill="FFFFFF"/>
          <w:lang w:val="en-US" w:eastAsia="zh-CN"/>
        </w:rPr>
        <w:t>2022年常规性驻京驻蓉</w:t>
      </w:r>
      <w:r>
        <w:rPr>
          <w:rFonts w:hint="eastAsia" w:ascii="FangSong_GB2312" w:hAnsi="SimSun" w:eastAsia="FangSong_GB2312" w:cs="SimSun"/>
          <w:color w:val="000000"/>
          <w:kern w:val="0"/>
          <w:szCs w:val="32"/>
          <w:shd w:val="clear" w:color="auto" w:fill="FFFFFF"/>
          <w:lang w:val="zh-CN" w:eastAsia="zh-CN"/>
        </w:rPr>
        <w:t>经费支出</w:t>
      </w:r>
      <w:r>
        <w:rPr>
          <w:rFonts w:hint="eastAsia" w:ascii="FangSong_GB2312" w:hAnsi="SimSun" w:eastAsia="FangSong_GB2312" w:cs="SimSun"/>
          <w:color w:val="000000"/>
          <w:kern w:val="0"/>
          <w:szCs w:val="32"/>
          <w:shd w:val="clear" w:color="auto" w:fill="FFFFFF"/>
          <w:lang w:val="en-US" w:eastAsia="zh-CN"/>
        </w:rPr>
        <w:t>3万元，完成了市委市政府2个月常规性驻蓉工作，协助接待、劝返信访群众93人次。</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Microsoft YaHei" w:hAnsi="Microsoft YaHei" w:eastAsia="Microsoft YaHei" w:cs="Microsoft YaHei"/>
          <w:color w:val="000000"/>
          <w:kern w:val="0"/>
          <w:szCs w:val="32"/>
          <w:shd w:val="clear" w:color="auto" w:fill="FFFFFF"/>
          <w:lang w:val="en-US" w:eastAsia="zh-CN"/>
        </w:rPr>
        <w:t>②</w:t>
      </w:r>
      <w:r>
        <w:rPr>
          <w:rFonts w:hint="eastAsia" w:ascii="FangSong_GB2312" w:hAnsi="SimSun" w:eastAsia="FangSong_GB2312" w:cs="SimSun"/>
          <w:color w:val="000000"/>
          <w:kern w:val="0"/>
          <w:szCs w:val="32"/>
          <w:shd w:val="clear" w:color="auto" w:fill="FFFFFF"/>
          <w:lang w:val="zh-CN" w:eastAsia="zh-CN"/>
        </w:rPr>
        <w:t>阳光信访、领导视频接访网络服务费：</w:t>
      </w:r>
      <w:r>
        <w:rPr>
          <w:rFonts w:hint="eastAsia" w:ascii="FangSong_GB2312" w:hAnsi="SimSun" w:eastAsia="FangSong_GB2312" w:cs="SimSun"/>
          <w:color w:val="000000"/>
          <w:kern w:val="0"/>
          <w:szCs w:val="32"/>
          <w:shd w:val="clear" w:color="auto" w:fill="FFFFFF"/>
          <w:lang w:val="en-US" w:eastAsia="zh-CN"/>
        </w:rPr>
        <w:t>2022年</w:t>
      </w:r>
      <w:r>
        <w:rPr>
          <w:rFonts w:hint="eastAsia" w:ascii="FangSong_GB2312" w:hAnsi="SimSun" w:eastAsia="FangSong_GB2312" w:cs="SimSun"/>
          <w:color w:val="000000"/>
          <w:kern w:val="0"/>
          <w:szCs w:val="32"/>
          <w:shd w:val="clear" w:color="auto" w:fill="FFFFFF"/>
          <w:lang w:val="zh-CN" w:eastAsia="zh-CN"/>
        </w:rPr>
        <w:t>阳光信访、领导视频接访网络服务费支出</w:t>
      </w:r>
      <w:r>
        <w:rPr>
          <w:rFonts w:hint="eastAsia" w:ascii="FangSong_GB2312" w:hAnsi="SimSun" w:eastAsia="FangSong_GB2312" w:cs="SimSun"/>
          <w:color w:val="000000"/>
          <w:kern w:val="0"/>
          <w:szCs w:val="32"/>
          <w:shd w:val="clear" w:color="auto" w:fill="FFFFFF"/>
          <w:lang w:val="en-US" w:eastAsia="zh-CN"/>
        </w:rPr>
        <w:t>5.64万元，该项目主要是全年保障网上投诉平台的正常运行，畅通信访渠道和省市县领导视频接访198人次以及参加全国省市2022年的各类信访会议11次，业务培训会22次、贯彻国家信访政策2次、中省市三级工作指示3次。为2022年的信访工作提供了有力保障。</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000000"/>
          <w:kern w:val="0"/>
          <w:szCs w:val="32"/>
          <w:shd w:val="clear" w:color="auto" w:fill="FFFFFF"/>
          <w:lang w:val="en-US" w:eastAsia="zh-CN"/>
        </w:rPr>
      </w:pPr>
      <w:r>
        <w:rPr>
          <w:rFonts w:hint="eastAsia" w:ascii="Microsoft YaHei" w:hAnsi="Microsoft YaHei" w:eastAsia="Microsoft YaHei" w:cs="Microsoft YaHei"/>
          <w:color w:val="000000"/>
          <w:kern w:val="0"/>
          <w:szCs w:val="32"/>
          <w:shd w:val="clear" w:color="auto" w:fill="FFFFFF"/>
          <w:lang w:val="en-US" w:eastAsia="zh-CN"/>
        </w:rPr>
        <w:t>③</w:t>
      </w:r>
      <w:r>
        <w:rPr>
          <w:rFonts w:hint="eastAsia" w:ascii="FangSong_GB2312" w:hAnsi="SimSun" w:eastAsia="FangSong_GB2312" w:cs="SimSun"/>
          <w:color w:val="000000"/>
          <w:kern w:val="0"/>
          <w:szCs w:val="32"/>
          <w:shd w:val="clear" w:color="auto" w:fill="FFFFFF"/>
          <w:lang w:val="zh-CN" w:eastAsia="zh-CN"/>
        </w:rPr>
        <w:t>信访稳定经费：</w:t>
      </w:r>
      <w:r>
        <w:rPr>
          <w:rFonts w:hint="eastAsia" w:ascii="FangSong_GB2312" w:hAnsi="SimSun" w:eastAsia="FangSong_GB2312" w:cs="SimSun"/>
          <w:color w:val="000000"/>
          <w:kern w:val="0"/>
          <w:szCs w:val="32"/>
          <w:shd w:val="clear" w:color="auto" w:fill="FFFFFF"/>
          <w:lang w:val="en-US" w:eastAsia="zh-CN"/>
        </w:rPr>
        <w:t>2022年信访稳定经费支出19.61万元，完成2022年全国、省、市、县敏感时期的信访稳定工作，下乡督查信访工作183余次、带案下访96次、督办信访案43次；完成领导接访、下访317次；处理突发性、群体性事件38次；参加敏感时期、重大活动信访稳定工作51次；化解信访难案2件，有力促进全县社会和谐稳定，提高群众满意度。</w:t>
      </w:r>
    </w:p>
    <w:p>
      <w:pPr>
        <w:widowControl/>
        <w:adjustRightInd w:val="0"/>
        <w:snapToGrid w:val="0"/>
        <w:spacing w:line="580" w:lineRule="exact"/>
        <w:ind w:firstLine="640" w:firstLineChars="200"/>
        <w:contextualSpacing/>
        <w:jc w:val="left"/>
        <w:rPr>
          <w:rFonts w:hint="eastAsia" w:ascii="FangSong_GB2312" w:hAnsi="SimSun" w:eastAsia="FangSong_GB2312" w:cs="SimSun"/>
          <w:color w:val="auto"/>
          <w:kern w:val="0"/>
          <w:szCs w:val="32"/>
          <w:shd w:val="clear" w:color="auto" w:fill="FFFFFF"/>
          <w:lang w:val="en-US" w:eastAsia="zh-CN"/>
        </w:rPr>
      </w:pPr>
      <w:r>
        <w:rPr>
          <w:rFonts w:hint="eastAsia" w:ascii="Microsoft YaHei" w:hAnsi="Microsoft YaHei" w:eastAsia="Microsoft YaHei" w:cs="Microsoft YaHei"/>
          <w:color w:val="000000"/>
          <w:kern w:val="0"/>
          <w:szCs w:val="32"/>
          <w:shd w:val="clear" w:color="auto" w:fill="FFFFFF"/>
          <w:lang w:val="en-US" w:eastAsia="zh-CN"/>
        </w:rPr>
        <w:t>④</w:t>
      </w:r>
      <w:r>
        <w:rPr>
          <w:rFonts w:hint="eastAsia" w:ascii="FangSong_GB2312" w:hAnsi="SimSun" w:eastAsia="FangSong_GB2312" w:cs="SimSun"/>
          <w:color w:val="000000"/>
          <w:kern w:val="0"/>
          <w:szCs w:val="32"/>
          <w:shd w:val="clear" w:color="auto" w:fill="FFFFFF"/>
          <w:lang w:val="zh-CN" w:eastAsia="zh-CN"/>
        </w:rPr>
        <w:t>全国及省市县两会经费：</w:t>
      </w:r>
      <w:r>
        <w:rPr>
          <w:rFonts w:hint="eastAsia" w:ascii="FangSong_GB2312" w:hAnsi="SimSun" w:eastAsia="FangSong_GB2312" w:cs="SimSun"/>
          <w:color w:val="000000"/>
          <w:kern w:val="0"/>
          <w:szCs w:val="32"/>
          <w:shd w:val="clear" w:color="auto" w:fill="FFFFFF"/>
          <w:lang w:val="en-US" w:eastAsia="zh-CN"/>
        </w:rPr>
        <w:t>2022年全国及省市县两会经费支出3万元，顺利完成2022年全国及省市县两会期间和</w:t>
      </w:r>
      <w:r>
        <w:rPr>
          <w:rFonts w:hint="eastAsia" w:ascii="FangSong_GB2312" w:hAnsi="FangSong_GB2312" w:eastAsia="FangSong_GB2312" w:cs="FangSong_GB2312"/>
          <w:color w:val="auto"/>
          <w:sz w:val="32"/>
          <w:szCs w:val="32"/>
          <w:lang w:val="en-US" w:eastAsia="zh-CN"/>
        </w:rPr>
        <w:t>冬奥会、残奥会等重大会议的信访稳定工作13次。</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zh-CN"/>
        </w:rPr>
        <w:t>2.100万以上项目：县信访局</w:t>
      </w:r>
      <w:r>
        <w:rPr>
          <w:rFonts w:hint="eastAsia" w:ascii="FangSong_GB2312" w:hAnsi="SimSun" w:eastAsia="FangSong_GB2312" w:cs="SimSun"/>
          <w:color w:val="000000"/>
          <w:kern w:val="0"/>
          <w:szCs w:val="32"/>
          <w:shd w:val="clear" w:color="auto" w:fill="FFFFFF"/>
          <w:lang w:val="en-US" w:eastAsia="zh-CN"/>
        </w:rPr>
        <w:t>2022年无100万元以上的项目。</w:t>
      </w:r>
    </w:p>
    <w:p>
      <w:pPr>
        <w:widowControl/>
        <w:adjustRightInd w:val="0"/>
        <w:snapToGrid w:val="0"/>
        <w:spacing w:line="580" w:lineRule="exact"/>
        <w:ind w:firstLine="640" w:firstLineChars="200"/>
        <w:contextualSpacing/>
        <w:jc w:val="left"/>
        <w:rPr>
          <w:rFonts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（三）结果应用情况。</w:t>
      </w:r>
    </w:p>
    <w:p>
      <w:pPr>
        <w:widowControl/>
        <w:numPr>
          <w:ilvl w:val="0"/>
          <w:numId w:val="0"/>
        </w:numPr>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为整体提高资金使用效率防范风险，2022年县信访局严格执行财经纪律，量入为出，收支平衡，科学研判。进行各风险点排查，对各风险点进行防控，制定相关制度，确保资金的安全、高效使用。</w:t>
      </w:r>
    </w:p>
    <w:p>
      <w:pPr>
        <w:widowControl/>
        <w:adjustRightInd w:val="0"/>
        <w:snapToGrid w:val="0"/>
        <w:spacing w:line="580" w:lineRule="exact"/>
        <w:ind w:firstLine="640" w:firstLineChars="200"/>
        <w:contextualSpacing/>
        <w:jc w:val="left"/>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2022年度县信访局在县委</w:t>
      </w:r>
      <w:r>
        <w:rPr>
          <w:rFonts w:hint="eastAsia" w:ascii="FangSong_GB2312" w:hAnsi="SimSun" w:eastAsia="SimSun" w:cs="SimSun"/>
          <w:color w:val="000000"/>
          <w:kern w:val="0"/>
          <w:szCs w:val="32"/>
          <w:shd w:val="clear" w:color="auto" w:fill="FFFFFF"/>
          <w:lang w:val="en-US" w:eastAsia="zh-CN"/>
        </w:rPr>
        <w:t>、县</w:t>
      </w:r>
      <w:r>
        <w:rPr>
          <w:rFonts w:hint="eastAsia" w:ascii="FangSong_GB2312" w:hAnsi="SimSun" w:eastAsia="FangSong_GB2312" w:cs="SimSun"/>
          <w:color w:val="000000"/>
          <w:kern w:val="0"/>
          <w:szCs w:val="32"/>
          <w:shd w:val="clear" w:color="auto" w:fill="FFFFFF"/>
          <w:lang w:val="en-US" w:eastAsia="zh-CN"/>
        </w:rPr>
        <w:t>政府的领导下，各相关部门的有力支持帮助，县信访局顺利完成2022年的全部信访工作和县委、县</w:t>
      </w:r>
      <w:bookmarkStart w:id="1" w:name="_GoBack"/>
      <w:bookmarkEnd w:id="1"/>
      <w:r>
        <w:rPr>
          <w:rFonts w:hint="eastAsia" w:ascii="FangSong_GB2312" w:hAnsi="SimSun" w:eastAsia="FangSong_GB2312" w:cs="SimSun"/>
          <w:color w:val="000000"/>
          <w:kern w:val="0"/>
          <w:szCs w:val="32"/>
          <w:shd w:val="clear" w:color="auto" w:fill="FFFFFF"/>
          <w:lang w:val="en-US" w:eastAsia="zh-CN"/>
        </w:rPr>
        <w:t>政府交办的帮扶、环境整治等各项工作任务与临时性工作以及市信访局下达的各项工作任务。</w:t>
      </w:r>
    </w:p>
    <w:p>
      <w:pPr>
        <w:widowControl/>
        <w:adjustRightInd w:val="0"/>
        <w:snapToGrid w:val="0"/>
        <w:spacing w:line="580" w:lineRule="exact"/>
        <w:ind w:firstLine="640" w:firstLineChars="200"/>
        <w:contextualSpacing/>
        <w:jc w:val="left"/>
        <w:rPr>
          <w:rFonts w:ascii="SimHei" w:hAnsi="SimHei" w:eastAsia="SimHei" w:cs="SimSun"/>
          <w:color w:val="000000"/>
          <w:kern w:val="0"/>
          <w:szCs w:val="32"/>
          <w:shd w:val="clear" w:color="auto" w:fill="FFFFFF"/>
        </w:rPr>
      </w:pPr>
      <w:r>
        <w:rPr>
          <w:rFonts w:hint="eastAsia" w:ascii="SimHei" w:hAnsi="SimHei" w:eastAsia="SimHei" w:cs="SimSun"/>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default" w:eastAsia="KaiTi_GB2312"/>
          <w:lang w:val="en-US" w:eastAsia="zh-CN"/>
        </w:rPr>
      </w:pPr>
      <w:r>
        <w:rPr>
          <w:rFonts w:hint="eastAsia" w:ascii="FangSong_GB2312" w:hAnsi="SimSun" w:eastAsia="FangSong_GB2312" w:cs="SimSun"/>
          <w:b w:val="0"/>
          <w:bCs w:val="0"/>
          <w:color w:val="000000"/>
          <w:kern w:val="0"/>
          <w:sz w:val="32"/>
          <w:szCs w:val="32"/>
          <w:shd w:val="clear" w:color="auto" w:fill="FFFFFF"/>
          <w:lang w:val="zh-CN" w:eastAsia="zh-CN" w:bidi="ar-SA"/>
        </w:rPr>
        <w:t>县信访局根据《峨边彝族自治县财政局关于开展20</w:t>
      </w:r>
      <w:r>
        <w:rPr>
          <w:rFonts w:hint="eastAsia" w:ascii="FangSong_GB2312" w:hAnsi="SimSun" w:eastAsia="FangSong_GB2312" w:cs="SimSun"/>
          <w:b w:val="0"/>
          <w:bCs w:val="0"/>
          <w:color w:val="000000"/>
          <w:kern w:val="0"/>
          <w:sz w:val="32"/>
          <w:szCs w:val="32"/>
          <w:shd w:val="clear" w:color="auto" w:fill="FFFFFF"/>
          <w:lang w:val="en-US" w:eastAsia="zh-CN" w:bidi="ar-SA"/>
        </w:rPr>
        <w:t>22</w:t>
      </w:r>
      <w:r>
        <w:rPr>
          <w:rFonts w:hint="eastAsia" w:ascii="FangSong_GB2312" w:hAnsi="SimSun" w:eastAsia="FangSong_GB2312" w:cs="SimSun"/>
          <w:b w:val="0"/>
          <w:bCs w:val="0"/>
          <w:color w:val="000000"/>
          <w:kern w:val="0"/>
          <w:sz w:val="32"/>
          <w:szCs w:val="32"/>
          <w:shd w:val="clear" w:color="auto" w:fill="FFFFFF"/>
          <w:lang w:val="zh-CN" w:eastAsia="zh-CN" w:bidi="ar-SA"/>
        </w:rPr>
        <w:t>年部门整体、项目和政策支出绩效评价工作的通知》文件精神，</w:t>
      </w:r>
      <w:r>
        <w:rPr>
          <w:rFonts w:hint="eastAsia" w:ascii="FangSong_GB2312" w:hAnsi="SimSun" w:eastAsia="FangSong_GB2312" w:cs="SimSun"/>
          <w:b w:val="0"/>
          <w:bCs w:val="0"/>
          <w:color w:val="000000"/>
          <w:kern w:val="0"/>
          <w:sz w:val="32"/>
          <w:szCs w:val="32"/>
          <w:shd w:val="clear" w:color="auto" w:fill="FFFFFF"/>
          <w:lang w:val="en-US" w:eastAsia="zh-CN" w:bidi="ar-SA"/>
        </w:rPr>
        <w:t>认真组织开展了对本部门整体支出绩效评价工作，经对本部门整体绩效综合自评，绩效评价</w:t>
      </w:r>
      <w:r>
        <w:rPr>
          <w:rFonts w:hint="eastAsia" w:ascii="FangSong_GB2312" w:hAnsi="SimSun" w:eastAsia="FangSong_GB2312" w:cs="SimSun"/>
          <w:b w:val="0"/>
          <w:bCs w:val="0"/>
          <w:color w:val="000000"/>
          <w:kern w:val="0"/>
          <w:sz w:val="32"/>
          <w:szCs w:val="32"/>
          <w:shd w:val="clear" w:color="auto" w:fill="FFFFFF"/>
          <w:lang w:val="zh-CN" w:eastAsia="zh-CN" w:bidi="ar-SA"/>
        </w:rPr>
        <w:t>得分</w:t>
      </w:r>
      <w:r>
        <w:rPr>
          <w:rFonts w:hint="eastAsia" w:ascii="FangSong_GB2312" w:hAnsi="SimSun" w:eastAsia="FangSong_GB2312" w:cs="SimSun"/>
          <w:b w:val="0"/>
          <w:bCs w:val="0"/>
          <w:color w:val="000000"/>
          <w:kern w:val="0"/>
          <w:sz w:val="32"/>
          <w:szCs w:val="32"/>
          <w:shd w:val="clear" w:color="auto" w:fill="FFFFFF"/>
          <w:lang w:val="en-US" w:eastAsia="zh-CN" w:bidi="ar-SA"/>
        </w:rPr>
        <w:t>98</w:t>
      </w:r>
      <w:r>
        <w:rPr>
          <w:rFonts w:hint="eastAsia" w:ascii="FangSong_GB2312" w:hAnsi="SimSun" w:eastAsia="FangSong_GB2312" w:cs="SimSun"/>
          <w:b w:val="0"/>
          <w:bCs w:val="0"/>
          <w:color w:val="000000"/>
          <w:kern w:val="0"/>
          <w:sz w:val="32"/>
          <w:szCs w:val="32"/>
          <w:shd w:val="clear" w:color="auto" w:fill="FFFFFF"/>
          <w:lang w:val="zh-CN" w:eastAsia="zh-CN" w:bidi="ar-SA"/>
        </w:rPr>
        <w:t>分，评价结果：优。</w:t>
      </w:r>
    </w:p>
    <w:p>
      <w:pPr>
        <w:widowControl/>
        <w:adjustRightInd w:val="0"/>
        <w:snapToGrid w:val="0"/>
        <w:spacing w:line="580" w:lineRule="exact"/>
        <w:ind w:firstLine="640" w:firstLineChars="200"/>
        <w:contextualSpacing/>
        <w:jc w:val="left"/>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（二）存在问题。</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FangSong_GB2312" w:hAnsi="SimSun" w:eastAsia="FangSong_GB2312" w:cs="SimSun"/>
          <w:color w:val="000000"/>
          <w:kern w:val="0"/>
          <w:szCs w:val="32"/>
          <w:shd w:val="clear" w:color="auto" w:fill="FFFFFF"/>
          <w:lang w:val="zh-CN" w:eastAsia="zh-CN"/>
        </w:rPr>
      </w:pPr>
      <w:r>
        <w:rPr>
          <w:rFonts w:hint="eastAsia" w:ascii="FangSong_GB2312" w:hAnsi="SimSun" w:eastAsia="FangSong_GB2312" w:cs="SimSun"/>
          <w:color w:val="000000"/>
          <w:kern w:val="0"/>
          <w:szCs w:val="32"/>
          <w:shd w:val="clear" w:color="auto" w:fill="FFFFFF"/>
          <w:lang w:val="zh-CN" w:eastAsia="zh-CN"/>
        </w:rPr>
        <w:t>项目资金预算</w:t>
      </w:r>
      <w:r>
        <w:rPr>
          <w:rFonts w:hint="eastAsia" w:ascii="FangSong_GB2312" w:hAnsi="SimSun" w:eastAsia="FangSong_GB2312" w:cs="SimSun"/>
          <w:color w:val="000000"/>
          <w:kern w:val="0"/>
          <w:szCs w:val="32"/>
          <w:shd w:val="clear" w:color="auto" w:fill="FFFFFF"/>
          <w:lang w:val="en-US" w:eastAsia="zh-CN"/>
        </w:rPr>
        <w:t>经费预算精细化不够，资金支付力度不强。</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KaiTi_GB2312" w:hAnsi="SimSun" w:eastAsia="KaiTi_GB2312" w:cs="SimSun"/>
          <w:color w:val="000000"/>
          <w:kern w:val="0"/>
          <w:szCs w:val="32"/>
          <w:shd w:val="clear" w:color="auto" w:fill="FFFFFF"/>
          <w:lang w:val="zh-CN"/>
        </w:rPr>
      </w:pPr>
      <w:r>
        <w:rPr>
          <w:rFonts w:hint="eastAsia" w:ascii="KaiTi_GB2312" w:hAnsi="SimSun" w:eastAsia="KaiTi_GB2312" w:cs="SimSun"/>
          <w:color w:val="000000"/>
          <w:kern w:val="0"/>
          <w:szCs w:val="32"/>
          <w:shd w:val="clear" w:color="auto" w:fill="FFFFFF"/>
          <w:lang w:val="zh-CN"/>
        </w:rPr>
        <w:t>（三）改进建议。</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FangSong_GB2312" w:hAnsi="SimSun" w:eastAsia="FangSong_GB2312" w:cs="SimSun"/>
          <w:color w:val="000000"/>
          <w:kern w:val="0"/>
          <w:szCs w:val="32"/>
          <w:shd w:val="clear" w:color="auto" w:fill="FFFFFF"/>
          <w:lang w:val="zh-CN" w:eastAsia="zh-CN"/>
        </w:rPr>
      </w:pPr>
      <w:r>
        <w:rPr>
          <w:rFonts w:hint="eastAsia" w:ascii="FangSong_GB2312" w:hAnsi="SimSun" w:eastAsia="FangSong_GB2312" w:cs="SimSun"/>
          <w:color w:val="000000"/>
          <w:kern w:val="0"/>
          <w:szCs w:val="32"/>
          <w:shd w:val="clear" w:color="auto" w:fill="FFFFFF"/>
          <w:lang w:val="en-US" w:eastAsia="zh-CN"/>
        </w:rPr>
        <w:t>1.</w:t>
      </w:r>
      <w:r>
        <w:rPr>
          <w:rFonts w:hint="eastAsia" w:ascii="FangSong_GB2312" w:hAnsi="SimSun" w:eastAsia="FangSong_GB2312" w:cs="SimSun"/>
          <w:color w:val="000000"/>
          <w:kern w:val="0"/>
          <w:szCs w:val="32"/>
          <w:shd w:val="clear" w:color="auto" w:fill="FFFFFF"/>
          <w:lang w:val="zh-CN" w:eastAsia="zh-CN"/>
        </w:rPr>
        <w:t>加大对资金的预算精准度和使用前瞻性预算。</w:t>
      </w:r>
    </w:p>
    <w:p>
      <w:pPr>
        <w:pStyle w:val="2"/>
        <w:keepNext w:val="0"/>
        <w:keepLines w:val="0"/>
        <w:pageBreakBefore w:val="0"/>
        <w:kinsoku/>
        <w:wordWrap/>
        <w:overflowPunct/>
        <w:topLinePunct w:val="0"/>
        <w:autoSpaceDE/>
        <w:autoSpaceDN/>
        <w:bidi w:val="0"/>
        <w:spacing w:line="580" w:lineRule="exact"/>
        <w:jc w:val="left"/>
        <w:textAlignment w:val="auto"/>
        <w:rPr>
          <w:rFonts w:hint="default" w:ascii="FangSong_GB2312" w:hAnsi="SimSun" w:eastAsia="FangSong_GB2312" w:cs="SimSun"/>
          <w:b w:val="0"/>
          <w:bCs w:val="0"/>
          <w:color w:val="000000"/>
          <w:kern w:val="0"/>
          <w:sz w:val="32"/>
          <w:szCs w:val="32"/>
          <w:shd w:val="clear" w:color="auto" w:fill="FFFFFF"/>
          <w:lang w:val="en-US" w:eastAsia="zh-CN" w:bidi="ar-SA"/>
        </w:rPr>
      </w:pPr>
      <w:r>
        <w:rPr>
          <w:rFonts w:hint="eastAsia" w:ascii="FangSong_GB2312" w:hAnsi="SimSun" w:eastAsia="FangSong_GB2312" w:cs="SimSun"/>
          <w:color w:val="000000"/>
          <w:kern w:val="0"/>
          <w:szCs w:val="32"/>
          <w:shd w:val="clear" w:color="auto" w:fill="FFFFFF"/>
          <w:lang w:val="en-US" w:eastAsia="zh-CN"/>
        </w:rPr>
        <w:t xml:space="preserve">    </w:t>
      </w:r>
      <w:r>
        <w:rPr>
          <w:rFonts w:hint="eastAsia" w:ascii="FangSong_GB2312" w:hAnsi="SimSun" w:eastAsia="FangSong_GB2312" w:cs="SimSun"/>
          <w:b w:val="0"/>
          <w:bCs w:val="0"/>
          <w:color w:val="000000"/>
          <w:kern w:val="0"/>
          <w:sz w:val="32"/>
          <w:szCs w:val="32"/>
          <w:shd w:val="clear" w:color="auto" w:fill="FFFFFF"/>
          <w:lang w:val="en-US" w:eastAsia="zh-CN" w:bidi="ar-SA"/>
        </w:rPr>
        <w:t>2.提高资金的支付</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default" w:ascii="FangSong_GB2312" w:hAnsi="SimSun" w:eastAsia="FangSong_GB2312" w:cs="SimSun"/>
          <w:color w:val="000000"/>
          <w:kern w:val="0"/>
          <w:szCs w:val="32"/>
          <w:shd w:val="clear" w:color="auto" w:fill="FFFFFF"/>
          <w:lang w:val="en-US" w:eastAsia="zh-CN"/>
        </w:rPr>
      </w:pPr>
      <w:r>
        <w:rPr>
          <w:rFonts w:hint="eastAsia" w:ascii="FangSong_GB2312" w:hAnsi="SimSun" w:eastAsia="FangSong_GB2312" w:cs="SimSun"/>
          <w:color w:val="000000"/>
          <w:kern w:val="0"/>
          <w:szCs w:val="32"/>
          <w:shd w:val="clear" w:color="auto" w:fill="FFFFFF"/>
          <w:lang w:val="en-US" w:eastAsia="zh-CN"/>
        </w:rPr>
        <w:t>3.进一步完善各项内部控制制度，加大对资金风险点的防控。</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eastAsia" w:ascii="FangSong_GB2312" w:hAnsi="SimSun" w:eastAsia="FangSong_GB2312" w:cs="SimSun"/>
          <w:color w:val="000000"/>
          <w:kern w:val="0"/>
          <w:szCs w:val="32"/>
          <w:shd w:val="clear" w:color="auto" w:fill="FFFFFF"/>
          <w:lang w:val="zh-CN" w:eastAsia="zh-CN"/>
        </w:rPr>
      </w:pPr>
    </w:p>
    <w:p>
      <w:pPr>
        <w:pStyle w:val="2"/>
        <w:jc w:val="left"/>
        <w:rPr>
          <w:rFonts w:hint="default" w:eastAsia="SimSun"/>
          <w:lang w:val="en-US" w:eastAsia="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embedRegular r:id="rId1" w:fontKey="{A37CC6D6-C32F-4E61-BBDC-7B1140FFF325}"/>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embedRegular r:id="rId2" w:fontKey="{B96FC6D6-D6B2-469B-B043-2E179A719E5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embedRegular r:id="rId3" w:fontKey="{253B2C5B-8FE5-4A34-B9F9-660A5B7A1ACE}"/>
  </w:font>
  <w:font w:name="??">
    <w:altName w:val="Times New Roman"/>
    <w:panose1 w:val="00000000000000000000"/>
    <w:charset w:val="00"/>
    <w:family w:val="roman"/>
    <w:pitch w:val="default"/>
    <w:sig w:usb0="00000000" w:usb1="00000000" w:usb2="00000000" w:usb3="00000000" w:csb0="00000000" w:csb1="00000000"/>
  </w:font>
  <w:font w:name="等线">
    <w:altName w:val="Microsoft YaHei"/>
    <w:panose1 w:val="02010600030101010101"/>
    <w:charset w:val="86"/>
    <w:family w:val="auto"/>
    <w:pitch w:val="default"/>
    <w:sig w:usb0="00000000" w:usb1="00000000" w:usb2="00000016" w:usb3="00000000" w:csb0="0004000F" w:csb1="00000000"/>
  </w:font>
  <w:font w:name="FZXiaoBiaoSong-B05S">
    <w:panose1 w:val="02000000000000000000"/>
    <w:charset w:val="86"/>
    <w:family w:val="script"/>
    <w:pitch w:val="default"/>
    <w:sig w:usb0="00000001" w:usb1="080E0000" w:usb2="00000000" w:usb3="00000000" w:csb0="00040000" w:csb1="00000000"/>
    <w:embedRegular r:id="rId4" w:fontKey="{D93B620A-7E13-476B-842A-89D06B9B8B07}"/>
  </w:font>
  <w:font w:name="方正仿宋_GBK">
    <w:altName w:val="Microsoft YaHei"/>
    <w:panose1 w:val="03000509000000000000"/>
    <w:charset w:val="86"/>
    <w:family w:val="auto"/>
    <w:pitch w:val="default"/>
    <w:sig w:usb0="00000000" w:usb1="00000000" w:usb2="00000000" w:usb3="00000000" w:csb0="00040000" w:csb1="00000000"/>
    <w:embedRegular r:id="rId5" w:fontKey="{0AD767AC-A7A9-4BAC-A21D-4F28A5CEF2C5}"/>
  </w:font>
  <w:font w:name="KaiTi_GB2312">
    <w:altName w:val="KaiTi"/>
    <w:panose1 w:val="02010609030101010101"/>
    <w:charset w:val="86"/>
    <w:family w:val="modern"/>
    <w:pitch w:val="default"/>
    <w:sig w:usb0="00000000" w:usb1="00000000" w:usb2="00000000" w:usb3="00000000" w:csb0="00040000" w:csb1="00000000"/>
    <w:embedRegular r:id="rId6" w:fontKey="{A9CB5643-4EDB-4867-AA4C-F7EC2386733B}"/>
  </w:font>
  <w:font w:name="FangSong_GB2312">
    <w:altName w:val="Times New Roman"/>
    <w:panose1 w:val="02010609030101010101"/>
    <w:charset w:val="86"/>
    <w:family w:val="modern"/>
    <w:pitch w:val="default"/>
    <w:sig w:usb0="00000000" w:usb1="00000000" w:usb2="00000000" w:usb3="00000000" w:csb0="00040000" w:csb1="00000000"/>
    <w:embedRegular r:id="rId7" w:fontKey="{251141E0-754F-4330-BB11-9FD5D8CB7194}"/>
  </w:font>
  <w:font w:name="Microsoft YaHei">
    <w:panose1 w:val="020B0503020204020204"/>
    <w:charset w:val="86"/>
    <w:family w:val="auto"/>
    <w:pitch w:val="default"/>
    <w:sig w:usb0="80000287" w:usb1="280F3C52" w:usb2="00000016" w:usb3="00000000" w:csb0="0004001F" w:csb1="00000000"/>
    <w:embedRegular r:id="rId8" w:fontKey="{57C2F4C2-BDB2-4C84-AF8A-FDB55B9DA67A}"/>
  </w:font>
  <w:font w:name="KaiTi">
    <w:panose1 w:val="02010609060101010101"/>
    <w:charset w:val="86"/>
    <w:family w:val="auto"/>
    <w:pitch w:val="default"/>
    <w:sig w:usb0="800002BF" w:usb1="38CF7CFA" w:usb2="00000016" w:usb3="00000000" w:csb0="00040001" w:csb1="00000000"/>
    <w:embedRegular r:id="rId9" w:fontKey="{10F7A75B-6A3F-4D03-BFBD-EBD8C9B2A5CF}"/>
  </w:font>
  <w:font w:name="MS PGothic">
    <w:panose1 w:val="020B0600070205080204"/>
    <w:charset w:val="80"/>
    <w:family w:val="auto"/>
    <w:pitch w:val="default"/>
    <w:sig w:usb0="E00002FF" w:usb1="6AC7FDFB" w:usb2="00000012" w:usb3="00000000" w:csb0="4002009F" w:csb1="DFD70000"/>
  </w:font>
  <w:font w:name="FangSong_GB2312">
    <w:altName w:val="FangSong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ascii="SimSun" w:hAnsi="SimSun"/>
        <w:sz w:val="28"/>
        <w:szCs w:val="28"/>
      </w:rPr>
      <w:fldChar w:fldCharType="begin"/>
    </w:r>
    <w:r>
      <w:rPr>
        <w:rFonts w:ascii="SimSun" w:hAnsi="SimSun"/>
        <w:sz w:val="28"/>
        <w:szCs w:val="28"/>
      </w:rPr>
      <w:instrText xml:space="preserve"> PAGE   \* MERGEFORMAT </w:instrText>
    </w:r>
    <w:r>
      <w:rPr>
        <w:rFonts w:ascii="SimSun" w:hAnsi="SimSun"/>
        <w:sz w:val="28"/>
        <w:szCs w:val="28"/>
      </w:rPr>
      <w:fldChar w:fldCharType="separate"/>
    </w:r>
    <w:r>
      <w:rPr>
        <w:rFonts w:ascii="SimSun"/>
        <w:sz w:val="28"/>
        <w:szCs w:val="28"/>
        <w:lang w:val="zh-CN"/>
      </w:rPr>
      <w:t>-</w:t>
    </w:r>
    <w:r>
      <w:rPr>
        <w:rFonts w:ascii="SimSun" w:hAnsi="SimSun"/>
        <w:sz w:val="28"/>
        <w:szCs w:val="28"/>
      </w:rPr>
      <w:t xml:space="preserve"> 12 -</w:t>
    </w:r>
    <w:r>
      <w:rPr>
        <w:rFonts w:ascii="SimSun" w:hAnsi="SimSun"/>
        <w:sz w:val="28"/>
        <w:szCs w:val="28"/>
      </w:rPr>
      <w:fldChar w:fldCharType="end"/>
    </w:r>
  </w:p>
  <w:p>
    <w:pPr>
      <w:pStyle w:val="5"/>
      <w:tabs>
        <w:tab w:val="right" w:pos="9184"/>
        <w:tab w:val="clear" w:pos="4153"/>
        <w:tab w:val="clear" w:pos="8306"/>
      </w:tabs>
      <w:rPr>
        <w:rFonts w:ascii="SimSun"/>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45B45"/>
    <w:multiLevelType w:val="singleLevel"/>
    <w:tmpl w:val="06845B4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zU1MjFjMDUwODIwZDg4NDczZTI5ZmU1NTQ5YzljMTk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5B40FDE"/>
    <w:rsid w:val="070E647E"/>
    <w:rsid w:val="0A2409C6"/>
    <w:rsid w:val="0A3714E1"/>
    <w:rsid w:val="0AAF0151"/>
    <w:rsid w:val="106A6619"/>
    <w:rsid w:val="13203999"/>
    <w:rsid w:val="14F275B8"/>
    <w:rsid w:val="15C72DBA"/>
    <w:rsid w:val="16F5513D"/>
    <w:rsid w:val="174165D4"/>
    <w:rsid w:val="18D17537"/>
    <w:rsid w:val="19927F78"/>
    <w:rsid w:val="1DC978AC"/>
    <w:rsid w:val="1DE81558"/>
    <w:rsid w:val="1F136AA8"/>
    <w:rsid w:val="21AE59D8"/>
    <w:rsid w:val="24472600"/>
    <w:rsid w:val="271B299E"/>
    <w:rsid w:val="286F56EA"/>
    <w:rsid w:val="29064F88"/>
    <w:rsid w:val="29E16691"/>
    <w:rsid w:val="29EA6657"/>
    <w:rsid w:val="2D527252"/>
    <w:rsid w:val="2DDB4C35"/>
    <w:rsid w:val="2DF6381D"/>
    <w:rsid w:val="329102D6"/>
    <w:rsid w:val="3A924611"/>
    <w:rsid w:val="3A9520B3"/>
    <w:rsid w:val="3DE562B7"/>
    <w:rsid w:val="3E6507EA"/>
    <w:rsid w:val="408A4F35"/>
    <w:rsid w:val="46761547"/>
    <w:rsid w:val="47550EBA"/>
    <w:rsid w:val="4C8F6EBF"/>
    <w:rsid w:val="502D3198"/>
    <w:rsid w:val="503F27A8"/>
    <w:rsid w:val="50BB3388"/>
    <w:rsid w:val="51491D32"/>
    <w:rsid w:val="523429E2"/>
    <w:rsid w:val="54C2699B"/>
    <w:rsid w:val="559B42B1"/>
    <w:rsid w:val="58861A85"/>
    <w:rsid w:val="58FE26EC"/>
    <w:rsid w:val="5C844566"/>
    <w:rsid w:val="63871B0D"/>
    <w:rsid w:val="6636451A"/>
    <w:rsid w:val="68104F00"/>
    <w:rsid w:val="695D2C18"/>
    <w:rsid w:val="6A0E2937"/>
    <w:rsid w:val="6BE94116"/>
    <w:rsid w:val="6C4258A4"/>
    <w:rsid w:val="6F490CF7"/>
    <w:rsid w:val="72DF1A1B"/>
    <w:rsid w:val="74E4574A"/>
    <w:rsid w:val="75CD61DE"/>
    <w:rsid w:val="76364C3B"/>
    <w:rsid w:val="78916378"/>
    <w:rsid w:val="7A684727"/>
    <w:rsid w:val="7AEF6BF7"/>
    <w:rsid w:val="7B876E2F"/>
    <w:rsid w:val="7B98728E"/>
    <w:rsid w:val="7BB00E61"/>
    <w:rsid w:val="7BC20073"/>
    <w:rsid w:val="7C110C5B"/>
    <w:rsid w:val="7C631402"/>
    <w:rsid w:val="7DCC0F6E"/>
    <w:rsid w:val="7E140770"/>
    <w:rsid w:val="7EE06F82"/>
    <w:rsid w:val="7F1B7FBA"/>
    <w:rsid w:val="7F8F2756"/>
    <w:rsid w:val="7FCC20B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SimSun" w:cs="Times New Roman"/>
      <w:kern w:val="2"/>
      <w:sz w:val="32"/>
      <w:szCs w:val="24"/>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cs="Arial"/>
      <w:b/>
      <w:bCs/>
      <w:sz w:val="32"/>
      <w:szCs w:val="32"/>
    </w:rPr>
  </w:style>
  <w:style w:type="paragraph" w:styleId="3">
    <w:name w:val="Document Map"/>
    <w:basedOn w:val="1"/>
    <w:link w:val="11"/>
    <w:autoRedefine/>
    <w:qFormat/>
    <w:uiPriority w:val="99"/>
    <w:rPr>
      <w:rFonts w:ascii="SimSun"/>
      <w:sz w:val="18"/>
      <w:szCs w:val="18"/>
    </w:rPr>
  </w:style>
  <w:style w:type="paragraph" w:styleId="4">
    <w:name w:val="Balloon Text"/>
    <w:basedOn w:val="1"/>
    <w:link w:val="12"/>
    <w:autoRedefine/>
    <w:semiHidden/>
    <w:qFormat/>
    <w:uiPriority w:val="99"/>
    <w:rPr>
      <w:sz w:val="18"/>
      <w:szCs w:val="18"/>
    </w:rPr>
  </w:style>
  <w:style w:type="paragraph" w:styleId="5">
    <w:name w:val="footer"/>
    <w:basedOn w:val="1"/>
    <w:link w:val="13"/>
    <w:autoRedefine/>
    <w:qFormat/>
    <w:uiPriority w:val="99"/>
    <w:pPr>
      <w:tabs>
        <w:tab w:val="center" w:pos="4153"/>
        <w:tab w:val="right" w:pos="8306"/>
      </w:tabs>
      <w:snapToGrid w:val="0"/>
      <w:jc w:val="left"/>
    </w:pPr>
    <w:rPr>
      <w:sz w:val="18"/>
      <w:szCs w:val="18"/>
    </w:rPr>
  </w:style>
  <w:style w:type="paragraph" w:styleId="6">
    <w:name w:val="header"/>
    <w:basedOn w:val="1"/>
    <w:link w:val="14"/>
    <w:autoRedefine/>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qFormat/>
    <w:uiPriority w:val="99"/>
    <w:rPr>
      <w:rFonts w:cs="Times New Roman"/>
    </w:rPr>
  </w:style>
  <w:style w:type="character" w:customStyle="1" w:styleId="11">
    <w:name w:val="文档结构图 Char"/>
    <w:link w:val="3"/>
    <w:qFormat/>
    <w:locked/>
    <w:uiPriority w:val="99"/>
    <w:rPr>
      <w:rFonts w:ascii="SimSun" w:cs="Times New Roman"/>
      <w:kern w:val="2"/>
      <w:sz w:val="18"/>
      <w:szCs w:val="18"/>
    </w:rPr>
  </w:style>
  <w:style w:type="character" w:customStyle="1" w:styleId="12">
    <w:name w:val="批注框文本 Char"/>
    <w:link w:val="4"/>
    <w:semiHidden/>
    <w:qFormat/>
    <w:locked/>
    <w:uiPriority w:val="99"/>
    <w:rPr>
      <w:rFonts w:cs="Times New Roman"/>
      <w:sz w:val="2"/>
    </w:rPr>
  </w:style>
  <w:style w:type="character" w:customStyle="1" w:styleId="13">
    <w:name w:val="页脚 Char"/>
    <w:link w:val="5"/>
    <w:qFormat/>
    <w:locked/>
    <w:uiPriority w:val="99"/>
    <w:rPr>
      <w:rFonts w:cs="Times New Roman"/>
      <w:kern w:val="2"/>
      <w:sz w:val="18"/>
      <w:szCs w:val="18"/>
    </w:rPr>
  </w:style>
  <w:style w:type="character" w:customStyle="1" w:styleId="14">
    <w:name w:val="页眉 Char"/>
    <w:link w:val="6"/>
    <w:semiHidden/>
    <w:qFormat/>
    <w:locked/>
    <w:uiPriority w:val="99"/>
    <w:rPr>
      <w:rFonts w:cs="Times New Roman"/>
      <w:sz w:val="18"/>
      <w:szCs w:val="18"/>
    </w:rPr>
  </w:style>
  <w:style w:type="paragraph" w:customStyle="1" w:styleId="15">
    <w:name w:val="四号正文"/>
    <w:basedOn w:val="1"/>
    <w:link w:val="16"/>
    <w:qFormat/>
    <w:uiPriority w:val="99"/>
    <w:pPr>
      <w:spacing w:line="360" w:lineRule="auto"/>
    </w:pPr>
    <w:rPr>
      <w:rFonts w:ascii="??" w:hAnsi="??" w:cs="SimSun"/>
      <w:color w:val="000000"/>
      <w:kern w:val="0"/>
      <w:sz w:val="28"/>
      <w:szCs w:val="21"/>
    </w:rPr>
  </w:style>
  <w:style w:type="character" w:customStyle="1" w:styleId="16">
    <w:name w:val="四号正文 Char"/>
    <w:link w:val="15"/>
    <w:qFormat/>
    <w:locked/>
    <w:uiPriority w:val="99"/>
    <w:rPr>
      <w:rFonts w:ascii="??" w:hAnsi="??" w:eastAsia="SimSun" w:cs="SimSun"/>
      <w:color w:val="000000"/>
      <w:sz w:val="21"/>
      <w:szCs w:val="21"/>
      <w:lang w:val="en-US" w:eastAsia="zh-CN" w:bidi="ar-SA"/>
    </w:rPr>
  </w:style>
  <w:style w:type="paragraph" w:customStyle="1" w:styleId="17">
    <w:name w:val="a"/>
    <w:basedOn w:val="1"/>
    <w:qFormat/>
    <w:uiPriority w:val="99"/>
    <w:pPr>
      <w:widowControl/>
      <w:spacing w:before="100" w:beforeAutospacing="1" w:after="100" w:afterAutospacing="1"/>
      <w:jc w:val="left"/>
    </w:pPr>
    <w:rPr>
      <w:rFonts w:ascii="SimSun" w:hAnsi="SimSun" w:cs="SimSun"/>
      <w:kern w:val="0"/>
      <w:sz w:val="24"/>
    </w:rPr>
  </w:style>
  <w:style w:type="paragraph" w:customStyle="1" w:styleId="18">
    <w:name w:val="实施方案正文"/>
    <w:qFormat/>
    <w:uiPriority w:val="0"/>
    <w:pPr>
      <w:widowControl w:val="0"/>
      <w:ind w:firstLine="566" w:firstLineChars="202"/>
      <w:jc w:val="both"/>
    </w:pPr>
    <w:rPr>
      <w:rFonts w:ascii="等线" w:hAnsi="等线" w:eastAsia="等线" w:cs="Times New Roman"/>
      <w:kern w:val="2"/>
      <w:sz w:val="21"/>
      <w:szCs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PSZX</Company>
  <Pages>3</Pages>
  <Words>978</Words>
  <Characters>1017</Characters>
  <Lines>3</Lines>
  <Paragraphs>1</Paragraphs>
  <TotalTime>11</TotalTime>
  <ScaleCrop>false</ScaleCrop>
  <LinksUpToDate>false</LinksUpToDate>
  <CharactersWithSpaces>1025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碧云天</cp:lastModifiedBy>
  <cp:lastPrinted>2022-03-15T02:17:00Z</cp:lastPrinted>
  <dcterms:modified xsi:type="dcterms:W3CDTF">2024-03-27T08:20:23Z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53B7F86B27C64309879EEE75FFE498EF</vt:lpwstr>
  </property>
</Properties>
</file>