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hint="eastAsia" w:ascii="SimHei" w:hAnsi="SimHei" w:eastAsia="SimHei"/>
          <w:lang w:eastAsia="zh-CN"/>
        </w:rPr>
      </w:pPr>
      <w:r>
        <w:rPr>
          <w:rFonts w:hint="eastAsia" w:ascii="SimHei" w:hAnsi="SimHei" w:eastAsia="SimHei"/>
        </w:rPr>
        <w:t>附件</w:t>
      </w:r>
      <w:r>
        <w:rPr>
          <w:rFonts w:hint="eastAsia" w:ascii="SimHei" w:hAnsi="SimHei" w:eastAsia="SimHei"/>
          <w:lang w:val="en-US" w:eastAsia="zh-CN"/>
        </w:rPr>
        <w:t>7</w:t>
      </w:r>
    </w:p>
    <w:p>
      <w:pPr>
        <w:keepNext w:val="0"/>
        <w:keepLines w:val="0"/>
        <w:pageBreakBefore w:val="0"/>
        <w:kinsoku/>
        <w:wordWrap/>
        <w:overflowPunct/>
        <w:topLinePunct w:val="0"/>
        <w:autoSpaceDE/>
        <w:autoSpaceDN/>
        <w:bidi w:val="0"/>
        <w:spacing w:line="600" w:lineRule="exact"/>
        <w:textAlignment w:val="auto"/>
        <w:rPr>
          <w:rFonts w:ascii="FangSong_GB2312" w:hAnsi="SimSun"/>
        </w:rPr>
      </w:pPr>
    </w:p>
    <w:p>
      <w:pPr>
        <w:pStyle w:val="8"/>
        <w:keepNext w:val="0"/>
        <w:keepLines w:val="0"/>
        <w:pageBreakBefore w:val="0"/>
        <w:kinsoku/>
        <w:wordWrap/>
        <w:overflowPunct/>
        <w:topLinePunct w:val="0"/>
        <w:autoSpaceDE/>
        <w:autoSpaceDN/>
        <w:bidi w:val="0"/>
        <w:spacing w:line="600" w:lineRule="exact"/>
        <w:ind w:firstLine="2090" w:firstLineChars="475"/>
        <w:jc w:val="both"/>
        <w:textAlignment w:val="auto"/>
        <w:rPr>
          <w:rFonts w:ascii="FangSong_GB2312" w:hAnsi="SimSun" w:eastAsia="FangSong_GB2312"/>
          <w:color w:val="auto"/>
          <w:kern w:val="2"/>
          <w:sz w:val="32"/>
          <w:szCs w:val="32"/>
        </w:rPr>
      </w:pPr>
      <w:r>
        <w:rPr>
          <w:rFonts w:hint="eastAsia" w:ascii="FZXiaoBiaoSong-B05S" w:hAnsi="SimSun" w:eastAsia="FZXiaoBiaoSong-B05S"/>
          <w:sz w:val="44"/>
          <w:szCs w:val="44"/>
        </w:rPr>
        <w:t>项目支出绩效自评报告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FangSong_GB2312" w:hAnsi="SimSun"/>
        </w:rPr>
      </w:pPr>
      <w:r>
        <w:rPr>
          <w:rFonts w:hint="eastAsia" w:ascii="FangSong_GB2312" w:hAnsi="SimSun"/>
        </w:rPr>
        <w:t>（</w:t>
      </w:r>
      <w:r>
        <w:rPr>
          <w:rFonts w:hint="eastAsia" w:ascii="FangSong_GB2312" w:hAnsi="SimSun"/>
          <w:lang w:eastAsia="zh-CN"/>
        </w:rPr>
        <w:t>阳光信访、领导视频接访网络服务费</w:t>
      </w:r>
      <w:r>
        <w:rPr>
          <w:rFonts w:hint="eastAsia" w:ascii="FangSong_GB2312" w:hAnsi="SimSun"/>
        </w:rPr>
        <w:t>项目）</w:t>
      </w:r>
    </w:p>
    <w:p>
      <w:pPr>
        <w:pStyle w:val="8"/>
        <w:keepNext w:val="0"/>
        <w:keepLines w:val="0"/>
        <w:pageBreakBefore w:val="0"/>
        <w:kinsoku/>
        <w:wordWrap/>
        <w:overflowPunct/>
        <w:topLinePunct w:val="0"/>
        <w:autoSpaceDE/>
        <w:autoSpaceDN/>
        <w:bidi w:val="0"/>
        <w:spacing w:line="600" w:lineRule="exact"/>
        <w:ind w:firstLine="640"/>
        <w:jc w:val="center"/>
        <w:textAlignment w:val="auto"/>
        <w:rPr>
          <w:rFonts w:ascii="SimSun" w:hAnsi="SimSun"/>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en-US" w:eastAsia="zh-CN"/>
        </w:rPr>
      </w:pPr>
      <w:r>
        <w:rPr>
          <w:rFonts w:hint="eastAsia" w:ascii="FangSong_GB2312" w:hAnsi="SimSun"/>
          <w:lang w:val="zh-CN"/>
        </w:rPr>
        <w:t>1．</w:t>
      </w:r>
      <w:r>
        <w:rPr>
          <w:rFonts w:hint="eastAsia" w:ascii="FangSong_GB2312" w:hAnsi="SimSun"/>
          <w:lang w:eastAsia="zh-CN"/>
        </w:rPr>
        <w:t>阳光信访、领导视频接访网络服务费</w:t>
      </w:r>
      <w:r>
        <w:rPr>
          <w:rFonts w:hint="eastAsia" w:ascii="FangSong_GB2312" w:hAnsi="SimSun"/>
        </w:rPr>
        <w:t>项目</w:t>
      </w:r>
      <w:r>
        <w:rPr>
          <w:rFonts w:hint="eastAsia" w:ascii="FangSong_GB2312" w:hAnsi="SimSun"/>
          <w:lang w:eastAsia="zh-CN"/>
        </w:rPr>
        <w:t>是</w:t>
      </w:r>
      <w:r>
        <w:rPr>
          <w:rFonts w:hint="eastAsia" w:ascii="FangSong_GB2312" w:hAnsi="SimSun"/>
          <w:lang w:val="zh-CN" w:eastAsia="zh-CN"/>
        </w:rPr>
        <w:t>峨边彝族自治县信访局（以下简称县信访局）的单位专项行政运行预算项目，县信访局负责对单位预算专项</w:t>
      </w:r>
      <w:r>
        <w:rPr>
          <w:rFonts w:hint="eastAsia" w:ascii="FangSong_GB2312" w:hAnsi="SimSun"/>
          <w:lang w:eastAsia="zh-CN"/>
        </w:rPr>
        <w:t>阳光信访、领导视频接访网络服务费</w:t>
      </w:r>
      <w:r>
        <w:rPr>
          <w:rFonts w:hint="eastAsia" w:ascii="FangSong_GB2312" w:hAnsi="SimSun"/>
          <w:lang w:val="zh-CN" w:eastAsia="zh-CN"/>
        </w:rPr>
        <w:t>项目实施管理。</w:t>
      </w:r>
      <w:r>
        <w:rPr>
          <w:rFonts w:hint="eastAsia" w:ascii="FangSong_GB2312" w:hAnsi="SimSun"/>
          <w:lang w:val="zh-CN"/>
        </w:rPr>
        <w:t>是根据省信访局工作能力要求</w:t>
      </w:r>
      <w:r>
        <w:rPr>
          <w:rFonts w:hint="eastAsia" w:ascii="FangSong_GB2312" w:hAnsi="SimSun"/>
          <w:lang w:val="en-US" w:eastAsia="zh-CN"/>
        </w:rPr>
        <w:t>实施至今。</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2．</w:t>
      </w:r>
      <w:r>
        <w:rPr>
          <w:rFonts w:hint="eastAsia" w:ascii="FangSong_GB2312" w:hAnsi="SimSun"/>
          <w:lang w:eastAsia="zh-CN"/>
        </w:rPr>
        <w:t>阳光信访、领导视频接访网络服务费</w:t>
      </w:r>
      <w:r>
        <w:rPr>
          <w:rFonts w:hint="eastAsia" w:ascii="FangSong_GB2312" w:hAnsi="SimSun"/>
        </w:rPr>
        <w:t>项目</w:t>
      </w:r>
      <w:r>
        <w:rPr>
          <w:rFonts w:hint="eastAsia" w:ascii="FangSong_GB2312" w:hAnsi="SimSun"/>
          <w:lang w:eastAsia="zh-CN"/>
        </w:rPr>
        <w:t>是根据上级工作安排进行的</w:t>
      </w:r>
      <w:r>
        <w:rPr>
          <w:rFonts w:hint="eastAsia" w:ascii="FangSong_GB2312" w:hAnsi="SimSun"/>
          <w:lang w:val="zh-CN"/>
        </w:rPr>
        <w:t>立项项目，资金申报依据市上下达对该项目工作具体要求、开展时间期限安排进行的预算。</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r>
        <w:rPr>
          <w:rFonts w:hint="eastAsia" w:ascii="FangSong_GB2312" w:hAnsi="SimSun"/>
          <w:lang w:val="zh-CN"/>
        </w:rPr>
        <w:t>3．</w:t>
      </w:r>
      <w:r>
        <w:rPr>
          <w:rFonts w:hint="eastAsia" w:ascii="FangSong_GB2312" w:hAnsi="SimSun"/>
          <w:lang w:eastAsia="zh-CN"/>
        </w:rPr>
        <w:t>阳光信访、领导视频接访网络服务费</w:t>
      </w:r>
      <w:r>
        <w:rPr>
          <w:rFonts w:hint="eastAsia" w:ascii="FangSong_GB2312" w:hAnsi="SimSun"/>
        </w:rPr>
        <w:t>项目</w:t>
      </w:r>
      <w:r>
        <w:rPr>
          <w:rFonts w:hint="eastAsia" w:ascii="FangSong_GB2312" w:hAnsi="SimSun"/>
          <w:lang w:val="zh-CN"/>
        </w:rPr>
        <w:t>资金管理是按年租赁方式支付。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r>
        <w:rPr>
          <w:rFonts w:hint="eastAsia" w:ascii="FangSong_GB2312" w:hAnsi="SimSun"/>
          <w:lang w:val="zh-CN"/>
        </w:rPr>
        <w:t>资金的使用范围：按国家、省、市上安排</w:t>
      </w:r>
      <w:r>
        <w:rPr>
          <w:rFonts w:hint="eastAsia" w:ascii="FangSong_GB2312" w:hAnsi="SimSun"/>
          <w:lang w:val="en-US" w:eastAsia="zh-CN"/>
        </w:rPr>
        <w:t>2022年该项目资金使用范围为全国范围。资金</w:t>
      </w:r>
      <w:r>
        <w:rPr>
          <w:rFonts w:hint="eastAsia" w:ascii="FangSong_GB2312" w:hAnsi="SimSun"/>
          <w:lang w:val="zh-CN"/>
        </w:rPr>
        <w:t>主要用于依托互联网国家设立的网络投诉平台网络使用服务费和开通阳光信访中央、省、市、县领导视频接访及各级组织的网络培训、视频会议网络使用服务费。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4．</w:t>
      </w:r>
      <w:r>
        <w:rPr>
          <w:rFonts w:hint="eastAsia" w:ascii="FangSong_GB2312" w:hAnsi="SimSun"/>
          <w:lang w:eastAsia="zh-CN"/>
        </w:rPr>
        <w:t>阳光信访、领导视频接访网络服务费</w:t>
      </w:r>
      <w:r>
        <w:rPr>
          <w:rFonts w:hint="eastAsia" w:ascii="FangSong_GB2312" w:hAnsi="SimSun"/>
        </w:rPr>
        <w:t>项目</w:t>
      </w:r>
      <w:r>
        <w:rPr>
          <w:rFonts w:hint="eastAsia" w:ascii="FangSong_GB2312" w:hAnsi="SimSun"/>
          <w:lang w:val="zh-CN"/>
        </w:rPr>
        <w:t>资金分配按网络投诉平台服务租赁费、阳光信访领导视频接访网络使用租赁费两项费用。保障政策知晓度、拓展信访渠道、提高信访工作队伍能力、提升信访干部工作素质的有力保障。</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en-US" w:eastAsia="zh-CN"/>
        </w:rPr>
      </w:pPr>
      <w:r>
        <w:rPr>
          <w:rFonts w:hint="eastAsia" w:ascii="FangSong_GB2312" w:hAnsi="SimSun"/>
          <w:lang w:val="zh-CN"/>
        </w:rPr>
        <w:t>1．</w:t>
      </w:r>
      <w:r>
        <w:rPr>
          <w:rFonts w:hint="eastAsia" w:ascii="FangSong_GB2312" w:hAnsi="SimSun"/>
          <w:lang w:eastAsia="zh-CN"/>
        </w:rPr>
        <w:t>阳光信访、领导视频接访网络服务费</w:t>
      </w:r>
      <w:r>
        <w:rPr>
          <w:rFonts w:hint="eastAsia" w:ascii="FangSong_GB2312" w:hAnsi="SimSun"/>
          <w:lang w:val="zh-CN"/>
        </w:rPr>
        <w:t>项目是按市上规定开通的网络服务，</w:t>
      </w:r>
      <w:r>
        <w:rPr>
          <w:rFonts w:hint="eastAsia" w:ascii="FangSong_GB2312" w:hAnsi="SimSun"/>
          <w:lang w:val="en-US" w:eastAsia="zh-CN"/>
        </w:rPr>
        <w:t>2022年办结网络投诉件9件；</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color w:val="000000"/>
          <w:kern w:val="0"/>
          <w:szCs w:val="32"/>
          <w:shd w:val="clear" w:color="auto" w:fill="FFFFFF"/>
          <w:lang w:val="en-US" w:eastAsia="zh-CN"/>
        </w:rPr>
      </w:pPr>
      <w:r>
        <w:rPr>
          <w:rFonts w:hint="eastAsia" w:ascii="FangSong_GB2312" w:hAnsi="SimSun"/>
          <w:lang w:val="en-US" w:eastAsia="zh-CN"/>
        </w:rPr>
        <w:t>2.参加国家召开的信访干部业务知识培训22次；参加全国信访工作视频会议11次；全县县级领导接访198次；</w:t>
      </w:r>
      <w:r>
        <w:rPr>
          <w:rFonts w:hint="eastAsia" w:ascii="FangSong_GB2312" w:hAnsi="FangSong_GB2312" w:cs="FangSong_GB2312"/>
          <w:color w:val="000000"/>
          <w:kern w:val="0"/>
          <w:szCs w:val="32"/>
          <w:shd w:val="clear" w:color="auto" w:fill="FFFFFF"/>
          <w:lang w:val="en-US" w:eastAsia="zh-CN"/>
        </w:rPr>
        <w:t>传达国家信访政策2次；中央省市三级工作指示3次，为2022年的信访工作和促进社会和谐稳定提供了有力保证。</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3．</w:t>
      </w:r>
      <w:r>
        <w:rPr>
          <w:rFonts w:hint="eastAsia" w:ascii="FangSong_GB2312" w:hAnsi="SimSun"/>
          <w:lang w:eastAsia="zh-CN"/>
        </w:rPr>
        <w:t>阳光信访、领导视频接访网络服务费</w:t>
      </w:r>
      <w:r>
        <w:rPr>
          <w:rFonts w:hint="eastAsia" w:ascii="FangSong_GB2312" w:hAnsi="SimSun"/>
          <w:lang w:val="zh-CN"/>
        </w:rPr>
        <w:t>项目是应中央、省、市、县级工作需要安排的长期性工作支出经费，与工作实际相符，申报合理可行。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r>
        <w:rPr>
          <w:rFonts w:hint="eastAsia" w:ascii="FangSong_GB2312" w:hAnsi="SimSun"/>
          <w:lang w:eastAsia="zh-CN"/>
        </w:rPr>
        <w:t>阳光信访、领导视频接访网络服务费</w:t>
      </w:r>
      <w:r>
        <w:rPr>
          <w:rFonts w:hint="eastAsia" w:ascii="FangSong_GB2312" w:hAnsi="SimSun"/>
          <w:lang w:val="zh-CN"/>
        </w:rPr>
        <w:t>项目绩效自评采用的组织实施步骤按市上年初工作安排要求，进行该项目经费预算。资金使用方式是预算控制范围内据实报账。</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SimHei" w:hAnsi="SimSun" w:eastAsia="SimHei"/>
          <w:b/>
          <w:bCs/>
        </w:rPr>
      </w:pPr>
      <w:r>
        <w:rPr>
          <w:rFonts w:hint="eastAsia" w:ascii="SimHei" w:hAnsi="SimSun" w:eastAsia="SimHei"/>
          <w:b/>
          <w:bCs/>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en-US" w:eastAsia="zh-CN"/>
        </w:rPr>
      </w:pPr>
      <w:r>
        <w:rPr>
          <w:rFonts w:hint="eastAsia" w:ascii="FangSong_GB2312" w:hAnsi="SimSun"/>
          <w:lang w:eastAsia="zh-CN"/>
        </w:rPr>
        <w:t>阳光信访、领导视频接访网络服务费</w:t>
      </w:r>
      <w:r>
        <w:rPr>
          <w:rFonts w:hint="eastAsia" w:ascii="FangSong_GB2312" w:hAnsi="SimSun"/>
          <w:lang w:val="zh-CN"/>
        </w:rPr>
        <w:t>项目</w:t>
      </w:r>
      <w:r>
        <w:rPr>
          <w:rFonts w:hint="eastAsia" w:ascii="FangSong_GB2312" w:hAnsi="SimSun"/>
          <w:lang w:val="en-US" w:eastAsia="zh-CN"/>
        </w:rPr>
        <w:t>2022年预算资金5.64万元，财政拨款5.64万元，拨款率100%。</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1361" w:firstLineChars="425"/>
        <w:textAlignment w:val="auto"/>
        <w:rPr>
          <w:rFonts w:hint="eastAsia" w:ascii="FangSong_GB2312" w:hAnsi="SimSun"/>
          <w:b/>
          <w:bCs/>
          <w:lang w:val="zh-CN"/>
        </w:rPr>
      </w:pPr>
    </w:p>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eastAsia" w:ascii="FangSong_GB2312" w:hAnsi="SimSun"/>
          <w:b w:val="0"/>
          <w:bCs w:val="0"/>
          <w:lang w:val="zh-CN"/>
        </w:rPr>
      </w:pPr>
      <w:r>
        <w:rPr>
          <w:rFonts w:hint="eastAsia" w:ascii="FangSong_GB2312" w:hAnsi="SimSun"/>
          <w:b w:val="0"/>
          <w:bCs w:val="0"/>
          <w:lang w:val="zh-CN"/>
        </w:rPr>
        <w:t>阳光信访、领导视频接访网络服务费项目</w:t>
      </w:r>
    </w:p>
    <w:p>
      <w:pPr>
        <w:keepNext w:val="0"/>
        <w:keepLines w:val="0"/>
        <w:pageBreakBefore w:val="0"/>
        <w:kinsoku/>
        <w:wordWrap/>
        <w:overflowPunct/>
        <w:topLinePunct w:val="0"/>
        <w:autoSpaceDE/>
        <w:autoSpaceDN/>
        <w:bidi w:val="0"/>
        <w:adjustRightInd w:val="0"/>
        <w:snapToGrid w:val="0"/>
        <w:spacing w:line="600" w:lineRule="exact"/>
        <w:ind w:firstLine="320" w:firstLineChars="100"/>
        <w:jc w:val="center"/>
        <w:textAlignment w:val="auto"/>
        <w:rPr>
          <w:rFonts w:hint="eastAsia" w:ascii="FangSong_GB2312" w:hAnsi="SimSun"/>
          <w:b w:val="0"/>
          <w:bCs w:val="0"/>
          <w:lang w:val="zh-CN"/>
        </w:rPr>
      </w:pPr>
      <w:r>
        <w:rPr>
          <w:rFonts w:hint="eastAsia" w:ascii="FangSong_GB2312" w:hAnsi="SimSun"/>
          <w:b w:val="0"/>
          <w:bCs w:val="0"/>
          <w:lang w:val="en-US" w:eastAsia="zh-CN"/>
        </w:rPr>
        <w:t>2022年</w:t>
      </w:r>
      <w:r>
        <w:rPr>
          <w:rFonts w:hint="eastAsia" w:ascii="FangSong_GB2312" w:hAnsi="SimSun"/>
          <w:b w:val="0"/>
          <w:bCs w:val="0"/>
          <w:lang w:val="zh-CN"/>
        </w:rPr>
        <w:t>支付明细表</w:t>
      </w:r>
    </w:p>
    <w:tbl>
      <w:tblPr>
        <w:tblStyle w:val="6"/>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76"/>
        <w:gridCol w:w="1476"/>
        <w:gridCol w:w="1476"/>
        <w:gridCol w:w="147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序号</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vertAlign w:val="baseline"/>
                <w:lang w:val="zh-CN"/>
              </w:rPr>
            </w:pPr>
            <w:r>
              <w:rPr>
                <w:rFonts w:hint="eastAsia" w:ascii="FangSong_GB2312" w:hAnsi="SimSun"/>
                <w:sz w:val="28"/>
                <w:szCs w:val="28"/>
                <w:vertAlign w:val="baseline"/>
                <w:lang w:val="zh-CN"/>
              </w:rPr>
              <w:t>项目名称</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eastAsia="FangSong_GB2312"/>
                <w:sz w:val="28"/>
                <w:szCs w:val="28"/>
                <w:vertAlign w:val="baseline"/>
                <w:lang w:val="en-US" w:eastAsia="zh-CN"/>
              </w:rPr>
            </w:pPr>
            <w:r>
              <w:rPr>
                <w:rFonts w:hint="eastAsia" w:ascii="FangSong_GB2312" w:hAnsi="SimSun"/>
                <w:sz w:val="28"/>
                <w:szCs w:val="28"/>
                <w:vertAlign w:val="baseline"/>
                <w:lang w:val="en-US" w:eastAsia="zh-CN"/>
              </w:rPr>
              <w:t>预算金额（万元）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申请金额（万元）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left="280" w:hanging="280" w:hangingChars="100"/>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使用金额（万元）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使用比例（</w:t>
            </w:r>
            <w:r>
              <w:rPr>
                <w:rFonts w:hint="eastAsia" w:ascii="FangSong_GB2312" w:hAnsi="SimSun"/>
                <w:sz w:val="28"/>
                <w:szCs w:val="28"/>
                <w:vertAlign w:val="baseline"/>
                <w:lang w:val="en-US" w:eastAsia="zh-CN"/>
              </w:rPr>
              <w:t>%</w:t>
            </w:r>
            <w:r>
              <w:rPr>
                <w:rFonts w:hint="eastAsia" w:ascii="FangSong_GB2312" w:hAnsi="SimSun"/>
                <w:sz w:val="28"/>
                <w:szCs w:val="28"/>
                <w:vertAlign w:val="baseli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FangSong_GB2312" w:hAnsi="SimSun" w:eastAsia="FangSong_GB2312"/>
                <w:vertAlign w:val="baseline"/>
                <w:lang w:val="en-US" w:eastAsia="zh-CN"/>
              </w:rPr>
            </w:pPr>
            <w:r>
              <w:rPr>
                <w:rFonts w:hint="eastAsia" w:ascii="FangSong_GB2312" w:hAnsi="SimSun"/>
                <w:vertAlign w:val="baseline"/>
                <w:lang w:val="en-US" w:eastAsia="zh-CN"/>
              </w:rPr>
              <w:t>1</w:t>
            </w:r>
          </w:p>
        </w:tc>
        <w:tc>
          <w:tcPr>
            <w:tcW w:w="1476"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FangSong_GB2312" w:hAnsi="SimSun"/>
                <w:sz w:val="24"/>
                <w:szCs w:val="24"/>
                <w:vertAlign w:val="baseline"/>
                <w:lang w:val="zh-CN"/>
              </w:rPr>
            </w:pPr>
            <w:r>
              <w:rPr>
                <w:rFonts w:hint="eastAsia" w:ascii="FangSong_GB2312" w:hAnsi="SimSun"/>
                <w:sz w:val="24"/>
                <w:szCs w:val="24"/>
                <w:vertAlign w:val="baseline"/>
                <w:lang w:val="zh-CN"/>
              </w:rPr>
              <w:t>网络投诉平台服务费</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0.84</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0.84</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0.84</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FangSong_GB2312" w:hAnsi="SimSun"/>
                <w:vertAlign w:val="baseline"/>
                <w:lang w:val="zh-CN"/>
              </w:rPr>
            </w:pPr>
            <w:r>
              <w:rPr>
                <w:rFonts w:hint="eastAsia" w:ascii="FangSong_GB2312" w:hAnsi="SimSun"/>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FangSong_GB2312" w:hAnsi="SimSun" w:eastAsia="FangSong_GB2312"/>
                <w:vertAlign w:val="baseline"/>
                <w:lang w:val="en-US" w:eastAsia="zh-CN"/>
              </w:rPr>
            </w:pPr>
            <w:r>
              <w:rPr>
                <w:rFonts w:hint="eastAsia" w:ascii="FangSong_GB2312" w:hAnsi="SimSun"/>
                <w:vertAlign w:val="baseline"/>
                <w:lang w:val="en-US" w:eastAsia="zh-CN"/>
              </w:rPr>
              <w:t>2</w:t>
            </w:r>
          </w:p>
        </w:tc>
        <w:tc>
          <w:tcPr>
            <w:tcW w:w="1476"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FangSong_GB2312" w:hAnsi="SimSun"/>
                <w:sz w:val="24"/>
                <w:szCs w:val="24"/>
                <w:vertAlign w:val="baseline"/>
                <w:lang w:val="zh-CN"/>
              </w:rPr>
            </w:pPr>
            <w:r>
              <w:rPr>
                <w:rFonts w:hint="eastAsia" w:ascii="FangSong_GB2312" w:hAnsi="SimSun"/>
                <w:sz w:val="24"/>
                <w:szCs w:val="24"/>
                <w:vertAlign w:val="baseline"/>
                <w:lang w:val="zh-CN"/>
              </w:rPr>
              <w:t>阳光信访、领导视频接访网络服务费</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4.80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4.80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4.80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vertAlign w:val="baseline"/>
                <w:lang w:val="zh-CN"/>
              </w:rPr>
            </w:pPr>
            <w:r>
              <w:rPr>
                <w:rFonts w:hint="eastAsia" w:ascii="FangSong_GB2312" w:hAnsi="SimSun"/>
                <w:vertAlign w:val="baseline"/>
                <w:lang w:val="en-US" w:eastAsia="zh-CN"/>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952" w:type="dxa"/>
            <w:gridSpan w:val="2"/>
          </w:tcPr>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FangSong_GB2312" w:hAnsi="SimSun"/>
                <w:vertAlign w:val="baseline"/>
                <w:lang w:val="zh-CN"/>
              </w:rPr>
            </w:pPr>
            <w:r>
              <w:rPr>
                <w:rFonts w:hint="eastAsia" w:ascii="FangSong_GB2312" w:hAnsi="SimSun"/>
                <w:vertAlign w:val="baseline"/>
                <w:lang w:val="zh-CN"/>
              </w:rPr>
              <w:t>合计</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5.60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5.60</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5.64</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vertAlign w:val="baseline"/>
                <w:lang w:val="en-US"/>
              </w:rPr>
            </w:pPr>
            <w:r>
              <w:rPr>
                <w:rFonts w:hint="eastAsia" w:ascii="FangSong_GB2312" w:hAnsi="SimSun"/>
                <w:vertAlign w:val="baseline"/>
                <w:lang w:val="en-US" w:eastAsia="zh-CN"/>
              </w:rPr>
              <w:t xml:space="preserve"> 100%</w:t>
            </w:r>
          </w:p>
        </w:tc>
      </w:tr>
    </w:tbl>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eastAsia="zh-CN"/>
        </w:rPr>
        <w:t>阳光信访、领导视频接访网络服务费</w:t>
      </w:r>
      <w:r>
        <w:rPr>
          <w:rFonts w:hint="eastAsia" w:ascii="FangSong_GB2312" w:hAnsi="SimSun"/>
          <w:lang w:val="zh-CN"/>
        </w:rPr>
        <w:t>项目资金实施管理制度健全，严格执行财务管理制度，账务处理及时，会计核算规范。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SimHei" w:hAnsi="SimSun" w:eastAsia="SimHei"/>
        </w:rPr>
      </w:pPr>
      <w:r>
        <w:rPr>
          <w:rFonts w:hint="eastAsia" w:ascii="SimHei" w:hAnsi="SimSun" w:eastAsia="SimHei"/>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lang w:val="zh-CN"/>
        </w:rPr>
      </w:pPr>
      <w:r>
        <w:rPr>
          <w:rFonts w:hint="eastAsia" w:ascii="KaiTi_GB2312" w:hAnsi="SimSun" w:eastAsia="KaiTi_GB2312"/>
          <w:b/>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KaiTi_GB2312" w:hAnsi="SimSun" w:eastAsia="KaiTi_GB2312"/>
          <w:b/>
          <w:lang w:val="en-US" w:eastAsia="zh-CN"/>
        </w:rPr>
      </w:pPr>
      <w:r>
        <w:rPr>
          <w:rFonts w:hint="eastAsia" w:ascii="KaiTi_GB2312" w:hAnsi="SimSun" w:eastAsia="KaiTi_GB2312"/>
          <w:b/>
          <w:lang w:val="en-US" w:eastAsia="zh-CN"/>
        </w:rPr>
        <w:t xml:space="preserve">    </w:t>
      </w:r>
      <w:r>
        <w:rPr>
          <w:rFonts w:hint="eastAsia" w:ascii="FangSong_GB2312" w:hAnsi="SimSun"/>
          <w:lang w:eastAsia="zh-CN"/>
        </w:rPr>
        <w:t>阳光信访、领导视频接访网络服务费</w:t>
      </w:r>
      <w:r>
        <w:rPr>
          <w:rFonts w:hint="eastAsia" w:ascii="FangSong_GB2312" w:hAnsi="SimSun"/>
          <w:lang w:val="zh-CN"/>
        </w:rPr>
        <w:t>项目是年初预算，批复后再申请资金，由县财政将预算项目资金拨到单位账户后再根据单位工作安排进行组织实施。</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KaiTi_GB2312" w:hAnsi="SimSun" w:eastAsia="KaiTi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default" w:ascii="KaiTi_GB2312" w:hAnsi="SimSun" w:eastAsia="KaiTi_GB2312"/>
          <w:b/>
          <w:lang w:val="en-US" w:eastAsia="zh-CN"/>
        </w:rPr>
      </w:pPr>
      <w:r>
        <w:rPr>
          <w:rFonts w:hint="eastAsia" w:ascii="KaiTi_GB2312" w:hAnsi="SimSun" w:eastAsia="KaiTi_GB2312"/>
          <w:b/>
          <w:lang w:val="en-US" w:eastAsia="zh-CN"/>
        </w:rPr>
        <w:t xml:space="preserve">    </w:t>
      </w:r>
      <w:r>
        <w:rPr>
          <w:rFonts w:hint="eastAsia" w:ascii="FangSong_GB2312" w:hAnsi="SimSun"/>
          <w:lang w:eastAsia="zh-CN"/>
        </w:rPr>
        <w:t>阳光信访、领导视频接访网络服务费</w:t>
      </w:r>
      <w:r>
        <w:rPr>
          <w:rFonts w:hint="eastAsia" w:ascii="FangSong_GB2312" w:hAnsi="SimSun"/>
          <w:lang w:val="zh-CN"/>
        </w:rPr>
        <w:t>项目资金管理是严格按照财经制度管理执行，资金使用方式按照</w:t>
      </w:r>
      <w:bookmarkStart w:id="0" w:name="_GoBack"/>
      <w:bookmarkEnd w:id="0"/>
      <w:r>
        <w:rPr>
          <w:rFonts w:hint="eastAsia" w:ascii="FangSong_GB2312" w:hAnsi="SimSun"/>
          <w:lang w:val="zh-CN"/>
        </w:rPr>
        <w:t>全市的标准签订租赁合同，按合同转账支付。</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FangSong_GB2312" w:hAnsi="SimSun"/>
          <w:lang w:val="zh-CN"/>
        </w:rPr>
      </w:pPr>
      <w:r>
        <w:rPr>
          <w:rFonts w:hint="eastAsia" w:ascii="KaiTi_GB2312" w:hAnsi="SimSun" w:eastAsia="KaiTi_GB2312"/>
          <w:b/>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eastAsia="zh-CN"/>
        </w:rPr>
      </w:pPr>
      <w:r>
        <w:rPr>
          <w:rFonts w:hint="eastAsia" w:ascii="FangSong_GB2312" w:hAnsi="SimSun"/>
          <w:lang w:val="en-US" w:eastAsia="zh-CN"/>
        </w:rPr>
        <w:t>阳光信访、领导视频接访网络服务费</w:t>
      </w:r>
      <w:r>
        <w:rPr>
          <w:rFonts w:hint="eastAsia" w:ascii="FangSong_GB2312" w:hAnsi="SimSun"/>
          <w:lang w:val="zh-CN" w:eastAsia="zh-CN"/>
        </w:rPr>
        <w:t>项目监管方式为：项目由单位接访股、网络投诉股负责实施。项目实施后所有票据由分管领导审核签批报单位主要领导签字同意报销，交财务进行转账支付。</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r>
        <w:rPr>
          <w:rFonts w:hint="eastAsia" w:ascii="FangSong_GB2312" w:hAnsi="SimSun"/>
          <w:lang w:val="en-US" w:eastAsia="zh-CN"/>
        </w:rPr>
        <w:t>2022年按市级工作安排，县信访局2022年办结网络投诉件9件；参加国家召开的信访干部业务知识培训22次；参加全国信访工作视频会议11次；全县县级领导接访198次；</w:t>
      </w:r>
      <w:r>
        <w:rPr>
          <w:rFonts w:hint="eastAsia" w:ascii="FangSong_GB2312" w:hAnsi="FangSong_GB2312" w:cs="FangSong_GB2312"/>
          <w:color w:val="000000"/>
          <w:kern w:val="0"/>
          <w:szCs w:val="32"/>
          <w:shd w:val="clear" w:color="auto" w:fill="FFFFFF"/>
          <w:lang w:val="en-US" w:eastAsia="zh-CN"/>
        </w:rPr>
        <w:t>传达国家信访政策2次；中央省市三级工作指示3次，为2022年的信访工作和促进社会和谐稳定提供了有力保证。</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r>
        <w:rPr>
          <w:rFonts w:hint="eastAsia" w:ascii="FangSong_GB2312" w:hAnsi="SimSun"/>
          <w:lang w:val="en-US" w:eastAsia="zh-CN"/>
        </w:rPr>
        <w:t>阳光信访、领导视频接访网络服务费</w:t>
      </w:r>
      <w:r>
        <w:rPr>
          <w:rFonts w:hint="eastAsia" w:ascii="FangSong_GB2312" w:hAnsi="SimSun"/>
          <w:lang w:val="zh-CN"/>
        </w:rPr>
        <w:t>项目是保障政策知晓度、拓展信访渠道、提高信访工作队伍能力、提升信访干部工作素质，促进社会和谐、提升群众满意度的工作，</w:t>
      </w:r>
      <w:r>
        <w:rPr>
          <w:rFonts w:hint="eastAsia" w:ascii="FangSong_GB2312" w:hAnsi="SimSun"/>
          <w:lang w:val="en-US" w:eastAsia="zh-CN"/>
        </w:rPr>
        <w:t>2022年</w:t>
      </w:r>
      <w:r>
        <w:rPr>
          <w:rFonts w:hint="eastAsia" w:ascii="FangSong_GB2312" w:hAnsi="SimSun"/>
          <w:lang w:val="zh-CN"/>
        </w:rPr>
        <w:t>实施</w:t>
      </w:r>
      <w:r>
        <w:rPr>
          <w:rFonts w:hint="eastAsia" w:ascii="FangSong_GB2312" w:hAnsi="SimSun"/>
          <w:lang w:val="en-US" w:eastAsia="zh-CN"/>
        </w:rPr>
        <w:t>阳光信访、领导视频接访网络服务费</w:t>
      </w:r>
      <w:r>
        <w:rPr>
          <w:rFonts w:hint="eastAsia" w:ascii="FangSong_GB2312" w:hAnsi="SimSun"/>
          <w:lang w:val="zh-CN"/>
        </w:rPr>
        <w:t>项目社会满意度达</w:t>
      </w:r>
      <w:r>
        <w:rPr>
          <w:rFonts w:hint="eastAsia" w:ascii="FangSong_GB2312" w:hAnsi="SimSun"/>
          <w:lang w:val="en-US" w:eastAsia="zh-CN"/>
        </w:rPr>
        <w:t>100%，群众满意度为99%</w:t>
      </w:r>
      <w:r>
        <w:rPr>
          <w:rFonts w:hint="eastAsia" w:ascii="FangSong_GB2312" w:hAnsi="SimSun"/>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SimHei" w:hAnsi="SimSun" w:eastAsia="SimHei"/>
        </w:rPr>
      </w:pPr>
      <w:r>
        <w:rPr>
          <w:rFonts w:hint="eastAsia" w:ascii="SimHei" w:hAnsi="SimSun" w:eastAsia="SimHei"/>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bdr w:val="single" w:color="auto" w:sz="4" w:space="0"/>
          <w:lang w:val="en-US" w:eastAsia="zh-CN"/>
        </w:rPr>
      </w:pPr>
      <w:r>
        <w:rPr>
          <w:rFonts w:hint="eastAsia" w:ascii="FangSong_GB2312" w:hAnsi="SimSun"/>
          <w:lang w:val="en-US" w:eastAsia="zh-CN"/>
        </w:rPr>
        <w:t>阳光信访、领导视频接访网络服务费</w:t>
      </w:r>
      <w:r>
        <w:rPr>
          <w:rFonts w:hint="eastAsia" w:ascii="FangSong_GB2312" w:hAnsi="SimSun"/>
          <w:lang w:val="zh-CN"/>
        </w:rPr>
        <w:t>项目申报合理，实施有序，成效明显。资金预算精确、支付及时</w:t>
      </w:r>
      <w:r>
        <w:rPr>
          <w:rFonts w:hint="eastAsia" w:ascii="FangSong_GB2312" w:hAnsi="SimSun"/>
          <w:lang w:val="en-US" w:eastAsia="zh-CN"/>
        </w:rPr>
        <w:t>。</w:t>
      </w:r>
      <w:r>
        <w:rPr>
          <w:rFonts w:hint="eastAsia" w:ascii="FangSong_GB2312" w:hAnsi="SimSun" w:cs="SimSun"/>
          <w:color w:val="000000"/>
          <w:kern w:val="0"/>
          <w:szCs w:val="32"/>
          <w:shd w:val="clear" w:color="auto" w:fill="FFFFFF"/>
          <w:lang w:val="en-US" w:eastAsia="zh-CN"/>
        </w:rPr>
        <w:t>总分值</w:t>
      </w:r>
      <w:r>
        <w:rPr>
          <w:rFonts w:hint="eastAsia"/>
          <w:lang w:val="en-US" w:eastAsia="zh-CN"/>
        </w:rPr>
        <w:t>100分，自评得分99分。</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FangSong_GB2312" w:hAnsi="SimSun"/>
          <w:lang w:val="en-US" w:eastAsia="zh-CN"/>
        </w:rPr>
        <w:t>阳光信访、领导视频接访网络服务费</w:t>
      </w:r>
      <w:r>
        <w:rPr>
          <w:rFonts w:hint="eastAsia" w:ascii="FangSong_GB2312" w:hAnsi="SimSun"/>
          <w:lang w:val="zh-CN"/>
        </w:rPr>
        <w:t>项目实施问题：项目的使用权限有限，不能全方位将本级工作动态全程记录。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（三）相关建议。</w:t>
      </w:r>
    </w:p>
    <w:p>
      <w:pPr>
        <w:ind w:firstLine="640" w:firstLineChars="200"/>
      </w:pPr>
      <w:r>
        <w:rPr>
          <w:rFonts w:hint="eastAsia" w:ascii="FangSong_GB2312" w:hAnsi="SimSun"/>
          <w:lang w:val="zh-CN"/>
        </w:rPr>
        <w:t>争取上级支持，开通本级对网络平台的工作使用权限。</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A5853DB1-CCAB-42FA-BCD5-A49250681765}"/>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BE6381C6-6B98-4B7B-9BE4-EC7335D5610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FangSong_GB2312">
    <w:panose1 w:val="02010609030101010101"/>
    <w:charset w:val="86"/>
    <w:family w:val="modern"/>
    <w:pitch w:val="default"/>
    <w:sig w:usb0="00000001" w:usb1="080E0000" w:usb2="00000000" w:usb3="00000000" w:csb0="00040000" w:csb1="00000000"/>
    <w:embedRegular r:id="rId3" w:fontKey="{10D48805-3ECD-4F02-9EA3-B774E6537703}"/>
  </w:font>
  <w:font w:name="??">
    <w:altName w:val="Times New Roman"/>
    <w:panose1 w:val="00000000000000000000"/>
    <w:charset w:val="00"/>
    <w:family w:val="roman"/>
    <w:pitch w:val="default"/>
    <w:sig w:usb0="00000000" w:usb1="00000000" w:usb2="00000000" w:usb3="00000000" w:csb0="00000000" w:csb1="00000000"/>
  </w:font>
  <w:font w:name="FZXiaoBiaoSong-B05S">
    <w:panose1 w:val="02000000000000000000"/>
    <w:charset w:val="86"/>
    <w:family w:val="script"/>
    <w:pitch w:val="default"/>
    <w:sig w:usb0="00000001" w:usb1="080E0000" w:usb2="00000000" w:usb3="00000000" w:csb0="00040000" w:csb1="00000000"/>
    <w:embedRegular r:id="rId4" w:fontKey="{0130F972-01BA-4863-8F8F-F70DD1E305B1}"/>
  </w:font>
  <w:font w:name="KaiTi_GB2312">
    <w:panose1 w:val="02010609030101010101"/>
    <w:charset w:val="86"/>
    <w:family w:val="modern"/>
    <w:pitch w:val="default"/>
    <w:sig w:usb0="00000001" w:usb1="080E0000" w:usb2="00000000" w:usb3="00000000" w:csb0="00040000" w:csb1="00000000"/>
    <w:embedRegular r:id="rId5" w:fontKey="{E6C35BDA-70E2-4A64-BC78-B6D02892F208}"/>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109B67"/>
    <w:multiLevelType w:val="singleLevel"/>
    <w:tmpl w:val="13109B6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771D4D51"/>
    <w:rsid w:val="00D336EE"/>
    <w:rsid w:val="02B250DA"/>
    <w:rsid w:val="036B5288"/>
    <w:rsid w:val="04637E8C"/>
    <w:rsid w:val="06AB5348"/>
    <w:rsid w:val="06C270BE"/>
    <w:rsid w:val="08B71ADA"/>
    <w:rsid w:val="0F501F02"/>
    <w:rsid w:val="14D50296"/>
    <w:rsid w:val="153B58B5"/>
    <w:rsid w:val="15A3224D"/>
    <w:rsid w:val="167A7EE8"/>
    <w:rsid w:val="16977D85"/>
    <w:rsid w:val="17D35325"/>
    <w:rsid w:val="1CAE1B53"/>
    <w:rsid w:val="241A6B9E"/>
    <w:rsid w:val="254A4AA1"/>
    <w:rsid w:val="25A438C3"/>
    <w:rsid w:val="27BA2D4C"/>
    <w:rsid w:val="27BE3283"/>
    <w:rsid w:val="287950B6"/>
    <w:rsid w:val="2AF86ED7"/>
    <w:rsid w:val="2D450546"/>
    <w:rsid w:val="2F5133DF"/>
    <w:rsid w:val="35437ACC"/>
    <w:rsid w:val="37DB21C9"/>
    <w:rsid w:val="381C0324"/>
    <w:rsid w:val="3A844050"/>
    <w:rsid w:val="3D1D2B74"/>
    <w:rsid w:val="3E852019"/>
    <w:rsid w:val="403554EB"/>
    <w:rsid w:val="42DA1B55"/>
    <w:rsid w:val="44AF59AA"/>
    <w:rsid w:val="44BA7988"/>
    <w:rsid w:val="49230A8E"/>
    <w:rsid w:val="4EDA0999"/>
    <w:rsid w:val="532B7681"/>
    <w:rsid w:val="53BA29BF"/>
    <w:rsid w:val="565C03A0"/>
    <w:rsid w:val="57E20766"/>
    <w:rsid w:val="607339D6"/>
    <w:rsid w:val="62254F38"/>
    <w:rsid w:val="64437A51"/>
    <w:rsid w:val="64537077"/>
    <w:rsid w:val="64FA3CBC"/>
    <w:rsid w:val="655730E1"/>
    <w:rsid w:val="67812633"/>
    <w:rsid w:val="68217716"/>
    <w:rsid w:val="69BD5F81"/>
    <w:rsid w:val="6CA6226B"/>
    <w:rsid w:val="6D922981"/>
    <w:rsid w:val="6DED33BE"/>
    <w:rsid w:val="6E964F6D"/>
    <w:rsid w:val="7000544D"/>
    <w:rsid w:val="70535FE1"/>
    <w:rsid w:val="7244333F"/>
    <w:rsid w:val="771D4D51"/>
    <w:rsid w:val="78AB40E6"/>
    <w:rsid w:val="78E0140A"/>
    <w:rsid w:val="797C265E"/>
    <w:rsid w:val="7A6273DD"/>
    <w:rsid w:val="7CCB2E67"/>
    <w:rsid w:val="7F2C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lang w:val="zh-CN" w:eastAsia="zh-CN"/>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四号正文"/>
    <w:basedOn w:val="1"/>
    <w:qFormat/>
    <w:uiPriority w:val="0"/>
    <w:pPr>
      <w:spacing w:line="360" w:lineRule="auto"/>
    </w:pPr>
    <w:rPr>
      <w:rFonts w:ascii="??" w:hAnsi="??" w:eastAsia="SimSun"/>
      <w:color w:val="000000"/>
      <w:kern w:val="0"/>
      <w:sz w:val="28"/>
      <w:szCs w:val="21"/>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1723</Words>
  <Characters>1810</Characters>
  <Lines>0</Lines>
  <Paragraphs>0</Paragraphs>
  <TotalTime>37</TotalTime>
  <ScaleCrop>false</ScaleCrop>
  <LinksUpToDate>false</LinksUpToDate>
  <CharactersWithSpaces>1832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碧云天</cp:lastModifiedBy>
  <cp:lastPrinted>2020-07-07T07:49:00Z</cp:lastPrinted>
  <dcterms:modified xsi:type="dcterms:W3CDTF">2024-03-27T07:46:16Z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BFBD2C9089234502AE104394D4CD2272</vt:lpwstr>
  </property>
</Properties>
</file>