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FangSong_GB2312" w:hAnsi="FangSong_GB2312" w:eastAsia="SimHei" w:cs="FangSong_GB2312"/>
          <w:sz w:val="32"/>
          <w:szCs w:val="32"/>
          <w:lang w:eastAsia="zh-CN"/>
        </w:rPr>
      </w:pPr>
      <w:r>
        <w:rPr>
          <w:rFonts w:hint="eastAsia" w:ascii="SimHei" w:hAnsi="SimHei" w:eastAsia="SimHei" w:cs="SimHei"/>
          <w:sz w:val="32"/>
          <w:szCs w:val="32"/>
        </w:rPr>
        <w:t>附件</w:t>
      </w:r>
      <w:r>
        <w:rPr>
          <w:rFonts w:hint="eastAsia" w:ascii="SimHei" w:hAnsi="SimHei" w:eastAsia="SimHei" w:cs="SimHei"/>
          <w:sz w:val="32"/>
          <w:szCs w:val="32"/>
          <w:lang w:val="en-US" w:eastAsia="zh-CN"/>
        </w:rPr>
        <w:t>7</w:t>
      </w:r>
    </w:p>
    <w:p>
      <w:pPr>
        <w:spacing w:line="580" w:lineRule="exact"/>
        <w:ind w:firstLine="640" w:firstLineChars="200"/>
        <w:rPr>
          <w:rFonts w:ascii="FangSong_GB2312" w:hAnsi="FangSong_GB2312" w:eastAsia="FangSong_GB2312" w:cs="FangSong_GB2312"/>
          <w:sz w:val="32"/>
          <w:szCs w:val="32"/>
        </w:rPr>
      </w:pPr>
    </w:p>
    <w:p>
      <w:pPr>
        <w:spacing w:line="600" w:lineRule="exact"/>
        <w:jc w:val="center"/>
        <w:rPr>
          <w:rFonts w:hint="eastAsia" w:ascii="FZXiaoBiaoSong-B05S" w:hAnsi="SimSun" w:eastAsia="FZXiaoBiaoSong-B05S"/>
          <w:color w:val="000000"/>
          <w:kern w:val="0"/>
          <w:sz w:val="44"/>
          <w:szCs w:val="44"/>
          <w:lang w:val="zh-CN"/>
        </w:rPr>
      </w:pPr>
      <w:bookmarkStart w:id="0" w:name="_Toc5911_WPSOffice_Level2"/>
      <w:r>
        <w:rPr>
          <w:rFonts w:hint="eastAsia" w:ascii="FZXiaoBiaoSong-B05S" w:hAnsi="SimSun" w:eastAsia="FZXiaoBiaoSong-B05S"/>
          <w:color w:val="000000"/>
          <w:kern w:val="0"/>
          <w:sz w:val="44"/>
          <w:szCs w:val="44"/>
          <w:lang w:eastAsia="zh-CN"/>
        </w:rPr>
        <w:t>常规性驻京驻蓉</w:t>
      </w:r>
      <w:r>
        <w:rPr>
          <w:rFonts w:hint="eastAsia" w:ascii="FZXiaoBiaoSong-B05S" w:hAnsi="SimSun" w:eastAsia="FZXiaoBiaoSong-B05S"/>
          <w:color w:val="000000"/>
          <w:kern w:val="0"/>
          <w:sz w:val="44"/>
          <w:szCs w:val="44"/>
          <w:lang w:val="en-US" w:eastAsia="zh-CN"/>
        </w:rPr>
        <w:t>经费</w:t>
      </w:r>
      <w:r>
        <w:rPr>
          <w:rFonts w:hint="eastAsia" w:ascii="FZXiaoBiaoSong-B05S" w:hAnsi="SimSun" w:eastAsia="FZXiaoBiaoSong-B05S"/>
          <w:color w:val="000000"/>
          <w:kern w:val="0"/>
          <w:sz w:val="44"/>
          <w:szCs w:val="44"/>
          <w:lang w:val="zh-CN"/>
        </w:rPr>
        <w:t>项目</w:t>
      </w:r>
      <w:bookmarkEnd w:id="0"/>
    </w:p>
    <w:p>
      <w:pPr>
        <w:spacing w:line="600" w:lineRule="exact"/>
        <w:jc w:val="center"/>
        <w:rPr>
          <w:rFonts w:ascii="FZXiaoBiaoSong-B05S" w:hAnsi="SimSun" w:eastAsia="FZXiaoBiaoSong-B05S"/>
          <w:color w:val="000000"/>
          <w:kern w:val="0"/>
          <w:sz w:val="44"/>
          <w:szCs w:val="44"/>
          <w:lang w:val="zh-CN"/>
        </w:rPr>
      </w:pPr>
      <w:bookmarkStart w:id="1" w:name="_Toc13749_WPSOffice_Level2"/>
      <w:r>
        <w:rPr>
          <w:rFonts w:hint="eastAsia" w:ascii="FZXiaoBiaoSong-B05S" w:hAnsi="SimSun" w:eastAsia="FZXiaoBiaoSong-B05S"/>
          <w:color w:val="000000"/>
          <w:kern w:val="0"/>
          <w:sz w:val="44"/>
          <w:szCs w:val="44"/>
        </w:rPr>
        <w:t>20</w:t>
      </w:r>
      <w:r>
        <w:rPr>
          <w:rFonts w:hint="eastAsia" w:ascii="FZXiaoBiaoSong-B05S" w:hAnsi="SimSun" w:eastAsia="FZXiaoBiaoSong-B05S"/>
          <w:color w:val="000000"/>
          <w:kern w:val="0"/>
          <w:sz w:val="44"/>
          <w:szCs w:val="44"/>
          <w:lang w:val="en-US" w:eastAsia="zh-CN"/>
        </w:rPr>
        <w:t>22</w:t>
      </w:r>
      <w:r>
        <w:rPr>
          <w:rFonts w:hint="eastAsia" w:ascii="FZXiaoBiaoSong-B05S" w:hAnsi="SimSun" w:eastAsia="FZXiaoBiaoSong-B05S"/>
          <w:color w:val="000000"/>
          <w:kern w:val="0"/>
          <w:sz w:val="44"/>
          <w:szCs w:val="44"/>
        </w:rPr>
        <w:t>年</w:t>
      </w:r>
      <w:r>
        <w:rPr>
          <w:rFonts w:hint="eastAsia" w:ascii="FZXiaoBiaoSong-B05S" w:hAnsi="SimSun" w:eastAsia="FZXiaoBiaoSong-B05S"/>
          <w:color w:val="000000"/>
          <w:kern w:val="0"/>
          <w:sz w:val="44"/>
          <w:szCs w:val="44"/>
          <w:lang w:val="zh-CN"/>
        </w:rPr>
        <w:t>绩效评价报告</w:t>
      </w:r>
      <w:bookmarkEnd w:id="1"/>
    </w:p>
    <w:p>
      <w:pPr>
        <w:spacing w:line="600" w:lineRule="exact"/>
        <w:rPr>
          <w:rFonts w:ascii="SimSun" w:hAnsi="SimSun"/>
          <w:sz w:val="32"/>
          <w:szCs w:val="32"/>
          <w:lang w:val="zh-CN"/>
        </w:rPr>
      </w:pPr>
    </w:p>
    <w:p>
      <w:pPr>
        <w:adjustRightInd w:val="0"/>
        <w:snapToGrid w:val="0"/>
        <w:spacing w:line="600" w:lineRule="exact"/>
        <w:ind w:firstLine="720"/>
        <w:rPr>
          <w:rFonts w:ascii="SimHei" w:hAnsi="SimSun" w:eastAsia="SimHei"/>
          <w:sz w:val="32"/>
          <w:szCs w:val="32"/>
          <w:lang w:val="zh-CN"/>
        </w:rPr>
      </w:pPr>
      <w:bookmarkStart w:id="2" w:name="_Toc411_WPSOffice_Level2"/>
      <w:r>
        <w:rPr>
          <w:rFonts w:hint="eastAsia" w:ascii="SimHei" w:hAnsi="SimSun" w:eastAsia="SimHei"/>
          <w:sz w:val="32"/>
          <w:szCs w:val="32"/>
        </w:rPr>
        <w:t>一、</w:t>
      </w:r>
      <w:r>
        <w:rPr>
          <w:rFonts w:hint="eastAsia" w:ascii="SimHei" w:hAnsi="SimSun" w:eastAsia="SimHei"/>
          <w:sz w:val="32"/>
          <w:szCs w:val="32"/>
          <w:lang w:val="zh-CN"/>
        </w:rPr>
        <w:t>项目概况</w:t>
      </w:r>
      <w:bookmarkEnd w:id="2"/>
    </w:p>
    <w:p>
      <w:pPr>
        <w:adjustRightInd w:val="0"/>
        <w:snapToGrid w:val="0"/>
        <w:spacing w:line="600" w:lineRule="exact"/>
        <w:ind w:firstLine="643" w:firstLineChars="200"/>
        <w:rPr>
          <w:rFonts w:ascii="KaiTi_GB2312" w:hAnsi="SimSun" w:eastAsia="KaiTi_GB2312"/>
          <w:b/>
          <w:sz w:val="32"/>
          <w:szCs w:val="32"/>
          <w:lang w:val="zh-CN"/>
        </w:rPr>
      </w:pPr>
      <w:bookmarkStart w:id="3" w:name="_Toc411_WPSOffice_Level3"/>
      <w:r>
        <w:rPr>
          <w:rFonts w:hint="eastAsia" w:ascii="KaiTi_GB2312" w:hAnsi="SimSun" w:eastAsia="KaiTi_GB2312"/>
          <w:b/>
          <w:sz w:val="32"/>
          <w:szCs w:val="32"/>
          <w:lang w:val="zh-CN"/>
        </w:rPr>
        <w:t>（一）项目基本情况。</w:t>
      </w:r>
      <w:bookmarkEnd w:id="3"/>
    </w:p>
    <w:p>
      <w:pPr>
        <w:adjustRightInd w:val="0"/>
        <w:snapToGrid w:val="0"/>
        <w:spacing w:line="600" w:lineRule="exact"/>
        <w:ind w:firstLine="720"/>
        <w:rPr>
          <w:rFonts w:hint="eastAsia" w:ascii="FangSong_GB2312" w:hAnsi="SimSun" w:eastAsia="FangSong_GB2312"/>
          <w:sz w:val="32"/>
          <w:szCs w:val="32"/>
          <w:lang w:val="en-US" w:eastAsia="zh-CN"/>
        </w:rPr>
      </w:pPr>
      <w:r>
        <w:rPr>
          <w:rFonts w:hint="eastAsia" w:ascii="FangSong_GB2312" w:hAnsi="SimSun" w:eastAsia="FangSong_GB2312"/>
          <w:sz w:val="32"/>
          <w:szCs w:val="32"/>
          <w:lang w:val="zh-CN"/>
        </w:rPr>
        <w:t>1．</w:t>
      </w:r>
      <w:r>
        <w:rPr>
          <w:rFonts w:hint="eastAsia" w:ascii="FangSong_GB2312" w:hAnsi="SimSun" w:eastAsia="FangSong_GB2312"/>
          <w:sz w:val="32"/>
          <w:szCs w:val="32"/>
          <w:lang w:val="zh-CN" w:eastAsia="zh-CN"/>
        </w:rPr>
        <w:t>常规性驻京驻蓉经费</w:t>
      </w:r>
      <w:r>
        <w:rPr>
          <w:rFonts w:hint="eastAsia" w:ascii="FangSong_GB2312" w:hAnsi="SimSun" w:eastAsia="FangSong_GB2312"/>
          <w:sz w:val="32"/>
          <w:szCs w:val="32"/>
          <w:lang w:val="zh-CN"/>
        </w:rPr>
        <w:t>项目</w:t>
      </w:r>
      <w:r>
        <w:rPr>
          <w:rFonts w:hint="eastAsia" w:ascii="FangSong_GB2312" w:hAnsi="SimSun" w:eastAsia="FangSong_GB2312"/>
          <w:sz w:val="32"/>
          <w:szCs w:val="32"/>
          <w:lang w:val="zh-CN" w:eastAsia="zh-CN"/>
        </w:rPr>
        <w:t>是峨边彝族自治县信访局（以下简称县信访局）的单位专项行政运行预算项目，县信访局负责对单位预算专项常规性驻京驻蓉经费项目实施管理。</w:t>
      </w:r>
      <w:r>
        <w:rPr>
          <w:rFonts w:hint="eastAsia" w:ascii="FangSong_GB2312" w:hAnsi="SimSun" w:eastAsia="FangSong_GB2312"/>
          <w:sz w:val="32"/>
          <w:szCs w:val="32"/>
          <w:lang w:val="zh-CN"/>
        </w:rPr>
        <w:t>是根据乐信联办〔</w:t>
      </w:r>
      <w:r>
        <w:rPr>
          <w:rFonts w:hint="eastAsia" w:ascii="FangSong_GB2312" w:hAnsi="SimSun" w:eastAsia="FangSong_GB2312"/>
          <w:sz w:val="32"/>
          <w:szCs w:val="32"/>
          <w:lang w:val="en-US" w:eastAsia="zh-CN"/>
        </w:rPr>
        <w:t>2015〕21号文件规定开始预算实施至今。</w:t>
      </w: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2．</w:t>
      </w:r>
      <w:r>
        <w:rPr>
          <w:rFonts w:hint="eastAsia" w:ascii="FangSong_GB2312" w:hAnsi="SimSun" w:eastAsia="FangSong_GB2312"/>
          <w:sz w:val="32"/>
          <w:szCs w:val="32"/>
          <w:lang w:val="zh-CN" w:eastAsia="zh-CN"/>
        </w:rPr>
        <w:t>常规性驻京驻蓉经费</w:t>
      </w:r>
      <w:r>
        <w:rPr>
          <w:rFonts w:hint="eastAsia" w:ascii="FangSong_GB2312" w:hAnsi="SimSun" w:eastAsia="FangSong_GB2312"/>
          <w:sz w:val="32"/>
          <w:szCs w:val="32"/>
          <w:lang w:val="zh-CN"/>
        </w:rPr>
        <w:t>项目</w:t>
      </w:r>
      <w:r>
        <w:rPr>
          <w:rFonts w:hint="eastAsia" w:ascii="FangSong_GB2312" w:hAnsi="SimSun" w:eastAsia="FangSong_GB2312"/>
          <w:sz w:val="32"/>
          <w:szCs w:val="32"/>
          <w:lang w:val="zh-CN" w:eastAsia="zh-CN"/>
        </w:rPr>
        <w:t>是根据上级工作安排进行的</w:t>
      </w:r>
      <w:r>
        <w:rPr>
          <w:rFonts w:hint="eastAsia" w:ascii="FangSong_GB2312" w:hAnsi="SimSun" w:eastAsia="FangSong_GB2312"/>
          <w:sz w:val="32"/>
          <w:szCs w:val="32"/>
          <w:lang w:val="zh-CN"/>
        </w:rPr>
        <w:t>立项项目，资金申报依据市上下达对该项目工作具体要求、开展时间期限安排进行的预算。</w:t>
      </w: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3．</w:t>
      </w:r>
      <w:r>
        <w:rPr>
          <w:rFonts w:hint="eastAsia" w:ascii="FangSong_GB2312" w:hAnsi="SimSun" w:eastAsia="FangSong_GB2312"/>
          <w:sz w:val="32"/>
          <w:szCs w:val="32"/>
          <w:lang w:val="zh-CN" w:eastAsia="zh-CN"/>
        </w:rPr>
        <w:t>常规性驻京驻蓉经费</w:t>
      </w:r>
      <w:r>
        <w:rPr>
          <w:rFonts w:hint="eastAsia" w:ascii="FangSong_GB2312" w:hAnsi="SimSun" w:eastAsia="FangSong_GB2312"/>
          <w:sz w:val="32"/>
          <w:szCs w:val="32"/>
          <w:lang w:val="zh-CN"/>
        </w:rPr>
        <w:t>项目资金管理是按实使用报销方法。</w:t>
      </w: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资金的使用范围：按市上安排</w:t>
      </w:r>
      <w:r>
        <w:rPr>
          <w:rFonts w:hint="eastAsia" w:ascii="FangSong_GB2312" w:hAnsi="SimSun" w:eastAsia="FangSong_GB2312"/>
          <w:sz w:val="32"/>
          <w:szCs w:val="32"/>
          <w:lang w:val="en-US" w:eastAsia="zh-CN"/>
        </w:rPr>
        <w:t>2022年该项目资金使用范围为全国范围。资金</w:t>
      </w:r>
      <w:r>
        <w:rPr>
          <w:rFonts w:hint="eastAsia" w:ascii="FangSong_GB2312" w:hAnsi="SimSun" w:eastAsia="FangSong_GB2312"/>
          <w:sz w:val="32"/>
          <w:szCs w:val="32"/>
          <w:lang w:val="zh-CN"/>
        </w:rPr>
        <w:t>主要用于前往省、北京开展信访工作的职工差旅费及劝返到京到省人员的相关费用。</w:t>
      </w: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4．</w:t>
      </w:r>
      <w:r>
        <w:rPr>
          <w:rFonts w:hint="eastAsia" w:ascii="FangSong_GB2312" w:hAnsi="SimSun" w:eastAsia="FangSong_GB2312"/>
          <w:sz w:val="32"/>
          <w:szCs w:val="32"/>
          <w:lang w:val="zh-CN" w:eastAsia="zh-CN"/>
        </w:rPr>
        <w:t>常规性驻京驻蓉经费</w:t>
      </w:r>
      <w:r>
        <w:rPr>
          <w:rFonts w:hint="eastAsia" w:ascii="FangSong_GB2312" w:hAnsi="SimSun" w:eastAsia="FangSong_GB2312"/>
          <w:sz w:val="32"/>
          <w:szCs w:val="32"/>
          <w:lang w:val="zh-CN"/>
        </w:rPr>
        <w:t>项目资金分配按办公费、差旅费两种经费使用科目。办公费用于购置开展该项目的办公用品；差旅费用于实地出差职工的差旅费报销。保障到省到京开展信访工作的顺利完成。</w:t>
      </w:r>
    </w:p>
    <w:p>
      <w:pPr>
        <w:adjustRightInd w:val="0"/>
        <w:snapToGrid w:val="0"/>
        <w:spacing w:line="600" w:lineRule="exact"/>
        <w:ind w:firstLine="643" w:firstLineChars="200"/>
        <w:rPr>
          <w:rFonts w:ascii="KaiTi_GB2312" w:hAnsi="SimSun" w:eastAsia="KaiTi_GB2312"/>
          <w:b/>
          <w:sz w:val="32"/>
          <w:szCs w:val="32"/>
          <w:lang w:val="zh-CN"/>
        </w:rPr>
      </w:pPr>
      <w:bookmarkStart w:id="4" w:name="_Toc15956_WPSOffice_Level3"/>
      <w:r>
        <w:rPr>
          <w:rFonts w:hint="eastAsia" w:ascii="KaiTi_GB2312" w:hAnsi="SimSun" w:eastAsia="KaiTi_GB2312"/>
          <w:b/>
          <w:sz w:val="32"/>
          <w:szCs w:val="32"/>
          <w:lang w:val="zh-CN"/>
        </w:rPr>
        <w:t>（二）项目绩效目标。</w:t>
      </w:r>
      <w:bookmarkEnd w:id="4"/>
    </w:p>
    <w:p>
      <w:pPr>
        <w:adjustRightInd w:val="0"/>
        <w:snapToGrid w:val="0"/>
        <w:spacing w:line="600" w:lineRule="exact"/>
        <w:ind w:firstLine="720"/>
        <w:rPr>
          <w:rFonts w:hint="eastAsia" w:ascii="FangSong_GB2312" w:hAnsi="SimSun" w:eastAsia="FangSong_GB2312"/>
          <w:sz w:val="32"/>
          <w:szCs w:val="32"/>
          <w:lang w:val="en-US" w:eastAsia="zh-CN"/>
        </w:rPr>
      </w:pPr>
      <w:r>
        <w:rPr>
          <w:rFonts w:hint="eastAsia" w:ascii="FangSong_GB2312" w:hAnsi="SimSun" w:eastAsia="FangSong_GB2312"/>
          <w:sz w:val="32"/>
          <w:szCs w:val="32"/>
          <w:lang w:val="zh-CN"/>
        </w:rPr>
        <w:t>1．常规性驻京驻蓉经费项目是按市上安排</w:t>
      </w:r>
      <w:r>
        <w:rPr>
          <w:rFonts w:hint="eastAsia" w:ascii="FangSong_GB2312" w:hAnsi="SimSun" w:eastAsia="FangSong_GB2312"/>
          <w:sz w:val="32"/>
          <w:szCs w:val="32"/>
          <w:lang w:val="en-US" w:eastAsia="zh-CN"/>
        </w:rPr>
        <w:t>2022年峨边应到省委、省政府以市委</w:t>
      </w:r>
      <w:r>
        <w:rPr>
          <w:rFonts w:hint="eastAsia" w:ascii="FangSong_GB2312" w:hAnsi="SimSun" w:eastAsia="SimSun"/>
          <w:sz w:val="32"/>
          <w:szCs w:val="32"/>
          <w:lang w:val="en-US" w:eastAsia="zh-CN"/>
        </w:rPr>
        <w:t>、</w:t>
      </w:r>
      <w:r>
        <w:rPr>
          <w:rFonts w:hint="eastAsia" w:ascii="FangSong_GB2312" w:hAnsi="SimSun" w:eastAsia="FangSong_GB2312"/>
          <w:sz w:val="32"/>
          <w:szCs w:val="32"/>
          <w:lang w:val="en-US" w:eastAsia="zh-CN"/>
        </w:rPr>
        <w:t>市政府的名义协助省委</w:t>
      </w:r>
      <w:r>
        <w:rPr>
          <w:rFonts w:hint="eastAsia" w:ascii="FangSong_GB2312" w:hAnsi="SimSun"/>
          <w:sz w:val="32"/>
          <w:szCs w:val="32"/>
          <w:lang w:val="en-US" w:eastAsia="zh-CN"/>
        </w:rPr>
        <w:t>、</w:t>
      </w:r>
      <w:bookmarkStart w:id="21" w:name="_GoBack"/>
      <w:bookmarkEnd w:id="21"/>
      <w:r>
        <w:rPr>
          <w:rFonts w:hint="eastAsia" w:ascii="FangSong_GB2312" w:hAnsi="SimSun" w:eastAsia="FangSong_GB2312"/>
          <w:sz w:val="32"/>
          <w:szCs w:val="32"/>
          <w:lang w:val="en-US" w:eastAsia="zh-CN"/>
        </w:rPr>
        <w:t>省政府接待来访群众2个月和到京协助省驻京办协助开展信访工作6个月。</w:t>
      </w: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2．常规性驻京驻蓉经费项目用于到京</w:t>
      </w:r>
      <w:r>
        <w:rPr>
          <w:rFonts w:hint="eastAsia" w:ascii="FangSong_GB2312" w:hAnsi="SimSun" w:eastAsia="FangSong_GB2312"/>
          <w:sz w:val="32"/>
          <w:szCs w:val="32"/>
          <w:lang w:val="en-US" w:eastAsia="zh-CN"/>
        </w:rPr>
        <w:t>6个月协助接待到京信访的全乐山市群众。驻省2个月是协助省委、省政府接待到省信访的全市群众。</w:t>
      </w:r>
      <w:r>
        <w:rPr>
          <w:rFonts w:hint="eastAsia" w:ascii="FangSong_GB2312" w:hAnsi="SimSun" w:eastAsia="FangSong_GB2312"/>
          <w:sz w:val="32"/>
          <w:szCs w:val="32"/>
          <w:lang w:val="zh-CN"/>
        </w:rPr>
        <w:t>应实现的具体绩效目标，包括目标的量化、细化情况以及项目实施进度计划等。</w:t>
      </w: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3．常规性驻京驻蓉经费项目是应市级工作需要安排的长期性工作支出经费，与工作实际相符，申报合理可行。</w:t>
      </w:r>
    </w:p>
    <w:p>
      <w:pPr>
        <w:adjustRightInd w:val="0"/>
        <w:snapToGrid w:val="0"/>
        <w:spacing w:line="600" w:lineRule="exact"/>
        <w:ind w:firstLine="643" w:firstLineChars="200"/>
        <w:rPr>
          <w:rFonts w:ascii="KaiTi_GB2312" w:hAnsi="SimSun" w:eastAsia="KaiTi_GB2312"/>
          <w:b/>
          <w:sz w:val="32"/>
          <w:szCs w:val="32"/>
          <w:lang w:val="zh-CN"/>
        </w:rPr>
      </w:pPr>
      <w:bookmarkStart w:id="5" w:name="_Toc8158_WPSOffice_Level3"/>
      <w:r>
        <w:rPr>
          <w:rFonts w:hint="eastAsia" w:ascii="KaiTi_GB2312" w:hAnsi="SimSun" w:eastAsia="KaiTi_GB2312"/>
          <w:b/>
          <w:sz w:val="32"/>
          <w:szCs w:val="32"/>
          <w:lang w:val="zh-CN"/>
        </w:rPr>
        <w:t>（三）项目自评步骤及方法。</w:t>
      </w:r>
      <w:bookmarkEnd w:id="5"/>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常规性驻京驻蓉经费项目绩效自评采用的组织实施步骤按市上年初工作安排要求，进行该项目经费预算。资金使用方式是预算控制范围内据实报账。</w:t>
      </w:r>
    </w:p>
    <w:p>
      <w:pPr>
        <w:adjustRightInd w:val="0"/>
        <w:snapToGrid w:val="0"/>
        <w:spacing w:line="600" w:lineRule="exact"/>
        <w:ind w:firstLine="720"/>
        <w:rPr>
          <w:rFonts w:ascii="SimHei" w:hAnsi="SimSun" w:eastAsia="SimHei"/>
          <w:sz w:val="32"/>
          <w:szCs w:val="32"/>
        </w:rPr>
      </w:pPr>
      <w:bookmarkStart w:id="6" w:name="_Toc15956_WPSOffice_Level2"/>
      <w:r>
        <w:rPr>
          <w:rFonts w:hint="eastAsia" w:ascii="SimHei" w:hAnsi="SimSun" w:eastAsia="SimHei"/>
          <w:sz w:val="32"/>
          <w:szCs w:val="32"/>
        </w:rPr>
        <w:t>二、项目资金申报及使用情况</w:t>
      </w:r>
      <w:bookmarkEnd w:id="6"/>
    </w:p>
    <w:p>
      <w:pPr>
        <w:adjustRightInd w:val="0"/>
        <w:snapToGrid w:val="0"/>
        <w:spacing w:line="600" w:lineRule="exact"/>
        <w:ind w:firstLine="720"/>
        <w:rPr>
          <w:rFonts w:ascii="KaiTi_GB2312" w:hAnsi="SimSun" w:eastAsia="KaiTi_GB2312"/>
          <w:b/>
          <w:sz w:val="32"/>
          <w:szCs w:val="32"/>
          <w:lang w:val="zh-CN"/>
        </w:rPr>
      </w:pPr>
      <w:bookmarkStart w:id="7" w:name="_Toc2388_WPSOffice_Level3"/>
      <w:r>
        <w:rPr>
          <w:rFonts w:hint="eastAsia" w:ascii="KaiTi_GB2312" w:hAnsi="SimSun" w:eastAsia="KaiTi_GB2312"/>
          <w:b/>
          <w:sz w:val="32"/>
          <w:szCs w:val="32"/>
          <w:lang w:val="zh-CN"/>
        </w:rPr>
        <w:t>（一）项目资金申报及批复情况。</w:t>
      </w:r>
      <w:bookmarkEnd w:id="7"/>
    </w:p>
    <w:p>
      <w:pPr>
        <w:adjustRightInd w:val="0"/>
        <w:snapToGrid w:val="0"/>
        <w:spacing w:line="600" w:lineRule="exact"/>
        <w:ind w:firstLine="720"/>
        <w:rPr>
          <w:rFonts w:hint="eastAsia" w:ascii="FangSong_GB2312" w:hAnsi="SimSun" w:eastAsia="FangSong_GB2312"/>
          <w:sz w:val="32"/>
          <w:szCs w:val="32"/>
          <w:lang w:val="en-US" w:eastAsia="zh-CN"/>
        </w:rPr>
      </w:pPr>
      <w:r>
        <w:rPr>
          <w:rFonts w:hint="eastAsia" w:ascii="FangSong_GB2312" w:hAnsi="SimSun" w:eastAsia="FangSong_GB2312"/>
          <w:sz w:val="32"/>
          <w:szCs w:val="32"/>
          <w:lang w:val="zh-CN"/>
        </w:rPr>
        <w:t>常规性驻京驻蓉经费项目</w:t>
      </w:r>
      <w:r>
        <w:rPr>
          <w:rFonts w:hint="eastAsia" w:ascii="FangSong_GB2312" w:hAnsi="SimSun" w:eastAsia="FangSong_GB2312"/>
          <w:sz w:val="32"/>
          <w:szCs w:val="32"/>
          <w:lang w:val="en-US" w:eastAsia="zh-CN"/>
        </w:rPr>
        <w:t>2022年预算资金3万元，财政拨款3万元，拨款率100%。</w:t>
      </w:r>
    </w:p>
    <w:p>
      <w:pPr>
        <w:adjustRightInd w:val="0"/>
        <w:snapToGrid w:val="0"/>
        <w:spacing w:line="600" w:lineRule="exact"/>
        <w:ind w:firstLine="643" w:firstLineChars="200"/>
        <w:rPr>
          <w:rFonts w:ascii="FangSong_GB2312" w:hAnsi="SimSun" w:eastAsia="FangSong_GB2312"/>
          <w:sz w:val="32"/>
          <w:szCs w:val="32"/>
          <w:lang w:val="zh-CN"/>
        </w:rPr>
      </w:pPr>
      <w:bookmarkStart w:id="8" w:name="_Toc25378_WPSOffice_Level3"/>
      <w:r>
        <w:rPr>
          <w:rFonts w:hint="eastAsia" w:ascii="KaiTi_GB2312" w:hAnsi="SimSun" w:eastAsia="KaiTi_GB2312"/>
          <w:b/>
          <w:sz w:val="32"/>
          <w:szCs w:val="32"/>
          <w:lang w:val="zh-CN"/>
        </w:rPr>
        <w:t>（二）资金计划、到位及使用情况（可用表格形式反映）。</w:t>
      </w:r>
      <w:bookmarkEnd w:id="8"/>
    </w:p>
    <w:p>
      <w:pPr>
        <w:keepNext w:val="0"/>
        <w:keepLines w:val="0"/>
        <w:pageBreakBefore w:val="0"/>
        <w:kinsoku/>
        <w:wordWrap/>
        <w:overflowPunct/>
        <w:topLinePunct w:val="0"/>
        <w:autoSpaceDE/>
        <w:autoSpaceDN/>
        <w:bidi w:val="0"/>
        <w:adjustRightInd w:val="0"/>
        <w:snapToGrid w:val="0"/>
        <w:spacing w:line="600" w:lineRule="exact"/>
        <w:ind w:firstLine="896" w:firstLineChars="425"/>
        <w:textAlignment w:val="auto"/>
        <w:rPr>
          <w:rFonts w:hint="eastAsia" w:ascii="FangSong_GB2312" w:hAnsi="SimSun"/>
          <w:b/>
          <w:bCs/>
          <w:lang w:val="zh-CN"/>
        </w:rPr>
      </w:pPr>
    </w:p>
    <w:p>
      <w:pPr>
        <w:keepNext w:val="0"/>
        <w:keepLines w:val="0"/>
        <w:pageBreakBefore w:val="0"/>
        <w:kinsoku/>
        <w:wordWrap/>
        <w:overflowPunct/>
        <w:topLinePunct w:val="0"/>
        <w:autoSpaceDE/>
        <w:autoSpaceDN/>
        <w:bidi w:val="0"/>
        <w:adjustRightInd w:val="0"/>
        <w:snapToGrid w:val="0"/>
        <w:spacing w:line="600" w:lineRule="exact"/>
        <w:ind w:firstLine="896" w:firstLineChars="425"/>
        <w:textAlignment w:val="auto"/>
        <w:rPr>
          <w:rFonts w:hint="eastAsia" w:ascii="FangSong_GB2312" w:hAnsi="SimSun"/>
          <w:b/>
          <w:bCs/>
          <w:lang w:val="zh-CN"/>
        </w:rPr>
      </w:pPr>
    </w:p>
    <w:p>
      <w:pPr>
        <w:adjustRightInd w:val="0"/>
        <w:snapToGrid w:val="0"/>
        <w:spacing w:line="600" w:lineRule="exact"/>
        <w:ind w:firstLine="720"/>
        <w:rPr>
          <w:rFonts w:hint="eastAsia" w:ascii="FangSong_GB2312" w:hAnsi="SimSun" w:eastAsia="FangSong_GB2312"/>
          <w:sz w:val="32"/>
          <w:szCs w:val="32"/>
          <w:lang w:val="zh-CN"/>
        </w:rPr>
      </w:pPr>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常规性驻京驻蓉经费项目</w:t>
      </w:r>
      <w:r>
        <w:rPr>
          <w:rFonts w:hint="eastAsia" w:ascii="FangSong_GB2312" w:hAnsi="SimSun" w:eastAsia="FangSong_GB2312"/>
          <w:sz w:val="32"/>
          <w:szCs w:val="32"/>
          <w:lang w:val="en-US" w:eastAsia="zh-CN"/>
        </w:rPr>
        <w:t>2022年</w:t>
      </w:r>
      <w:r>
        <w:rPr>
          <w:rFonts w:hint="eastAsia" w:ascii="FangSong_GB2312" w:hAnsi="SimSun" w:eastAsia="FangSong_GB2312"/>
          <w:sz w:val="32"/>
          <w:szCs w:val="32"/>
          <w:lang w:val="zh-CN"/>
        </w:rPr>
        <w:t>支付明细表</w:t>
      </w:r>
    </w:p>
    <w:tbl>
      <w:tblPr>
        <w:tblStyle w:val="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76"/>
        <w:gridCol w:w="1476"/>
        <w:gridCol w:w="1476"/>
        <w:gridCol w:w="147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adjustRightInd w:val="0"/>
              <w:snapToGrid w:val="0"/>
              <w:spacing w:line="600" w:lineRule="exact"/>
              <w:ind w:firstLine="280" w:firstLineChars="100"/>
              <w:jc w:val="both"/>
              <w:rPr>
                <w:rFonts w:hint="default" w:ascii="FangSong_GB2312" w:hAnsi="SimSun" w:eastAsia="FangSong_GB2312"/>
                <w:sz w:val="32"/>
                <w:szCs w:val="32"/>
                <w:lang w:val="en-US" w:eastAsia="zh-CN"/>
              </w:rPr>
            </w:pPr>
            <w:r>
              <w:rPr>
                <w:rFonts w:hint="eastAsia" w:ascii="FangSong_GB2312" w:hAnsi="SimSun" w:eastAsia="FangSong_GB2312"/>
                <w:sz w:val="28"/>
                <w:szCs w:val="28"/>
                <w:lang w:val="en-US" w:eastAsia="zh-CN"/>
              </w:rPr>
              <w:t>序号</w:t>
            </w:r>
          </w:p>
        </w:tc>
        <w:tc>
          <w:tcPr>
            <w:tcW w:w="1476" w:type="dxa"/>
          </w:tcPr>
          <w:p>
            <w:pPr>
              <w:adjustRightInd w:val="0"/>
              <w:snapToGrid w:val="0"/>
              <w:spacing w:line="600" w:lineRule="exact"/>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项目名称</w:t>
            </w:r>
          </w:p>
        </w:tc>
        <w:tc>
          <w:tcPr>
            <w:tcW w:w="1476" w:type="dxa"/>
          </w:tcPr>
          <w:p>
            <w:pPr>
              <w:adjustRightInd w:val="0"/>
              <w:snapToGrid w:val="0"/>
              <w:spacing w:line="600" w:lineRule="exact"/>
              <w:jc w:val="center"/>
              <w:rPr>
                <w:rFonts w:hint="eastAsia" w:ascii="FangSong_GB2312" w:hAnsi="SimSun" w:eastAsia="FangSong_GB2312"/>
                <w:sz w:val="24"/>
                <w:szCs w:val="24"/>
                <w:lang w:val="en-US" w:eastAsia="zh-CN"/>
              </w:rPr>
            </w:pPr>
            <w:r>
              <w:rPr>
                <w:rFonts w:hint="eastAsia" w:ascii="FangSong_GB2312" w:hAnsi="SimSun" w:eastAsia="FangSong_GB2312"/>
                <w:sz w:val="24"/>
                <w:szCs w:val="24"/>
                <w:lang w:val="en-US" w:eastAsia="zh-CN"/>
              </w:rPr>
              <w:t>预算金额（万元）</w:t>
            </w:r>
          </w:p>
        </w:tc>
        <w:tc>
          <w:tcPr>
            <w:tcW w:w="1476" w:type="dxa"/>
          </w:tcPr>
          <w:p>
            <w:pPr>
              <w:adjustRightInd w:val="0"/>
              <w:snapToGrid w:val="0"/>
              <w:spacing w:line="600" w:lineRule="exact"/>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申请金额（万元）</w:t>
            </w:r>
          </w:p>
        </w:tc>
        <w:tc>
          <w:tcPr>
            <w:tcW w:w="1476" w:type="dxa"/>
          </w:tcPr>
          <w:p>
            <w:pPr>
              <w:adjustRightInd w:val="0"/>
              <w:snapToGrid w:val="0"/>
              <w:spacing w:line="600" w:lineRule="exact"/>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使用金额（万元）</w:t>
            </w:r>
          </w:p>
        </w:tc>
        <w:tc>
          <w:tcPr>
            <w:tcW w:w="1476" w:type="dxa"/>
          </w:tcPr>
          <w:p>
            <w:pPr>
              <w:adjustRightInd w:val="0"/>
              <w:snapToGrid w:val="0"/>
              <w:spacing w:line="600" w:lineRule="exact"/>
              <w:ind w:left="240" w:hanging="240" w:hangingChars="100"/>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使用比例（</w:t>
            </w:r>
            <w:r>
              <w:rPr>
                <w:rFonts w:hint="eastAsia" w:ascii="FangSong_GB2312" w:hAnsi="SimSun" w:eastAsia="FangSong_GB2312"/>
                <w:sz w:val="24"/>
                <w:szCs w:val="24"/>
                <w:lang w:val="en-US" w:eastAsia="zh-CN"/>
              </w:rPr>
              <w:t>%</w:t>
            </w:r>
            <w:r>
              <w:rPr>
                <w:rFonts w:hint="eastAsia" w:ascii="FangSong_GB2312" w:hAnsi="SimSun" w:eastAsia="FangSong_GB2312"/>
                <w:sz w:val="24"/>
                <w:szCs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adjustRightInd w:val="0"/>
              <w:snapToGrid w:val="0"/>
              <w:spacing w:line="600" w:lineRule="exact"/>
              <w:ind w:firstLine="720"/>
              <w:jc w:val="center"/>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1</w:t>
            </w:r>
          </w:p>
        </w:tc>
        <w:tc>
          <w:tcPr>
            <w:tcW w:w="1476" w:type="dxa"/>
          </w:tcPr>
          <w:p>
            <w:pPr>
              <w:adjustRightInd w:val="0"/>
              <w:snapToGrid w:val="0"/>
              <w:spacing w:line="600" w:lineRule="exact"/>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差旅费</w:t>
            </w:r>
          </w:p>
        </w:tc>
        <w:tc>
          <w:tcPr>
            <w:tcW w:w="1476" w:type="dxa"/>
          </w:tcPr>
          <w:p>
            <w:pPr>
              <w:adjustRightInd w:val="0"/>
              <w:snapToGrid w:val="0"/>
              <w:spacing w:line="600" w:lineRule="exact"/>
              <w:ind w:firstLine="72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3.0</w:t>
            </w:r>
          </w:p>
        </w:tc>
        <w:tc>
          <w:tcPr>
            <w:tcW w:w="1476" w:type="dxa"/>
            <w:vAlign w:val="top"/>
          </w:tcPr>
          <w:p>
            <w:pPr>
              <w:adjustRightInd w:val="0"/>
              <w:snapToGrid w:val="0"/>
              <w:spacing w:line="600" w:lineRule="exact"/>
              <w:ind w:firstLine="72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3.0</w:t>
            </w:r>
          </w:p>
        </w:tc>
        <w:tc>
          <w:tcPr>
            <w:tcW w:w="1476" w:type="dxa"/>
            <w:vAlign w:val="top"/>
          </w:tcPr>
          <w:p>
            <w:pPr>
              <w:adjustRightInd w:val="0"/>
              <w:snapToGrid w:val="0"/>
              <w:spacing w:line="600" w:lineRule="exact"/>
              <w:ind w:firstLine="72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3.0</w:t>
            </w:r>
          </w:p>
        </w:tc>
        <w:tc>
          <w:tcPr>
            <w:tcW w:w="1476" w:type="dxa"/>
            <w:vAlign w:val="top"/>
          </w:tcPr>
          <w:p>
            <w:pPr>
              <w:adjustRightInd w:val="0"/>
              <w:snapToGrid w:val="0"/>
              <w:spacing w:line="600" w:lineRule="exact"/>
              <w:ind w:firstLine="480" w:firstLineChars="200"/>
              <w:jc w:val="both"/>
              <w:rPr>
                <w:rFonts w:hint="eastAsia" w:ascii="FangSong_GB2312" w:hAnsi="SimSun" w:eastAsia="FangSong_GB2312"/>
                <w:sz w:val="24"/>
                <w:szCs w:val="24"/>
                <w:lang w:val="zh-CN"/>
              </w:rPr>
            </w:pPr>
            <w:r>
              <w:rPr>
                <w:rFonts w:hint="eastAsia" w:ascii="FangSong_GB2312" w:hAnsi="SimSun" w:eastAsia="FangSong_GB2312"/>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952" w:type="dxa"/>
            <w:gridSpan w:val="2"/>
          </w:tcPr>
          <w:p>
            <w:pPr>
              <w:adjustRightInd w:val="0"/>
              <w:snapToGrid w:val="0"/>
              <w:spacing w:line="600" w:lineRule="exact"/>
              <w:ind w:firstLine="720"/>
              <w:jc w:val="center"/>
              <w:rPr>
                <w:rFonts w:hint="eastAsia" w:ascii="FangSong_GB2312" w:hAnsi="SimSun" w:eastAsia="FangSong_GB2312"/>
                <w:sz w:val="24"/>
                <w:szCs w:val="24"/>
                <w:lang w:val="zh-CN"/>
              </w:rPr>
            </w:pPr>
            <w:r>
              <w:rPr>
                <w:rFonts w:hint="eastAsia" w:ascii="FangSong_GB2312" w:hAnsi="SimSun" w:eastAsia="FangSong_GB2312"/>
                <w:sz w:val="24"/>
                <w:szCs w:val="24"/>
                <w:lang w:val="zh-CN"/>
              </w:rPr>
              <w:t>合计</w:t>
            </w:r>
          </w:p>
        </w:tc>
        <w:tc>
          <w:tcPr>
            <w:tcW w:w="1476" w:type="dxa"/>
          </w:tcPr>
          <w:p>
            <w:pPr>
              <w:adjustRightInd w:val="0"/>
              <w:snapToGrid w:val="0"/>
              <w:spacing w:line="600" w:lineRule="exact"/>
              <w:ind w:firstLine="72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3.0</w:t>
            </w:r>
          </w:p>
        </w:tc>
        <w:tc>
          <w:tcPr>
            <w:tcW w:w="1476" w:type="dxa"/>
            <w:vAlign w:val="top"/>
          </w:tcPr>
          <w:p>
            <w:pPr>
              <w:adjustRightInd w:val="0"/>
              <w:snapToGrid w:val="0"/>
              <w:spacing w:line="600" w:lineRule="exact"/>
              <w:ind w:firstLine="72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3.0</w:t>
            </w:r>
          </w:p>
        </w:tc>
        <w:tc>
          <w:tcPr>
            <w:tcW w:w="1476" w:type="dxa"/>
            <w:vAlign w:val="top"/>
          </w:tcPr>
          <w:p>
            <w:pPr>
              <w:adjustRightInd w:val="0"/>
              <w:snapToGrid w:val="0"/>
              <w:spacing w:line="600" w:lineRule="exact"/>
              <w:ind w:firstLine="720"/>
              <w:jc w:val="both"/>
              <w:rPr>
                <w:rFonts w:hint="default" w:ascii="FangSong_GB2312" w:hAnsi="SimSun" w:eastAsia="FangSong_GB2312"/>
                <w:sz w:val="24"/>
                <w:szCs w:val="24"/>
                <w:lang w:val="en-US" w:eastAsia="zh-CN"/>
              </w:rPr>
            </w:pPr>
            <w:r>
              <w:rPr>
                <w:rFonts w:hint="eastAsia" w:ascii="FangSong_GB2312" w:hAnsi="SimSun" w:eastAsia="FangSong_GB2312"/>
                <w:sz w:val="24"/>
                <w:szCs w:val="24"/>
                <w:lang w:val="en-US" w:eastAsia="zh-CN"/>
              </w:rPr>
              <w:t>3.0</w:t>
            </w:r>
          </w:p>
        </w:tc>
        <w:tc>
          <w:tcPr>
            <w:tcW w:w="1476" w:type="dxa"/>
            <w:vAlign w:val="top"/>
          </w:tcPr>
          <w:p>
            <w:pPr>
              <w:adjustRightInd w:val="0"/>
              <w:snapToGrid w:val="0"/>
              <w:spacing w:line="600" w:lineRule="exact"/>
              <w:ind w:firstLine="480" w:firstLineChars="200"/>
              <w:jc w:val="both"/>
              <w:rPr>
                <w:rFonts w:hint="default" w:ascii="FangSong_GB2312" w:hAnsi="SimSun" w:eastAsia="FangSong_GB2312"/>
                <w:sz w:val="24"/>
                <w:szCs w:val="24"/>
                <w:lang w:val="en-US"/>
              </w:rPr>
            </w:pPr>
            <w:r>
              <w:rPr>
                <w:rFonts w:hint="eastAsia" w:ascii="FangSong_GB2312" w:hAnsi="SimSun" w:eastAsia="FangSong_GB2312"/>
                <w:sz w:val="24"/>
                <w:szCs w:val="24"/>
                <w:lang w:val="en-US" w:eastAsia="zh-CN"/>
              </w:rPr>
              <w:t>100%</w:t>
            </w:r>
          </w:p>
        </w:tc>
      </w:tr>
    </w:tbl>
    <w:p>
      <w:pPr>
        <w:adjustRightInd w:val="0"/>
        <w:snapToGrid w:val="0"/>
        <w:spacing w:line="600" w:lineRule="exact"/>
        <w:ind w:firstLine="720"/>
        <w:rPr>
          <w:rFonts w:ascii="KaiTi_GB2312" w:hAnsi="SimSun" w:eastAsia="KaiTi_GB2312"/>
          <w:b/>
          <w:sz w:val="32"/>
          <w:szCs w:val="32"/>
          <w:lang w:val="zh-CN"/>
        </w:rPr>
      </w:pPr>
      <w:bookmarkStart w:id="9" w:name="_Toc4569_WPSOffice_Level3"/>
      <w:r>
        <w:rPr>
          <w:rFonts w:hint="eastAsia" w:ascii="KaiTi_GB2312" w:hAnsi="SimSun" w:eastAsia="KaiTi_GB2312"/>
          <w:b/>
          <w:sz w:val="32"/>
          <w:szCs w:val="32"/>
          <w:lang w:val="zh-CN"/>
        </w:rPr>
        <w:t>（三）项目财务管理情况。</w:t>
      </w:r>
      <w:bookmarkEnd w:id="9"/>
    </w:p>
    <w:p>
      <w:pPr>
        <w:adjustRightInd w:val="0"/>
        <w:snapToGrid w:val="0"/>
        <w:spacing w:line="600" w:lineRule="exact"/>
        <w:ind w:firstLine="720"/>
        <w:rPr>
          <w:rFonts w:hint="eastAsia" w:ascii="FangSong_GB2312" w:hAnsi="SimSun" w:eastAsia="FangSong_GB2312"/>
          <w:sz w:val="32"/>
          <w:szCs w:val="32"/>
          <w:lang w:val="zh-CN"/>
        </w:rPr>
      </w:pPr>
      <w:r>
        <w:rPr>
          <w:rFonts w:hint="eastAsia" w:ascii="FangSong_GB2312" w:hAnsi="SimSun" w:eastAsia="FangSong_GB2312"/>
          <w:sz w:val="32"/>
          <w:szCs w:val="32"/>
          <w:lang w:val="zh-CN"/>
        </w:rPr>
        <w:t>常规性驻京驻蓉经费项目资金实施管理制度是否健全，严格执行财务管理制度，账务处理及时，会计核算规范。</w:t>
      </w:r>
    </w:p>
    <w:p>
      <w:pPr>
        <w:adjustRightInd w:val="0"/>
        <w:snapToGrid w:val="0"/>
        <w:spacing w:line="600" w:lineRule="exact"/>
        <w:ind w:firstLine="720"/>
        <w:rPr>
          <w:rFonts w:ascii="SimHei" w:hAnsi="SimSun" w:eastAsia="SimHei"/>
          <w:sz w:val="32"/>
          <w:szCs w:val="32"/>
        </w:rPr>
      </w:pPr>
      <w:bookmarkStart w:id="10" w:name="_Toc8158_WPSOffice_Level2"/>
      <w:r>
        <w:rPr>
          <w:rFonts w:hint="eastAsia" w:ascii="SimHei" w:hAnsi="SimSun" w:eastAsia="SimHei"/>
          <w:sz w:val="32"/>
          <w:szCs w:val="32"/>
        </w:rPr>
        <w:t>三、项目实施及管理情况</w:t>
      </w:r>
      <w:bookmarkEnd w:id="10"/>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KaiTi_GB2312" w:hAnsi="SimSun" w:eastAsia="KaiTi_GB2312"/>
          <w:b/>
          <w:sz w:val="32"/>
          <w:szCs w:val="32"/>
          <w:lang w:val="zh-CN"/>
        </w:rPr>
      </w:pPr>
      <w:r>
        <w:rPr>
          <w:rFonts w:hint="eastAsia" w:ascii="KaiTi_GB2312" w:hAnsi="SimSun" w:eastAsia="KaiTi_GB2312"/>
          <w:b/>
          <w:lang w:val="en-US" w:eastAsia="zh-CN"/>
        </w:rPr>
        <w:t xml:space="preserve">     </w:t>
      </w:r>
      <w:bookmarkStart w:id="11" w:name="_Toc5443_WPSOffice_Level3"/>
      <w:r>
        <w:rPr>
          <w:rFonts w:hint="eastAsia" w:ascii="KaiTi_GB2312" w:hAnsi="SimSun" w:eastAsia="KaiTi_GB2312"/>
          <w:b/>
          <w:sz w:val="32"/>
          <w:szCs w:val="32"/>
          <w:lang w:val="zh-CN"/>
        </w:rPr>
        <w:t>（一）项目组织架构及实施流程。</w:t>
      </w:r>
      <w:bookmarkEnd w:id="11"/>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KaiTi_GB2312" w:hAnsi="SimSun" w:eastAsia="KaiTi_GB2312"/>
          <w:b/>
          <w:sz w:val="32"/>
          <w:szCs w:val="32"/>
          <w:lang w:val="zh-CN"/>
        </w:rPr>
      </w:pPr>
      <w:r>
        <w:rPr>
          <w:rFonts w:hint="eastAsia" w:ascii="KaiTi_GB2312" w:hAnsi="SimSun" w:eastAsia="KaiTi_GB2312"/>
          <w:b/>
          <w:lang w:val="en-US" w:eastAsia="zh-CN"/>
        </w:rPr>
        <w:t xml:space="preserve">      </w:t>
      </w:r>
      <w:r>
        <w:rPr>
          <w:rFonts w:hint="eastAsia" w:ascii="FangSong_GB2312" w:hAnsi="SimSun" w:eastAsia="FangSong_GB2312"/>
          <w:sz w:val="32"/>
          <w:szCs w:val="32"/>
          <w:lang w:val="zh-CN"/>
        </w:rPr>
        <w:t>常规性驻京驻蓉经费项目是年初预算，批复后再申请资金，由县财政将预算项目资金拨到单位账户后再根据单位工作安排进行组织实施。</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643" w:firstLineChars="200"/>
        <w:textAlignment w:val="auto"/>
        <w:rPr>
          <w:rFonts w:hint="eastAsia" w:ascii="KaiTi_GB2312" w:hAnsi="SimSun" w:eastAsia="KaiTi_GB2312"/>
          <w:b/>
          <w:lang w:val="en-US" w:eastAsia="zh-CN"/>
        </w:rPr>
      </w:pPr>
      <w:bookmarkStart w:id="12" w:name="_Toc20615_WPSOffice_Level3"/>
      <w:r>
        <w:rPr>
          <w:rFonts w:hint="eastAsia" w:ascii="KaiTi_GB2312" w:hAnsi="SimSun" w:eastAsia="KaiTi_GB2312"/>
          <w:b/>
          <w:sz w:val="32"/>
          <w:szCs w:val="32"/>
          <w:lang w:val="zh-CN"/>
        </w:rPr>
        <w:t>项目管理情况。</w:t>
      </w:r>
      <w:bookmarkEnd w:id="12"/>
      <w:r>
        <w:rPr>
          <w:rFonts w:hint="eastAsia" w:ascii="KaiTi_GB2312" w:hAnsi="SimSun" w:eastAsia="KaiTi_GB2312"/>
          <w:b/>
          <w:lang w:val="en-US" w:eastAsia="zh-CN"/>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KaiTi_GB2312" w:hAnsi="SimSun" w:eastAsia="KaiTi_GB2312"/>
          <w:b/>
          <w:lang w:val="en-US" w:eastAsia="zh-CN"/>
        </w:rPr>
      </w:pPr>
      <w:r>
        <w:rPr>
          <w:rFonts w:hint="eastAsia" w:ascii="FangSong_GB2312" w:hAnsi="SimSun" w:eastAsia="FangSong_GB2312"/>
          <w:sz w:val="32"/>
          <w:szCs w:val="32"/>
          <w:lang w:val="zh-CN"/>
        </w:rPr>
        <w:t>常规性驻京驻蓉经费项目资金管理是严格按照财经制度管理执行，资金使用方式按先实施后据实报销方式。</w:t>
      </w:r>
    </w:p>
    <w:p>
      <w:pPr>
        <w:numPr>
          <w:ilvl w:val="0"/>
          <w:numId w:val="1"/>
        </w:numPr>
        <w:adjustRightInd w:val="0"/>
        <w:snapToGrid w:val="0"/>
        <w:spacing w:line="600" w:lineRule="exact"/>
        <w:ind w:left="0" w:leftChars="0" w:firstLine="643" w:firstLineChars="200"/>
        <w:rPr>
          <w:rFonts w:hint="eastAsia" w:ascii="KaiTi_GB2312" w:hAnsi="SimSun" w:eastAsia="KaiTi_GB2312"/>
          <w:b/>
          <w:sz w:val="32"/>
          <w:szCs w:val="32"/>
          <w:lang w:val="zh-CN"/>
        </w:rPr>
      </w:pPr>
      <w:bookmarkStart w:id="13" w:name="_Toc12707_WPSOffice_Level3"/>
      <w:r>
        <w:rPr>
          <w:rFonts w:hint="eastAsia" w:ascii="KaiTi_GB2312" w:hAnsi="SimSun" w:eastAsia="KaiTi_GB2312"/>
          <w:b/>
          <w:sz w:val="32"/>
          <w:szCs w:val="32"/>
          <w:lang w:val="zh-CN"/>
        </w:rPr>
        <w:t>项目监管情况。</w:t>
      </w:r>
      <w:bookmarkEnd w:id="13"/>
    </w:p>
    <w:p>
      <w:pPr>
        <w:numPr>
          <w:ilvl w:val="0"/>
          <w:numId w:val="0"/>
        </w:numPr>
        <w:adjustRightInd w:val="0"/>
        <w:snapToGrid w:val="0"/>
        <w:spacing w:line="600" w:lineRule="exact"/>
        <w:ind w:firstLine="640" w:firstLineChars="200"/>
        <w:rPr>
          <w:rFonts w:hint="eastAsia" w:ascii="FangSong_GB2312" w:hAnsi="SimSun" w:eastAsia="FangSong_GB2312"/>
          <w:sz w:val="32"/>
          <w:szCs w:val="32"/>
          <w:lang w:val="zh-CN"/>
        </w:rPr>
      </w:pPr>
      <w:r>
        <w:rPr>
          <w:rFonts w:hint="eastAsia" w:ascii="FangSong_GB2312" w:hAnsi="SimSun" w:eastAsia="FangSong_GB2312"/>
          <w:sz w:val="32"/>
          <w:szCs w:val="32"/>
          <w:lang w:val="zh-CN"/>
        </w:rPr>
        <w:t>常规性驻京驻蓉经费项目监管方式为：项目办公费由单位办公室负责实施，差旅费由单位根据工作需要进行安排。项目实施后所有票据由分管领导审核签批报单位主要领导签字同意报销，交财务进行转账支付。</w:t>
      </w:r>
    </w:p>
    <w:p>
      <w:pPr>
        <w:adjustRightInd w:val="0"/>
        <w:snapToGrid w:val="0"/>
        <w:spacing w:line="600" w:lineRule="exact"/>
        <w:ind w:firstLine="720"/>
        <w:rPr>
          <w:rFonts w:ascii="FangSong_GB2312" w:hAnsi="SimSun" w:eastAsia="FangSong_GB2312"/>
          <w:sz w:val="32"/>
          <w:szCs w:val="32"/>
          <w:lang w:val="zh-CN"/>
        </w:rPr>
      </w:pPr>
      <w:bookmarkStart w:id="14" w:name="_Toc2388_WPSOffice_Level2"/>
      <w:r>
        <w:rPr>
          <w:rFonts w:hint="eastAsia" w:ascii="SimHei" w:hAnsi="SimSun" w:eastAsia="SimHei"/>
          <w:sz w:val="32"/>
          <w:szCs w:val="32"/>
        </w:rPr>
        <w:t>四、项目绩效情况</w:t>
      </w:r>
      <w:bookmarkEnd w:id="14"/>
      <w:r>
        <w:rPr>
          <w:rFonts w:hint="eastAsia" w:ascii="FangSong_GB2312" w:hAnsi="SimSun" w:eastAsia="FangSong_GB2312"/>
          <w:sz w:val="32"/>
          <w:szCs w:val="32"/>
          <w:lang w:val="zh-CN"/>
        </w:rPr>
        <w:tab/>
      </w:r>
    </w:p>
    <w:p>
      <w:pPr>
        <w:adjustRightInd w:val="0"/>
        <w:snapToGrid w:val="0"/>
        <w:spacing w:line="600" w:lineRule="exact"/>
        <w:ind w:firstLine="720"/>
        <w:rPr>
          <w:rFonts w:ascii="KaiTi_GB2312" w:hAnsi="SimSun" w:eastAsia="KaiTi_GB2312"/>
          <w:b/>
          <w:sz w:val="32"/>
          <w:szCs w:val="32"/>
          <w:lang w:val="zh-CN"/>
        </w:rPr>
      </w:pPr>
      <w:bookmarkStart w:id="15" w:name="_Toc27458_WPSOffice_Level3"/>
      <w:r>
        <w:rPr>
          <w:rFonts w:hint="eastAsia" w:ascii="KaiTi_GB2312" w:hAnsi="SimSun" w:eastAsia="KaiTi_GB2312"/>
          <w:b/>
          <w:sz w:val="32"/>
          <w:szCs w:val="32"/>
          <w:lang w:val="zh-CN"/>
        </w:rPr>
        <w:t>（一）项目完成情况。</w:t>
      </w:r>
      <w:bookmarkEnd w:id="15"/>
    </w:p>
    <w:p>
      <w:pPr>
        <w:numPr>
          <w:ilvl w:val="0"/>
          <w:numId w:val="0"/>
        </w:numPr>
        <w:adjustRightInd w:val="0"/>
        <w:snapToGrid w:val="0"/>
        <w:spacing w:line="600" w:lineRule="exact"/>
        <w:ind w:firstLine="640" w:firstLineChars="200"/>
        <w:rPr>
          <w:rFonts w:hint="eastAsia" w:ascii="FangSong_GB2312" w:hAnsi="SimSun" w:eastAsia="FangSong_GB2312"/>
          <w:sz w:val="32"/>
          <w:szCs w:val="32"/>
          <w:lang w:val="zh-CN"/>
        </w:rPr>
      </w:pPr>
      <w:r>
        <w:rPr>
          <w:rFonts w:hint="eastAsia" w:ascii="FangSong_GB2312" w:hAnsi="SimSun" w:eastAsia="FangSong_GB2312"/>
          <w:sz w:val="32"/>
          <w:szCs w:val="32"/>
          <w:lang w:val="en-US" w:eastAsia="zh-CN"/>
        </w:rPr>
        <w:t>2022年按市级工作安排，县信访局完成常规性驻蓉值班2个月。协助省委、省政府劝返乐山市信访人员93批122人次。支出差旅费3万元。</w:t>
      </w:r>
      <w:r>
        <w:rPr>
          <w:rFonts w:hint="eastAsia" w:ascii="FangSong_GB2312" w:hAnsi="SimSun" w:eastAsia="FangSong_GB2312"/>
          <w:sz w:val="32"/>
          <w:szCs w:val="32"/>
          <w:lang w:val="zh-CN"/>
        </w:rPr>
        <w:t>完成</w:t>
      </w:r>
      <w:r>
        <w:rPr>
          <w:rFonts w:hint="eastAsia" w:ascii="FangSong_GB2312" w:hAnsi="SimSun" w:eastAsia="FangSong_GB2312"/>
          <w:sz w:val="32"/>
          <w:szCs w:val="32"/>
          <w:lang w:val="en-US" w:eastAsia="zh-CN"/>
        </w:rPr>
        <w:t>2022年</w:t>
      </w:r>
      <w:r>
        <w:rPr>
          <w:rFonts w:hint="eastAsia" w:ascii="FangSong_GB2312" w:hAnsi="SimSun" w:eastAsia="FangSong_GB2312"/>
          <w:sz w:val="32"/>
          <w:szCs w:val="32"/>
          <w:lang w:val="zh-CN"/>
        </w:rPr>
        <w:t>市上交派的驻蓉工作任务。</w:t>
      </w:r>
    </w:p>
    <w:p>
      <w:pPr>
        <w:adjustRightInd w:val="0"/>
        <w:snapToGrid w:val="0"/>
        <w:spacing w:line="600" w:lineRule="exact"/>
        <w:ind w:firstLine="720"/>
        <w:rPr>
          <w:rFonts w:ascii="KaiTi_GB2312" w:hAnsi="SimSun" w:eastAsia="KaiTi_GB2312"/>
          <w:b/>
          <w:sz w:val="32"/>
          <w:szCs w:val="32"/>
          <w:lang w:val="zh-CN"/>
        </w:rPr>
      </w:pPr>
      <w:bookmarkStart w:id="16" w:name="_Toc9854_WPSOffice_Level3"/>
      <w:r>
        <w:rPr>
          <w:rFonts w:hint="eastAsia" w:ascii="KaiTi_GB2312" w:hAnsi="SimSun" w:eastAsia="KaiTi_GB2312"/>
          <w:b/>
          <w:sz w:val="32"/>
          <w:szCs w:val="32"/>
          <w:lang w:val="zh-CN"/>
        </w:rPr>
        <w:t>（二）项目效益情况。</w:t>
      </w:r>
      <w:bookmarkEnd w:id="16"/>
    </w:p>
    <w:p>
      <w:pPr>
        <w:numPr>
          <w:ilvl w:val="0"/>
          <w:numId w:val="0"/>
        </w:numPr>
        <w:adjustRightInd w:val="0"/>
        <w:snapToGrid w:val="0"/>
        <w:spacing w:line="600" w:lineRule="exact"/>
        <w:ind w:firstLine="640" w:firstLineChars="200"/>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常规性驻京驻蓉经费项目是促进社会和谐、提升群众满意度的工作，</w:t>
      </w:r>
      <w:r>
        <w:rPr>
          <w:rFonts w:hint="eastAsia" w:ascii="FangSong_GB2312" w:hAnsi="SimSun" w:eastAsia="FangSong_GB2312"/>
          <w:sz w:val="32"/>
          <w:szCs w:val="32"/>
          <w:lang w:val="en-US" w:eastAsia="zh-CN"/>
        </w:rPr>
        <w:t>2022年</w:t>
      </w:r>
      <w:r>
        <w:rPr>
          <w:rFonts w:hint="eastAsia" w:ascii="FangSong_GB2312" w:hAnsi="SimSun" w:eastAsia="FangSong_GB2312"/>
          <w:sz w:val="32"/>
          <w:szCs w:val="32"/>
          <w:lang w:val="zh-CN" w:eastAsia="zh-CN"/>
        </w:rPr>
        <w:t>实施常规性驻京驻蓉经费项目社会满意度达</w:t>
      </w:r>
      <w:r>
        <w:rPr>
          <w:rFonts w:hint="eastAsia" w:ascii="FangSong_GB2312" w:hAnsi="SimSun" w:eastAsia="FangSong_GB2312"/>
          <w:sz w:val="32"/>
          <w:szCs w:val="32"/>
          <w:lang w:val="en-US" w:eastAsia="zh-CN"/>
        </w:rPr>
        <w:t>95%，群众满意度为98%</w:t>
      </w:r>
      <w:r>
        <w:rPr>
          <w:rFonts w:hint="eastAsia" w:ascii="FangSong_GB2312" w:hAnsi="SimSun" w:eastAsia="FangSong_GB2312"/>
          <w:sz w:val="32"/>
          <w:szCs w:val="32"/>
          <w:lang w:val="zh-CN" w:eastAsia="zh-CN"/>
        </w:rPr>
        <w:t>。</w:t>
      </w:r>
    </w:p>
    <w:p>
      <w:pPr>
        <w:adjustRightInd w:val="0"/>
        <w:snapToGrid w:val="0"/>
        <w:spacing w:line="600" w:lineRule="exact"/>
        <w:ind w:firstLine="720"/>
        <w:rPr>
          <w:rFonts w:ascii="SimHei" w:hAnsi="SimSun" w:eastAsia="SimHei"/>
          <w:sz w:val="32"/>
          <w:szCs w:val="32"/>
        </w:rPr>
      </w:pPr>
      <w:bookmarkStart w:id="17" w:name="_Toc25378_WPSOffice_Level2"/>
      <w:r>
        <w:rPr>
          <w:rFonts w:hint="eastAsia" w:ascii="SimHei" w:hAnsi="SimSun" w:eastAsia="SimHei"/>
          <w:sz w:val="32"/>
          <w:szCs w:val="32"/>
        </w:rPr>
        <w:t>五、评价结论及建议</w:t>
      </w:r>
      <w:bookmarkEnd w:id="17"/>
    </w:p>
    <w:p>
      <w:pPr>
        <w:adjustRightInd w:val="0"/>
        <w:snapToGrid w:val="0"/>
        <w:spacing w:line="600" w:lineRule="exact"/>
        <w:ind w:firstLine="720"/>
        <w:rPr>
          <w:rFonts w:ascii="KaiTi_GB2312" w:hAnsi="SimSun" w:eastAsia="KaiTi_GB2312"/>
          <w:b/>
          <w:sz w:val="32"/>
          <w:szCs w:val="32"/>
          <w:lang w:val="zh-CN"/>
        </w:rPr>
      </w:pPr>
      <w:bookmarkStart w:id="18" w:name="_Toc32691_WPSOffice_Level3"/>
      <w:r>
        <w:rPr>
          <w:rFonts w:hint="eastAsia" w:ascii="KaiTi_GB2312" w:hAnsi="SimSun" w:eastAsia="KaiTi_GB2312"/>
          <w:b/>
          <w:sz w:val="32"/>
          <w:szCs w:val="32"/>
          <w:lang w:val="zh-CN"/>
        </w:rPr>
        <w:t>（一）评价结论。</w:t>
      </w:r>
      <w:bookmarkEnd w:id="18"/>
    </w:p>
    <w:p>
      <w:pPr>
        <w:numPr>
          <w:ilvl w:val="0"/>
          <w:numId w:val="0"/>
        </w:numPr>
        <w:adjustRightInd w:val="0"/>
        <w:snapToGrid w:val="0"/>
        <w:spacing w:line="600" w:lineRule="exact"/>
        <w:ind w:firstLine="640" w:firstLineChars="200"/>
        <w:rPr>
          <w:rFonts w:hint="default" w:ascii="FangSong_GB2312" w:hAnsi="SimSun" w:eastAsia="FangSong_GB2312"/>
          <w:sz w:val="32"/>
          <w:szCs w:val="32"/>
          <w:lang w:val="en-US" w:eastAsia="zh-CN"/>
        </w:rPr>
      </w:pPr>
      <w:r>
        <w:rPr>
          <w:rFonts w:hint="eastAsia" w:ascii="FangSong_GB2312" w:hAnsi="SimSun" w:eastAsia="FangSong_GB2312"/>
          <w:sz w:val="32"/>
          <w:szCs w:val="32"/>
          <w:lang w:val="zh-CN" w:eastAsia="zh-CN"/>
        </w:rPr>
        <w:t>常规性驻京驻蓉经费项目申报合理，实施有序，成效明显。</w:t>
      </w:r>
    </w:p>
    <w:p>
      <w:pPr>
        <w:adjustRightInd w:val="0"/>
        <w:snapToGrid w:val="0"/>
        <w:spacing w:line="600" w:lineRule="exact"/>
        <w:ind w:firstLine="720"/>
        <w:rPr>
          <w:rFonts w:ascii="KaiTi_GB2312" w:hAnsi="SimSun" w:eastAsia="KaiTi_GB2312"/>
          <w:b/>
          <w:sz w:val="32"/>
          <w:szCs w:val="32"/>
          <w:lang w:val="zh-CN"/>
        </w:rPr>
      </w:pPr>
      <w:bookmarkStart w:id="19" w:name="_Toc18884_WPSOffice_Level3"/>
      <w:r>
        <w:rPr>
          <w:rFonts w:hint="eastAsia" w:ascii="KaiTi_GB2312" w:hAnsi="SimSun" w:eastAsia="KaiTi_GB2312"/>
          <w:b/>
          <w:sz w:val="32"/>
          <w:szCs w:val="32"/>
          <w:lang w:val="zh-CN"/>
        </w:rPr>
        <w:t>（二）存在的问题。</w:t>
      </w:r>
      <w:bookmarkEnd w:id="19"/>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FangSong_GB2312" w:hAnsi="SimSun"/>
          <w:lang w:val="zh-CN"/>
        </w:rPr>
      </w:pPr>
      <w:r>
        <w:rPr>
          <w:rFonts w:hint="eastAsia" w:ascii="FangSong_GB2312" w:hAnsi="SimSun" w:eastAsia="FangSong_GB2312"/>
          <w:sz w:val="32"/>
          <w:szCs w:val="32"/>
          <w:lang w:val="zh-CN" w:eastAsia="zh-CN"/>
        </w:rPr>
        <w:t>常规性驻京驻蓉经费项目实施存在的问题：该项目实施分为驻京和驻蓉工作两项，驻蓉工作为每年固定两个月（省群众接待中心</w:t>
      </w:r>
      <w:r>
        <w:rPr>
          <w:rFonts w:hint="eastAsia" w:ascii="FangSong_GB2312" w:hAnsi="SimSun" w:eastAsia="FangSong_GB2312"/>
          <w:sz w:val="32"/>
          <w:szCs w:val="32"/>
          <w:lang w:val="en-US" w:eastAsia="zh-CN"/>
        </w:rPr>
        <w:t>2个月</w:t>
      </w:r>
      <w:r>
        <w:rPr>
          <w:rFonts w:hint="eastAsia" w:ascii="FangSong_GB2312" w:hAnsi="SimSun" w:eastAsia="FangSong_GB2312"/>
          <w:sz w:val="32"/>
          <w:szCs w:val="32"/>
          <w:lang w:val="zh-CN" w:eastAsia="zh-CN"/>
        </w:rPr>
        <w:t>），预算经费清楚明了。而驻京工作是全市</w:t>
      </w:r>
      <w:r>
        <w:rPr>
          <w:rFonts w:hint="eastAsia" w:ascii="FangSong_GB2312" w:hAnsi="SimSun" w:eastAsia="FangSong_GB2312"/>
          <w:sz w:val="32"/>
          <w:szCs w:val="32"/>
          <w:lang w:val="en-US" w:eastAsia="zh-CN"/>
        </w:rPr>
        <w:t>11个区县进行轮换值班，每个区县值班时间为半年，且其他区县遇有其他重大工作安排，市上会临时性调整，</w:t>
      </w:r>
      <w:r>
        <w:rPr>
          <w:rFonts w:hint="eastAsia" w:ascii="FangSong_GB2312" w:hAnsi="SimSun" w:eastAsia="FangSong_GB2312"/>
          <w:sz w:val="32"/>
          <w:szCs w:val="32"/>
          <w:lang w:val="zh-CN" w:eastAsia="zh-CN"/>
        </w:rPr>
        <w:t>所以在预算时容易造成费用预算不足</w:t>
      </w:r>
      <w:r>
        <w:rPr>
          <w:rFonts w:hint="eastAsia" w:ascii="FangSong_GB2312" w:hAnsi="SimSun"/>
          <w:lang w:val="zh-CN"/>
        </w:rPr>
        <w:t>。</w:t>
      </w:r>
    </w:p>
    <w:p>
      <w:pPr>
        <w:adjustRightInd w:val="0"/>
        <w:snapToGrid w:val="0"/>
        <w:spacing w:line="600" w:lineRule="exact"/>
        <w:ind w:firstLine="643" w:firstLineChars="200"/>
        <w:rPr>
          <w:rFonts w:ascii="KaiTi_GB2312" w:hAnsi="SimSun" w:eastAsia="KaiTi_GB2312"/>
          <w:b/>
          <w:sz w:val="32"/>
          <w:szCs w:val="32"/>
          <w:lang w:val="zh-CN"/>
        </w:rPr>
      </w:pPr>
      <w:bookmarkStart w:id="20" w:name="_Toc18228_WPSOffice_Level3"/>
      <w:r>
        <w:rPr>
          <w:rFonts w:hint="eastAsia" w:ascii="KaiTi_GB2312" w:hAnsi="SimSun" w:eastAsia="KaiTi_GB2312"/>
          <w:b/>
          <w:sz w:val="32"/>
          <w:szCs w:val="32"/>
          <w:lang w:val="zh-CN"/>
        </w:rPr>
        <w:t>（三）相关建议。</w:t>
      </w:r>
      <w:bookmarkEnd w:id="20"/>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加大该项目的精细化预算、严格控制支出成本，提高资金使用效率。</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2DB0CFA5-211E-452E-BEDA-9CE53BAB09ED}"/>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3CC49F45-B85A-40AC-B08E-A712741F7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FangSong_GB2312">
    <w:altName w:val="Times New Roman"/>
    <w:panose1 w:val="02010609030101010101"/>
    <w:charset w:val="86"/>
    <w:family w:val="modern"/>
    <w:pitch w:val="default"/>
    <w:sig w:usb0="00000000" w:usb1="00000000" w:usb2="00000000" w:usb3="00000000" w:csb0="00040000" w:csb1="00000000"/>
    <w:embedRegular r:id="rId3" w:fontKey="{EE693A3A-51B7-425D-A8D3-E8A6D4A0430E}"/>
  </w:font>
  <w:font w:name="FZXiaoBiaoSong-B05S">
    <w:panose1 w:val="02000000000000000000"/>
    <w:charset w:val="86"/>
    <w:family w:val="script"/>
    <w:pitch w:val="default"/>
    <w:sig w:usb0="00000001" w:usb1="080E0000" w:usb2="00000000" w:usb3="00000000" w:csb0="00040000" w:csb1="00000000"/>
    <w:embedRegular r:id="rId4" w:fontKey="{E832CA18-072A-4392-B7C2-E619086C3C70}"/>
  </w:font>
  <w:font w:name="KaiTi_GB2312">
    <w:altName w:val="KaiTi"/>
    <w:panose1 w:val="02010609030101010101"/>
    <w:charset w:val="86"/>
    <w:family w:val="modern"/>
    <w:pitch w:val="default"/>
    <w:sig w:usb0="00000000" w:usb1="00000000" w:usb2="00000000" w:usb3="00000000" w:csb0="00040000" w:csb1="00000000"/>
    <w:embedRegular r:id="rId5" w:fontKey="{BBA22068-0571-46F0-8048-556460B5A084}"/>
  </w:font>
  <w:font w:name="KaiTi">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103C9"/>
    <w:multiLevelType w:val="singleLevel"/>
    <w:tmpl w:val="CAF103C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5FB6337"/>
    <w:rsid w:val="009E6125"/>
    <w:rsid w:val="00E60813"/>
    <w:rsid w:val="02A1035C"/>
    <w:rsid w:val="02DA2EEA"/>
    <w:rsid w:val="03BA333C"/>
    <w:rsid w:val="06A7337D"/>
    <w:rsid w:val="08D45425"/>
    <w:rsid w:val="0A49167F"/>
    <w:rsid w:val="0A696ECC"/>
    <w:rsid w:val="0B914376"/>
    <w:rsid w:val="0C842AAF"/>
    <w:rsid w:val="10580F98"/>
    <w:rsid w:val="11C818FF"/>
    <w:rsid w:val="1307610A"/>
    <w:rsid w:val="141B1A4D"/>
    <w:rsid w:val="16ED3F1B"/>
    <w:rsid w:val="188E69AD"/>
    <w:rsid w:val="1C3F2C8F"/>
    <w:rsid w:val="1E79165D"/>
    <w:rsid w:val="1ED156D8"/>
    <w:rsid w:val="1F990032"/>
    <w:rsid w:val="20E751B1"/>
    <w:rsid w:val="22A72A4B"/>
    <w:rsid w:val="23375DC5"/>
    <w:rsid w:val="277E18BE"/>
    <w:rsid w:val="27CA3536"/>
    <w:rsid w:val="29487E0E"/>
    <w:rsid w:val="2A3F0027"/>
    <w:rsid w:val="2B215F7E"/>
    <w:rsid w:val="2C101C61"/>
    <w:rsid w:val="2C470C09"/>
    <w:rsid w:val="2EF9340E"/>
    <w:rsid w:val="2FAC4AA0"/>
    <w:rsid w:val="315F5349"/>
    <w:rsid w:val="317B79B7"/>
    <w:rsid w:val="387D2597"/>
    <w:rsid w:val="38AE26B6"/>
    <w:rsid w:val="3A684A98"/>
    <w:rsid w:val="3C9733B6"/>
    <w:rsid w:val="3FA13B5E"/>
    <w:rsid w:val="40A250A6"/>
    <w:rsid w:val="44E514C4"/>
    <w:rsid w:val="48C609E2"/>
    <w:rsid w:val="48EC22BB"/>
    <w:rsid w:val="49385353"/>
    <w:rsid w:val="497037D6"/>
    <w:rsid w:val="4A716275"/>
    <w:rsid w:val="4C8378A8"/>
    <w:rsid w:val="4FAF734A"/>
    <w:rsid w:val="4FC30A56"/>
    <w:rsid w:val="56692157"/>
    <w:rsid w:val="589B12BF"/>
    <w:rsid w:val="592C2CDD"/>
    <w:rsid w:val="595A17E9"/>
    <w:rsid w:val="5BB07159"/>
    <w:rsid w:val="5EF60B67"/>
    <w:rsid w:val="61A12B60"/>
    <w:rsid w:val="631E1C33"/>
    <w:rsid w:val="63204CBB"/>
    <w:rsid w:val="633F3AE9"/>
    <w:rsid w:val="65916826"/>
    <w:rsid w:val="65FB6337"/>
    <w:rsid w:val="663369DD"/>
    <w:rsid w:val="694B47BF"/>
    <w:rsid w:val="6C2E1689"/>
    <w:rsid w:val="71974719"/>
    <w:rsid w:val="724C27C2"/>
    <w:rsid w:val="72E2482E"/>
    <w:rsid w:val="75F02C40"/>
    <w:rsid w:val="75F24CC3"/>
    <w:rsid w:val="765C3C5C"/>
    <w:rsid w:val="77E6525A"/>
    <w:rsid w:val="79554E1A"/>
    <w:rsid w:val="7CB85FF0"/>
    <w:rsid w:val="7D851564"/>
    <w:rsid w:val="7DD13D24"/>
    <w:rsid w:val="7DE559D9"/>
    <w:rsid w:val="7E5C6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SimSun" w:cs="Times New Roman"/>
      <w:kern w:val="2"/>
      <w:sz w:val="21"/>
      <w:szCs w:val="24"/>
      <w:lang w:val="en-US" w:eastAsia="zh-CN" w:bidi="ar-SA"/>
    </w:rPr>
  </w:style>
  <w:style w:type="paragraph" w:styleId="3">
    <w:name w:val="heading 1"/>
    <w:basedOn w:val="1"/>
    <w:next w:val="1"/>
    <w:link w:val="7"/>
    <w:autoRedefine/>
    <w:qFormat/>
    <w:uiPriority w:val="9"/>
    <w:pPr>
      <w:keepNext/>
      <w:keepLines/>
      <w:spacing w:before="340" w:after="330" w:line="578" w:lineRule="auto"/>
      <w:outlineLvl w:val="0"/>
    </w:pPr>
    <w:rPr>
      <w:b/>
      <w:bCs/>
      <w:kern w:val="44"/>
      <w:sz w:val="44"/>
      <w:szCs w:val="44"/>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sz w:val="32"/>
      <w:szCs w:val="32"/>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Char"/>
    <w:basedOn w:val="6"/>
    <w:link w:val="3"/>
    <w:autoRedefine/>
    <w:qFormat/>
    <w:uiPriority w:val="9"/>
    <w:rPr>
      <w:b/>
      <w:bCs/>
      <w:kern w:val="44"/>
      <w:sz w:val="44"/>
      <w:szCs w:val="44"/>
    </w:rPr>
  </w:style>
  <w:style w:type="paragraph" w:customStyle="1" w:styleId="8">
    <w:name w:val="四号正文"/>
    <w:basedOn w:val="1"/>
    <w:qFormat/>
    <w:uiPriority w:val="0"/>
    <w:pPr>
      <w:spacing w:line="360" w:lineRule="auto"/>
    </w:pPr>
    <w:rPr>
      <w:rFonts w:ascii="??" w:hAnsi="??" w:eastAsia="SimSun"/>
      <w:color w:val="000000"/>
      <w:kern w:val="0"/>
      <w:sz w:val="28"/>
      <w:szCs w:val="21"/>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2023-11-07T02:08:00Z</dcterms:created>
  <dc:creator>Administrator</dc:creator>
  <cp:lastModifiedBy>碧云天</cp:lastModifiedBy>
  <dcterms:modified xsi:type="dcterms:W3CDTF">2024-03-27T08:16:35Z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AF340EB9FE5C4CAAA3D6536301E760EB</vt:lpwstr>
  </property>
</Properties>
</file>