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FangSong_GB2312" w:hAnsi="FangSong_GB2312" w:eastAsia="SimHei" w:cs="FangSong_GB2312"/>
          <w:sz w:val="32"/>
          <w:szCs w:val="32"/>
          <w:lang w:eastAsia="zh-CN"/>
        </w:rPr>
      </w:pPr>
      <w:bookmarkStart w:id="21" w:name="_GoBack"/>
      <w:bookmarkEnd w:id="21"/>
      <w:r>
        <w:rPr>
          <w:rFonts w:hint="eastAsia" w:ascii="SimHei" w:hAnsi="SimHei" w:eastAsia="SimHei" w:cs="SimHei"/>
          <w:sz w:val="32"/>
          <w:szCs w:val="32"/>
        </w:rPr>
        <w:t>附件</w:t>
      </w:r>
      <w:r>
        <w:rPr>
          <w:rFonts w:hint="eastAsia" w:ascii="SimHei" w:hAnsi="SimHei" w:eastAsia="SimHei" w:cs="SimHei"/>
          <w:sz w:val="32"/>
          <w:szCs w:val="32"/>
          <w:lang w:val="en-US" w:eastAsia="zh-CN"/>
        </w:rPr>
        <w:t>7</w:t>
      </w:r>
    </w:p>
    <w:p>
      <w:pPr>
        <w:pStyle w:val="8"/>
        <w:keepNext w:val="0"/>
        <w:keepLines w:val="0"/>
        <w:pageBreakBefore w:val="0"/>
        <w:kinsoku/>
        <w:wordWrap/>
        <w:overflowPunct/>
        <w:topLinePunct w:val="0"/>
        <w:autoSpaceDE/>
        <w:autoSpaceDN/>
        <w:bidi w:val="0"/>
        <w:spacing w:line="600" w:lineRule="exact"/>
        <w:ind w:left="2304" w:leftChars="1045" w:hanging="110" w:hangingChars="25"/>
        <w:jc w:val="both"/>
        <w:textAlignment w:val="auto"/>
        <w:rPr>
          <w:rFonts w:hint="eastAsia" w:ascii="FZXiaoBiaoSong-B05S" w:hAnsi="SimSun" w:eastAsia="FZXiaoBiaoSong-B05S"/>
          <w:sz w:val="44"/>
          <w:szCs w:val="44"/>
          <w:lang w:eastAsia="zh-CN"/>
        </w:rPr>
      </w:pPr>
    </w:p>
    <w:p>
      <w:pPr>
        <w:pStyle w:val="8"/>
        <w:keepNext w:val="0"/>
        <w:keepLines w:val="0"/>
        <w:pageBreakBefore w:val="0"/>
        <w:kinsoku/>
        <w:wordWrap/>
        <w:overflowPunct/>
        <w:topLinePunct w:val="0"/>
        <w:autoSpaceDE/>
        <w:autoSpaceDN/>
        <w:bidi w:val="0"/>
        <w:spacing w:line="600" w:lineRule="exact"/>
        <w:ind w:firstLine="2640" w:firstLineChars="600"/>
        <w:jc w:val="both"/>
        <w:textAlignment w:val="auto"/>
        <w:rPr>
          <w:rFonts w:hint="eastAsia" w:ascii="FZXiaoBiaoSong-B05S" w:hAnsi="SimSun" w:eastAsia="FZXiaoBiaoSong-B05S"/>
          <w:sz w:val="44"/>
          <w:szCs w:val="44"/>
          <w:lang w:eastAsia="zh-CN"/>
        </w:rPr>
      </w:pPr>
      <w:bookmarkStart w:id="0" w:name="_Toc4569_WPSOffice_Level2"/>
      <w:r>
        <w:rPr>
          <w:rFonts w:hint="eastAsia" w:ascii="FZXiaoBiaoSong-B05S" w:hAnsi="SimSun" w:eastAsia="FZXiaoBiaoSong-B05S"/>
          <w:sz w:val="44"/>
          <w:szCs w:val="44"/>
          <w:lang w:eastAsia="zh-CN"/>
        </w:rPr>
        <w:t>信访稳定经费项目</w:t>
      </w:r>
      <w:bookmarkEnd w:id="0"/>
    </w:p>
    <w:p>
      <w:pPr>
        <w:pStyle w:val="8"/>
        <w:keepNext w:val="0"/>
        <w:keepLines w:val="0"/>
        <w:pageBreakBefore w:val="0"/>
        <w:kinsoku/>
        <w:wordWrap/>
        <w:overflowPunct/>
        <w:topLinePunct w:val="0"/>
        <w:autoSpaceDE/>
        <w:autoSpaceDN/>
        <w:bidi w:val="0"/>
        <w:spacing w:line="600" w:lineRule="exact"/>
        <w:ind w:firstLine="2200" w:firstLineChars="500"/>
        <w:jc w:val="both"/>
        <w:textAlignment w:val="auto"/>
        <w:rPr>
          <w:rFonts w:ascii="FangSong_GB2312" w:hAnsi="SimSun" w:eastAsia="FangSong_GB2312"/>
          <w:color w:val="auto"/>
          <w:kern w:val="2"/>
          <w:sz w:val="32"/>
          <w:szCs w:val="32"/>
        </w:rPr>
      </w:pPr>
      <w:bookmarkStart w:id="1" w:name="_Toc5443_WPSOffice_Level2"/>
      <w:r>
        <w:rPr>
          <w:rFonts w:hint="eastAsia" w:ascii="FZXiaoBiaoSong-B05S" w:hAnsi="SimSun" w:eastAsia="FZXiaoBiaoSong-B05S"/>
          <w:sz w:val="44"/>
          <w:szCs w:val="44"/>
          <w:lang w:val="en-US" w:eastAsia="zh-CN"/>
        </w:rPr>
        <w:t>2022年</w:t>
      </w:r>
      <w:r>
        <w:rPr>
          <w:rFonts w:hint="eastAsia" w:ascii="FZXiaoBiaoSong-B05S" w:hAnsi="SimSun" w:eastAsia="FZXiaoBiaoSong-B05S"/>
          <w:sz w:val="44"/>
          <w:szCs w:val="44"/>
        </w:rPr>
        <w:t>绩效评</w:t>
      </w:r>
      <w:r>
        <w:rPr>
          <w:rFonts w:hint="eastAsia" w:ascii="FZXiaoBiaoSong-B05S" w:hAnsi="SimSun" w:eastAsia="FZXiaoBiaoSong-B05S"/>
          <w:sz w:val="44"/>
          <w:szCs w:val="44"/>
          <w:lang w:eastAsia="zh-CN"/>
        </w:rPr>
        <w:t>价</w:t>
      </w:r>
      <w:r>
        <w:rPr>
          <w:rFonts w:hint="eastAsia" w:ascii="FZXiaoBiaoSong-B05S" w:hAnsi="SimSun" w:eastAsia="FZXiaoBiaoSong-B05S"/>
          <w:sz w:val="44"/>
          <w:szCs w:val="44"/>
        </w:rPr>
        <w:t>报告</w:t>
      </w:r>
      <w:bookmarkEnd w:id="1"/>
    </w:p>
    <w:p>
      <w:pPr>
        <w:adjustRightInd w:val="0"/>
        <w:snapToGrid w:val="0"/>
        <w:spacing w:line="600" w:lineRule="exact"/>
        <w:ind w:firstLine="720"/>
        <w:rPr>
          <w:rFonts w:hint="eastAsia" w:ascii="SimHei" w:hAnsi="SimSun" w:eastAsia="SimHei"/>
          <w:sz w:val="32"/>
          <w:szCs w:val="32"/>
          <w:lang w:val="zh-CN"/>
        </w:rPr>
      </w:pPr>
      <w:bookmarkStart w:id="2" w:name="_Toc20615_WPSOffice_Level2"/>
      <w:r>
        <w:rPr>
          <w:rFonts w:hint="eastAsia" w:ascii="SimHei" w:hAnsi="SimSun" w:eastAsia="SimHei"/>
          <w:sz w:val="32"/>
          <w:szCs w:val="32"/>
        </w:rPr>
        <w:t>一、</w:t>
      </w:r>
      <w:r>
        <w:rPr>
          <w:rFonts w:hint="eastAsia" w:ascii="SimHei" w:hAnsi="SimSun" w:eastAsia="SimHei"/>
          <w:sz w:val="32"/>
          <w:szCs w:val="32"/>
          <w:lang w:val="zh-CN"/>
        </w:rPr>
        <w:t>项目概况</w:t>
      </w:r>
      <w:bookmarkEnd w:id="2"/>
    </w:p>
    <w:p>
      <w:pPr>
        <w:adjustRightInd w:val="0"/>
        <w:snapToGrid w:val="0"/>
        <w:spacing w:line="600" w:lineRule="exact"/>
        <w:ind w:firstLine="640" w:firstLineChars="200"/>
        <w:rPr>
          <w:rFonts w:hint="eastAsia" w:ascii="KaiTi_GB2312" w:hAnsi="SimSun" w:eastAsia="KaiTi_GB2312"/>
          <w:b/>
          <w:sz w:val="32"/>
          <w:szCs w:val="32"/>
          <w:lang w:val="zh-CN"/>
        </w:rPr>
      </w:pPr>
      <w:bookmarkStart w:id="3" w:name="_Toc26095_WPSOffice_Level3"/>
      <w:r>
        <w:rPr>
          <w:rFonts w:hint="eastAsia" w:ascii="KaiTi_GB2312" w:hAnsi="SimSun" w:eastAsia="KaiTi_GB2312"/>
          <w:b/>
          <w:sz w:val="32"/>
          <w:szCs w:val="32"/>
          <w:lang w:val="zh-CN"/>
        </w:rPr>
        <w:t>（一）项目基本情况。</w:t>
      </w:r>
      <w:bookmarkEnd w:id="3"/>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eastAsia="FangSong_GB2312"/>
          <w:sz w:val="32"/>
          <w:szCs w:val="32"/>
          <w:lang w:val="zh-CN" w:eastAsia="zh-CN"/>
        </w:rPr>
        <w:t>1．信访稳定经费项目是峨边彝族自治县信访局（以下简称县信访局）的单位专项保行政运行预算项目，县信访局负责对单位预算专项信访稳定经费项目实施管理。是根据单位实际工作要求</w:t>
      </w:r>
      <w:r>
        <w:rPr>
          <w:rFonts w:hint="eastAsia" w:ascii="FangSong_GB2312" w:hAnsi="SimSun" w:eastAsia="FangSong_GB2312"/>
          <w:sz w:val="32"/>
          <w:szCs w:val="32"/>
          <w:lang w:val="en-US" w:eastAsia="zh-CN"/>
        </w:rPr>
        <w:t>实施至今。</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2．信访稳定经费项目是根据本单位工作职能职责安排进行的立项项目，资金申报依据是按照职能职责对该项目工作具体要求、开展时间期限安排进行的预算。</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3．信访稳定经费项目资金管理是按实所需支付。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资金的使用范围：</w:t>
      </w:r>
      <w:r>
        <w:rPr>
          <w:rFonts w:hint="eastAsia" w:ascii="FangSong_GB2312" w:hAnsi="SimSun" w:eastAsia="FangSong_GB2312"/>
          <w:sz w:val="32"/>
          <w:szCs w:val="32"/>
          <w:lang w:val="en-US" w:eastAsia="zh-CN"/>
        </w:rPr>
        <w:t>2022年该项目资金使用范围为全县。资金</w:t>
      </w:r>
      <w:r>
        <w:rPr>
          <w:rFonts w:hint="eastAsia" w:ascii="FangSong_GB2312" w:hAnsi="SimSun" w:eastAsia="FangSong_GB2312"/>
          <w:sz w:val="32"/>
          <w:szCs w:val="32"/>
          <w:lang w:val="zh-CN" w:eastAsia="zh-CN"/>
        </w:rPr>
        <w:t>主要用于带案下访、督查督办信访件、化解信访积案难案和在全县开展重大活动及敏感时期、重要节点、处置突发事件、群体性事件所产生的经费支出。</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4．信访稳定经费项目资金分配按办公费和差旅费两种经济科目进行使用。办公费主要是解决因信访问题产生的办公费、化解信访积案、难案的经费支出；差旅费是带案下访、督查督办、处置相关信访事项落实而产生的相关费用。</w:t>
      </w:r>
    </w:p>
    <w:p>
      <w:pPr>
        <w:adjustRightInd w:val="0"/>
        <w:snapToGrid w:val="0"/>
        <w:spacing w:line="600" w:lineRule="exact"/>
        <w:ind w:firstLine="720"/>
        <w:rPr>
          <w:rFonts w:hint="eastAsia" w:ascii="KaiTi_GB2312" w:hAnsi="SimSun" w:eastAsia="KaiTi_GB2312"/>
          <w:b/>
          <w:sz w:val="32"/>
          <w:szCs w:val="32"/>
          <w:lang w:val="zh-CN"/>
        </w:rPr>
      </w:pPr>
      <w:bookmarkStart w:id="4" w:name="_Toc1740_WPSOffice_Level3"/>
      <w:r>
        <w:rPr>
          <w:rFonts w:hint="eastAsia" w:ascii="KaiTi_GB2312" w:hAnsi="SimSun" w:eastAsia="KaiTi_GB2312"/>
          <w:b/>
          <w:sz w:val="32"/>
          <w:szCs w:val="32"/>
          <w:lang w:val="zh-CN"/>
        </w:rPr>
        <w:t>（二）项目绩效目标。</w:t>
      </w:r>
      <w:bookmarkEnd w:id="4"/>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lang w:val="en-US" w:eastAsia="zh-CN"/>
        </w:rPr>
      </w:pPr>
      <w:r>
        <w:rPr>
          <w:rFonts w:hint="eastAsia" w:ascii="FangSong_GB2312" w:hAnsi="SimSun" w:eastAsia="FangSong_GB2312"/>
          <w:sz w:val="32"/>
          <w:szCs w:val="32"/>
          <w:lang w:val="zh-CN" w:eastAsia="zh-CN"/>
        </w:rPr>
        <w:t>1．信访稳定经费项目是按单位职能职责而设立：</w:t>
      </w:r>
      <w:r>
        <w:rPr>
          <w:rFonts w:hint="eastAsia" w:ascii="FangSong_GB2312" w:hAnsi="FangSong_GB2312" w:eastAsia="FangSong_GB2312" w:cs="FangSong_GB2312"/>
          <w:sz w:val="32"/>
          <w:szCs w:val="32"/>
          <w:lang w:val="en-US" w:eastAsia="zh-CN"/>
        </w:rPr>
        <w:t>2022年信访稳定经费支出19.61万元，完成2022年全国、省、市、县敏感时期的信访稳定工作，下乡督查信访工作183余次、带案下访96次、督办信访案43次；完成领导接访、下访317次；处理突发性、群体性事件38次；参加敏感时期、重大活动信访稳定工作51次；化解信访难案2件，有力促进全县社会和谐稳定，提高群众满意度。</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3．信访稳定经费项目是应本单位工作需要安排的长期性工作支出经费，与工作实际相符，申报合理可行。</w:t>
      </w:r>
    </w:p>
    <w:p>
      <w:pPr>
        <w:adjustRightInd w:val="0"/>
        <w:snapToGrid w:val="0"/>
        <w:spacing w:line="600" w:lineRule="exact"/>
        <w:ind w:firstLine="720"/>
        <w:rPr>
          <w:rFonts w:hint="eastAsia" w:ascii="SimHei" w:hAnsi="SimSun" w:eastAsia="SimHei"/>
          <w:sz w:val="32"/>
          <w:szCs w:val="32"/>
          <w:lang w:val="zh-CN"/>
        </w:rPr>
      </w:pPr>
      <w:bookmarkStart w:id="5" w:name="_Toc9845_WPSOffice_Level3"/>
      <w:r>
        <w:rPr>
          <w:rFonts w:hint="eastAsia" w:ascii="KaiTi_GB2312" w:hAnsi="SimSun" w:eastAsia="KaiTi_GB2312"/>
          <w:b/>
          <w:sz w:val="32"/>
          <w:szCs w:val="32"/>
          <w:lang w:val="zh-CN"/>
        </w:rPr>
        <w:t>（三）项目自评步骤及方法。</w:t>
      </w:r>
      <w:bookmarkEnd w:id="5"/>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信访稳定经费项目绩效自评采用的组织实施步骤按单位常年实际开展工作要求安排，进行该项目经费预算。资金使用方式是预算控制范围内据实报账。</w:t>
      </w:r>
    </w:p>
    <w:p>
      <w:pPr>
        <w:adjustRightInd w:val="0"/>
        <w:snapToGrid w:val="0"/>
        <w:spacing w:line="600" w:lineRule="exact"/>
        <w:ind w:firstLine="720"/>
        <w:rPr>
          <w:rFonts w:hint="eastAsia" w:ascii="SimHei" w:hAnsi="SimSun" w:eastAsia="SimHei"/>
          <w:sz w:val="32"/>
          <w:szCs w:val="32"/>
        </w:rPr>
      </w:pPr>
      <w:bookmarkStart w:id="6" w:name="_Toc12707_WPSOffice_Level2"/>
      <w:r>
        <w:rPr>
          <w:rFonts w:hint="eastAsia" w:ascii="SimHei" w:hAnsi="SimSun" w:eastAsia="SimHei"/>
          <w:sz w:val="32"/>
          <w:szCs w:val="32"/>
        </w:rPr>
        <w:t>二、项目资金申报及使用情况</w:t>
      </w:r>
      <w:bookmarkEnd w:id="6"/>
    </w:p>
    <w:p>
      <w:pPr>
        <w:adjustRightInd w:val="0"/>
        <w:snapToGrid w:val="0"/>
        <w:spacing w:line="600" w:lineRule="exact"/>
        <w:ind w:firstLine="640" w:firstLineChars="200"/>
        <w:rPr>
          <w:rFonts w:hint="eastAsia" w:ascii="KaiTi_GB2312" w:hAnsi="SimSun" w:eastAsia="KaiTi_GB2312"/>
          <w:b/>
          <w:sz w:val="32"/>
          <w:szCs w:val="32"/>
          <w:lang w:val="zh-CN"/>
        </w:rPr>
      </w:pPr>
      <w:bookmarkStart w:id="7" w:name="_Toc5223_WPSOffice_Level3"/>
      <w:r>
        <w:rPr>
          <w:rFonts w:hint="eastAsia" w:ascii="KaiTi_GB2312" w:hAnsi="SimSun" w:eastAsia="KaiTi_GB2312"/>
          <w:b/>
          <w:sz w:val="32"/>
          <w:szCs w:val="32"/>
          <w:lang w:val="zh-CN"/>
        </w:rPr>
        <w:t>（一）项目资金申报及批复情况。</w:t>
      </w:r>
      <w:bookmarkEnd w:id="7"/>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eastAsia="FangSong_GB2312"/>
          <w:sz w:val="32"/>
          <w:szCs w:val="32"/>
          <w:lang w:val="zh-CN" w:eastAsia="zh-CN"/>
        </w:rPr>
        <w:t>信访稳定经费项目</w:t>
      </w:r>
      <w:r>
        <w:rPr>
          <w:rFonts w:hint="eastAsia" w:ascii="FangSong_GB2312" w:hAnsi="SimSun" w:eastAsia="FangSong_GB2312"/>
          <w:sz w:val="32"/>
          <w:szCs w:val="32"/>
          <w:lang w:val="en-US" w:eastAsia="zh-CN"/>
        </w:rPr>
        <w:t>2022年预算资金19.61万元，财政拨款19.61万元，拨款率100%。</w:t>
      </w:r>
    </w:p>
    <w:p>
      <w:pPr>
        <w:adjustRightInd w:val="0"/>
        <w:snapToGrid w:val="0"/>
        <w:spacing w:line="600" w:lineRule="exact"/>
        <w:ind w:firstLine="320" w:firstLineChars="100"/>
        <w:rPr>
          <w:rFonts w:hint="eastAsia" w:ascii="SimHei" w:hAnsi="SimSun" w:eastAsia="SimHei"/>
          <w:sz w:val="32"/>
          <w:szCs w:val="32"/>
          <w:lang w:val="zh-CN"/>
        </w:rPr>
      </w:pPr>
      <w:bookmarkStart w:id="8" w:name="_Toc10429_WPSOffice_Level3"/>
      <w:r>
        <w:rPr>
          <w:rFonts w:hint="eastAsia" w:ascii="SimHei" w:hAnsi="SimSun" w:eastAsia="SimHei"/>
          <w:sz w:val="32"/>
          <w:szCs w:val="32"/>
          <w:lang w:val="zh-CN"/>
        </w:rPr>
        <w:t>（</w:t>
      </w:r>
      <w:r>
        <w:rPr>
          <w:rFonts w:hint="eastAsia" w:ascii="KaiTi_GB2312" w:hAnsi="SimSun" w:eastAsia="KaiTi_GB2312"/>
          <w:b/>
          <w:sz w:val="32"/>
          <w:szCs w:val="32"/>
          <w:lang w:val="zh-CN"/>
        </w:rPr>
        <w:t>二）资金计划、到位及使用情况（可用表格形式反映）</w:t>
      </w:r>
      <w:r>
        <w:rPr>
          <w:rFonts w:hint="eastAsia" w:ascii="SimHei" w:hAnsi="SimSun" w:eastAsia="SimHei"/>
          <w:sz w:val="32"/>
          <w:szCs w:val="32"/>
          <w:lang w:val="zh-CN"/>
        </w:rPr>
        <w:t>。</w:t>
      </w:r>
      <w:bookmarkEnd w:id="8"/>
    </w:p>
    <w:p>
      <w:pPr>
        <w:adjustRightInd w:val="0"/>
        <w:snapToGrid w:val="0"/>
        <w:spacing w:line="600" w:lineRule="exact"/>
        <w:ind w:firstLine="720"/>
        <w:rPr>
          <w:rFonts w:hint="eastAsia" w:ascii="SimHei" w:hAnsi="SimSun" w:eastAsia="SimHei"/>
          <w:sz w:val="32"/>
          <w:szCs w:val="32"/>
          <w:lang w:val="zh-CN"/>
        </w:rPr>
      </w:pPr>
    </w:p>
    <w:p>
      <w:pPr>
        <w:adjustRightInd w:val="0"/>
        <w:snapToGrid w:val="0"/>
        <w:spacing w:line="600" w:lineRule="exact"/>
        <w:ind w:firstLine="720"/>
        <w:rPr>
          <w:rFonts w:hint="eastAsia" w:ascii="SimHei" w:hAnsi="SimSun" w:eastAsia="SimHei"/>
          <w:sz w:val="32"/>
          <w:szCs w:val="32"/>
          <w:lang w:val="zh-CN"/>
        </w:rPr>
      </w:pPr>
    </w:p>
    <w:p>
      <w:pPr>
        <w:adjustRightInd w:val="0"/>
        <w:snapToGrid w:val="0"/>
        <w:spacing w:line="600" w:lineRule="exact"/>
        <w:ind w:firstLine="2240" w:firstLineChars="700"/>
        <w:rPr>
          <w:rFonts w:hint="eastAsia" w:ascii="SimHei" w:hAnsi="SimSun" w:eastAsia="SimHei"/>
          <w:sz w:val="32"/>
          <w:szCs w:val="32"/>
          <w:lang w:val="zh-CN"/>
        </w:rPr>
      </w:pPr>
    </w:p>
    <w:p>
      <w:pPr>
        <w:adjustRightInd w:val="0"/>
        <w:snapToGrid w:val="0"/>
        <w:spacing w:line="600" w:lineRule="exact"/>
        <w:ind w:firstLine="2240" w:firstLineChars="700"/>
        <w:rPr>
          <w:rFonts w:hint="eastAsia" w:ascii="SimHei" w:hAnsi="SimSun" w:eastAsia="SimHei"/>
          <w:sz w:val="32"/>
          <w:szCs w:val="32"/>
          <w:lang w:val="zh-CN"/>
        </w:rPr>
      </w:pPr>
    </w:p>
    <w:p>
      <w:pPr>
        <w:adjustRightInd w:val="0"/>
        <w:snapToGrid w:val="0"/>
        <w:spacing w:line="600" w:lineRule="exact"/>
        <w:ind w:firstLine="2240" w:firstLineChars="700"/>
        <w:rPr>
          <w:rFonts w:hint="eastAsia" w:ascii="SimHei" w:hAnsi="SimSun" w:eastAsia="SimHei"/>
          <w:sz w:val="32"/>
          <w:szCs w:val="32"/>
          <w:lang w:val="zh-CN"/>
        </w:rPr>
      </w:pPr>
    </w:p>
    <w:p>
      <w:pPr>
        <w:adjustRightInd w:val="0"/>
        <w:snapToGrid w:val="0"/>
        <w:spacing w:line="600" w:lineRule="exact"/>
        <w:ind w:firstLine="2240" w:firstLineChars="700"/>
        <w:rPr>
          <w:rFonts w:hint="eastAsia" w:ascii="SimHei" w:hAnsi="SimSun" w:eastAsia="SimHei"/>
          <w:sz w:val="32"/>
          <w:szCs w:val="32"/>
          <w:lang w:val="zh-CN"/>
        </w:rPr>
      </w:pPr>
      <w:r>
        <w:rPr>
          <w:rFonts w:hint="eastAsia" w:ascii="SimHei" w:hAnsi="SimSun" w:eastAsia="SimHei"/>
          <w:sz w:val="32"/>
          <w:szCs w:val="32"/>
          <w:lang w:val="zh-CN"/>
        </w:rPr>
        <w:t>信访稳定费项目</w:t>
      </w:r>
    </w:p>
    <w:p>
      <w:pPr>
        <w:adjustRightInd w:val="0"/>
        <w:snapToGrid w:val="0"/>
        <w:spacing w:line="600" w:lineRule="exact"/>
        <w:ind w:firstLine="2374" w:firstLineChars="742"/>
        <w:rPr>
          <w:rFonts w:hint="eastAsia" w:ascii="SimHei" w:hAnsi="SimSun" w:eastAsia="SimHei"/>
          <w:sz w:val="32"/>
          <w:szCs w:val="32"/>
          <w:lang w:val="zh-CN"/>
        </w:rPr>
      </w:pPr>
      <w:r>
        <w:rPr>
          <w:rFonts w:hint="eastAsia" w:ascii="SimHei" w:hAnsi="SimSun" w:eastAsia="SimHei"/>
          <w:sz w:val="32"/>
          <w:szCs w:val="32"/>
          <w:lang w:val="en-US" w:eastAsia="zh-CN"/>
        </w:rPr>
        <w:t>2022年</w:t>
      </w:r>
      <w:r>
        <w:rPr>
          <w:rFonts w:hint="eastAsia" w:ascii="SimHei" w:hAnsi="SimSun" w:eastAsia="SimHei"/>
          <w:sz w:val="32"/>
          <w:szCs w:val="32"/>
          <w:lang w:val="zh-CN"/>
        </w:rPr>
        <w:t>支付明细表</w:t>
      </w:r>
    </w:p>
    <w:tbl>
      <w:tblPr>
        <w:tblStyle w:val="5"/>
        <w:tblW w:w="8265"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395"/>
        <w:gridCol w:w="1650"/>
        <w:gridCol w:w="1500"/>
        <w:gridCol w:w="1395"/>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adjustRightInd w:val="0"/>
              <w:snapToGrid w:val="0"/>
              <w:spacing w:line="360" w:lineRule="auto"/>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序号</w:t>
            </w:r>
          </w:p>
        </w:tc>
        <w:tc>
          <w:tcPr>
            <w:tcW w:w="1395" w:type="dxa"/>
          </w:tcPr>
          <w:p>
            <w:pPr>
              <w:adjustRightInd w:val="0"/>
              <w:snapToGrid w:val="0"/>
              <w:spacing w:line="360" w:lineRule="auto"/>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项目名称</w:t>
            </w:r>
          </w:p>
        </w:tc>
        <w:tc>
          <w:tcPr>
            <w:tcW w:w="1650" w:type="dxa"/>
          </w:tcPr>
          <w:p>
            <w:pPr>
              <w:adjustRightInd w:val="0"/>
              <w:snapToGrid w:val="0"/>
              <w:spacing w:line="360" w:lineRule="auto"/>
              <w:jc w:val="center"/>
              <w:rPr>
                <w:rFonts w:hint="eastAsia" w:ascii="FangSong_GB2312" w:hAnsi="SimSun" w:eastAsia="FangSong_GB2312"/>
                <w:sz w:val="24"/>
                <w:szCs w:val="24"/>
                <w:lang w:val="en-US" w:eastAsia="zh-CN"/>
              </w:rPr>
            </w:pPr>
            <w:r>
              <w:rPr>
                <w:rFonts w:hint="eastAsia" w:ascii="FangSong_GB2312" w:hAnsi="SimSun" w:eastAsia="FangSong_GB2312"/>
                <w:sz w:val="24"/>
                <w:szCs w:val="24"/>
                <w:lang w:val="en-US" w:eastAsia="zh-CN"/>
              </w:rPr>
              <w:t>预算金额</w:t>
            </w:r>
          </w:p>
          <w:p>
            <w:pPr>
              <w:adjustRightInd w:val="0"/>
              <w:snapToGrid w:val="0"/>
              <w:spacing w:line="360" w:lineRule="auto"/>
              <w:jc w:val="center"/>
              <w:rPr>
                <w:rFonts w:hint="eastAsia" w:ascii="FangSong_GB2312" w:hAnsi="SimSun" w:eastAsia="FangSong_GB2312"/>
                <w:sz w:val="24"/>
                <w:szCs w:val="24"/>
                <w:lang w:val="en-US" w:eastAsia="zh-CN"/>
              </w:rPr>
            </w:pPr>
            <w:r>
              <w:rPr>
                <w:rFonts w:hint="eastAsia" w:ascii="FangSong_GB2312" w:hAnsi="SimSun" w:eastAsia="FangSong_GB2312"/>
                <w:sz w:val="24"/>
                <w:szCs w:val="24"/>
                <w:lang w:val="en-US" w:eastAsia="zh-CN"/>
              </w:rPr>
              <w:t>（万元）</w:t>
            </w:r>
          </w:p>
        </w:tc>
        <w:tc>
          <w:tcPr>
            <w:tcW w:w="1500" w:type="dxa"/>
          </w:tcPr>
          <w:p>
            <w:pPr>
              <w:adjustRightInd w:val="0"/>
              <w:snapToGrid w:val="0"/>
              <w:spacing w:line="360" w:lineRule="auto"/>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申请金额</w:t>
            </w:r>
          </w:p>
          <w:p>
            <w:pPr>
              <w:adjustRightInd w:val="0"/>
              <w:snapToGrid w:val="0"/>
              <w:spacing w:line="360" w:lineRule="auto"/>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（万元）</w:t>
            </w:r>
          </w:p>
        </w:tc>
        <w:tc>
          <w:tcPr>
            <w:tcW w:w="1395" w:type="dxa"/>
          </w:tcPr>
          <w:p>
            <w:pPr>
              <w:adjustRightInd w:val="0"/>
              <w:snapToGrid w:val="0"/>
              <w:spacing w:line="360" w:lineRule="auto"/>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使用金额</w:t>
            </w:r>
          </w:p>
          <w:p>
            <w:pPr>
              <w:adjustRightInd w:val="0"/>
              <w:snapToGrid w:val="0"/>
              <w:spacing w:line="360" w:lineRule="auto"/>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（万元）</w:t>
            </w:r>
          </w:p>
        </w:tc>
        <w:tc>
          <w:tcPr>
            <w:tcW w:w="1455" w:type="dxa"/>
          </w:tcPr>
          <w:p>
            <w:pPr>
              <w:adjustRightInd w:val="0"/>
              <w:snapToGrid w:val="0"/>
              <w:spacing w:line="360" w:lineRule="auto"/>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使用比例</w:t>
            </w:r>
          </w:p>
          <w:p>
            <w:pPr>
              <w:adjustRightInd w:val="0"/>
              <w:snapToGrid w:val="0"/>
              <w:spacing w:line="360" w:lineRule="auto"/>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w:t>
            </w:r>
            <w:r>
              <w:rPr>
                <w:rFonts w:hint="eastAsia" w:ascii="FangSong_GB2312" w:hAnsi="SimSun" w:eastAsia="FangSong_GB2312"/>
                <w:sz w:val="24"/>
                <w:szCs w:val="24"/>
                <w:lang w:val="en-US" w:eastAsia="zh-CN"/>
              </w:rPr>
              <w:t>%</w:t>
            </w:r>
            <w:r>
              <w:rPr>
                <w:rFonts w:hint="eastAsia" w:ascii="FangSong_GB2312" w:hAnsi="SimSun" w:eastAsia="FangSong_GB2312"/>
                <w:sz w:val="24"/>
                <w:szCs w:val="24"/>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870" w:type="dxa"/>
          </w:tcPr>
          <w:p>
            <w:pPr>
              <w:adjustRightInd w:val="0"/>
              <w:snapToGrid w:val="0"/>
              <w:spacing w:line="360" w:lineRule="auto"/>
              <w:jc w:val="both"/>
              <w:rPr>
                <w:rFonts w:hint="eastAsia" w:ascii="FangSong_GB2312" w:hAnsi="SimSun" w:eastAsia="FangSong_GB2312"/>
                <w:sz w:val="24"/>
                <w:szCs w:val="24"/>
                <w:lang w:val="en-US" w:eastAsia="zh-CN"/>
              </w:rPr>
            </w:pPr>
            <w:r>
              <w:rPr>
                <w:rFonts w:hint="eastAsia" w:ascii="FangSong_GB2312" w:hAnsi="SimSun" w:eastAsia="FangSong_GB2312"/>
                <w:sz w:val="24"/>
                <w:szCs w:val="24"/>
                <w:lang w:val="en-US" w:eastAsia="zh-CN"/>
              </w:rPr>
              <w:t>1</w:t>
            </w:r>
          </w:p>
        </w:tc>
        <w:tc>
          <w:tcPr>
            <w:tcW w:w="1395" w:type="dxa"/>
          </w:tcPr>
          <w:p>
            <w:pPr>
              <w:adjustRightInd w:val="0"/>
              <w:snapToGrid w:val="0"/>
              <w:spacing w:line="360" w:lineRule="auto"/>
              <w:jc w:val="both"/>
              <w:rPr>
                <w:rFonts w:hint="eastAsia" w:ascii="FangSong_GB2312" w:hAnsi="SimSun" w:eastAsia="FangSong_GB2312"/>
                <w:sz w:val="24"/>
                <w:szCs w:val="24"/>
                <w:lang w:val="zh-CN"/>
              </w:rPr>
            </w:pPr>
            <w:r>
              <w:rPr>
                <w:rFonts w:hint="eastAsia" w:ascii="FangSong_GB2312" w:hAnsi="SimSun" w:eastAsia="FangSong_GB2312"/>
                <w:sz w:val="24"/>
                <w:szCs w:val="24"/>
                <w:lang w:val="zh-CN"/>
              </w:rPr>
              <w:t>办公费</w:t>
            </w:r>
          </w:p>
        </w:tc>
        <w:tc>
          <w:tcPr>
            <w:tcW w:w="1650" w:type="dxa"/>
          </w:tcPr>
          <w:p>
            <w:pPr>
              <w:adjustRightInd w:val="0"/>
              <w:snapToGrid w:val="0"/>
              <w:spacing w:line="24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6.25</w:t>
            </w:r>
          </w:p>
        </w:tc>
        <w:tc>
          <w:tcPr>
            <w:tcW w:w="1500" w:type="dxa"/>
            <w:vAlign w:val="top"/>
          </w:tcPr>
          <w:p>
            <w:pPr>
              <w:adjustRightInd w:val="0"/>
              <w:snapToGrid w:val="0"/>
              <w:spacing w:line="24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6.25</w:t>
            </w:r>
          </w:p>
        </w:tc>
        <w:tc>
          <w:tcPr>
            <w:tcW w:w="1395" w:type="dxa"/>
            <w:vAlign w:val="top"/>
          </w:tcPr>
          <w:p>
            <w:pPr>
              <w:adjustRightInd w:val="0"/>
              <w:snapToGrid w:val="0"/>
              <w:spacing w:line="24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6.25</w:t>
            </w:r>
          </w:p>
        </w:tc>
        <w:tc>
          <w:tcPr>
            <w:tcW w:w="1455" w:type="dxa"/>
            <w:vAlign w:val="top"/>
          </w:tcPr>
          <w:p>
            <w:pPr>
              <w:adjustRightInd w:val="0"/>
              <w:snapToGrid w:val="0"/>
              <w:spacing w:line="240" w:lineRule="auto"/>
              <w:ind w:firstLine="240" w:firstLineChars="100"/>
              <w:jc w:val="both"/>
              <w:rPr>
                <w:rFonts w:hint="eastAsia" w:ascii="FangSong_GB2312" w:hAnsi="SimSun" w:eastAsia="FangSong_GB2312"/>
                <w:sz w:val="24"/>
                <w:szCs w:val="24"/>
                <w:lang w:val="zh-CN"/>
              </w:rPr>
            </w:pPr>
            <w:r>
              <w:rPr>
                <w:rFonts w:hint="eastAsia" w:ascii="FangSong_GB2312" w:hAnsi="SimSun" w:eastAsia="FangSong_GB2312"/>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870" w:type="dxa"/>
          </w:tcPr>
          <w:p>
            <w:pPr>
              <w:adjustRightInd w:val="0"/>
              <w:snapToGrid w:val="0"/>
              <w:spacing w:line="360" w:lineRule="auto"/>
              <w:jc w:val="both"/>
              <w:rPr>
                <w:rFonts w:hint="eastAsia" w:ascii="FangSong_GB2312" w:hAnsi="SimSun" w:eastAsia="FangSong_GB2312"/>
                <w:sz w:val="24"/>
                <w:szCs w:val="24"/>
                <w:lang w:val="en-US" w:eastAsia="zh-CN"/>
              </w:rPr>
            </w:pPr>
            <w:r>
              <w:rPr>
                <w:rFonts w:hint="eastAsia" w:ascii="FangSong_GB2312" w:hAnsi="SimSun" w:eastAsia="FangSong_GB2312"/>
                <w:sz w:val="24"/>
                <w:szCs w:val="24"/>
                <w:lang w:val="en-US" w:eastAsia="zh-CN"/>
              </w:rPr>
              <w:t>2</w:t>
            </w:r>
          </w:p>
        </w:tc>
        <w:tc>
          <w:tcPr>
            <w:tcW w:w="1395" w:type="dxa"/>
          </w:tcPr>
          <w:p>
            <w:pPr>
              <w:adjustRightInd w:val="0"/>
              <w:snapToGrid w:val="0"/>
              <w:spacing w:line="360" w:lineRule="auto"/>
              <w:jc w:val="both"/>
              <w:rPr>
                <w:rFonts w:hint="eastAsia" w:ascii="FangSong_GB2312" w:hAnsi="SimSun" w:eastAsia="FangSong_GB2312"/>
                <w:sz w:val="24"/>
                <w:szCs w:val="24"/>
                <w:lang w:val="zh-CN"/>
              </w:rPr>
            </w:pPr>
            <w:r>
              <w:rPr>
                <w:rFonts w:hint="eastAsia" w:ascii="FangSong_GB2312" w:hAnsi="SimSun" w:eastAsia="FangSong_GB2312"/>
                <w:sz w:val="24"/>
                <w:szCs w:val="24"/>
                <w:lang w:val="zh-CN"/>
              </w:rPr>
              <w:t>差旅费</w:t>
            </w:r>
          </w:p>
        </w:tc>
        <w:tc>
          <w:tcPr>
            <w:tcW w:w="1650" w:type="dxa"/>
          </w:tcPr>
          <w:p>
            <w:pPr>
              <w:adjustRightInd w:val="0"/>
              <w:snapToGrid w:val="0"/>
              <w:spacing w:line="36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13.36</w:t>
            </w:r>
          </w:p>
        </w:tc>
        <w:tc>
          <w:tcPr>
            <w:tcW w:w="1500" w:type="dxa"/>
            <w:vAlign w:val="top"/>
          </w:tcPr>
          <w:p>
            <w:pPr>
              <w:adjustRightInd w:val="0"/>
              <w:snapToGrid w:val="0"/>
              <w:spacing w:line="36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13.36</w:t>
            </w:r>
          </w:p>
        </w:tc>
        <w:tc>
          <w:tcPr>
            <w:tcW w:w="1395" w:type="dxa"/>
            <w:vAlign w:val="top"/>
          </w:tcPr>
          <w:p>
            <w:pPr>
              <w:adjustRightInd w:val="0"/>
              <w:snapToGrid w:val="0"/>
              <w:spacing w:line="36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13.36</w:t>
            </w:r>
          </w:p>
        </w:tc>
        <w:tc>
          <w:tcPr>
            <w:tcW w:w="1455" w:type="dxa"/>
            <w:vAlign w:val="top"/>
          </w:tcPr>
          <w:p>
            <w:pPr>
              <w:adjustRightInd w:val="0"/>
              <w:snapToGrid w:val="0"/>
              <w:spacing w:line="360" w:lineRule="auto"/>
              <w:ind w:firstLine="240" w:firstLineChars="100"/>
              <w:jc w:val="both"/>
              <w:rPr>
                <w:rFonts w:hint="eastAsia" w:ascii="FangSong_GB2312" w:hAnsi="SimSun" w:eastAsia="FangSong_GB2312"/>
                <w:sz w:val="24"/>
                <w:szCs w:val="24"/>
                <w:lang w:val="zh-CN"/>
              </w:rPr>
            </w:pPr>
            <w:r>
              <w:rPr>
                <w:rFonts w:hint="eastAsia" w:ascii="FangSong_GB2312" w:hAnsi="SimSun" w:eastAsia="FangSong_GB2312"/>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265" w:type="dxa"/>
            <w:gridSpan w:val="2"/>
          </w:tcPr>
          <w:p>
            <w:pPr>
              <w:adjustRightInd w:val="0"/>
              <w:snapToGrid w:val="0"/>
              <w:spacing w:line="360" w:lineRule="auto"/>
              <w:ind w:firstLine="720"/>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合计</w:t>
            </w:r>
          </w:p>
        </w:tc>
        <w:tc>
          <w:tcPr>
            <w:tcW w:w="1650" w:type="dxa"/>
          </w:tcPr>
          <w:p>
            <w:pPr>
              <w:adjustRightInd w:val="0"/>
              <w:snapToGrid w:val="0"/>
              <w:spacing w:line="36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19.61</w:t>
            </w:r>
          </w:p>
        </w:tc>
        <w:tc>
          <w:tcPr>
            <w:tcW w:w="1500" w:type="dxa"/>
            <w:vAlign w:val="top"/>
          </w:tcPr>
          <w:p>
            <w:pPr>
              <w:adjustRightInd w:val="0"/>
              <w:snapToGrid w:val="0"/>
              <w:spacing w:line="36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19.61</w:t>
            </w:r>
          </w:p>
        </w:tc>
        <w:tc>
          <w:tcPr>
            <w:tcW w:w="1395" w:type="dxa"/>
            <w:vAlign w:val="top"/>
          </w:tcPr>
          <w:p>
            <w:pPr>
              <w:adjustRightInd w:val="0"/>
              <w:snapToGrid w:val="0"/>
              <w:spacing w:line="360" w:lineRule="auto"/>
              <w:ind w:firstLine="240" w:firstLineChars="10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19.61</w:t>
            </w:r>
          </w:p>
        </w:tc>
        <w:tc>
          <w:tcPr>
            <w:tcW w:w="1455" w:type="dxa"/>
            <w:vAlign w:val="top"/>
          </w:tcPr>
          <w:p>
            <w:pPr>
              <w:adjustRightInd w:val="0"/>
              <w:snapToGrid w:val="0"/>
              <w:spacing w:line="360" w:lineRule="auto"/>
              <w:ind w:firstLine="240" w:firstLineChars="100"/>
              <w:jc w:val="both"/>
              <w:rPr>
                <w:rFonts w:hint="default" w:ascii="FangSong_GB2312" w:hAnsi="SimSun" w:eastAsia="FangSong_GB2312"/>
                <w:sz w:val="24"/>
                <w:szCs w:val="24"/>
                <w:lang w:val="en-US"/>
              </w:rPr>
            </w:pPr>
            <w:r>
              <w:rPr>
                <w:rFonts w:hint="eastAsia" w:ascii="FangSong_GB2312" w:hAnsi="SimSun" w:eastAsia="FangSong_GB2312"/>
                <w:sz w:val="24"/>
                <w:szCs w:val="24"/>
                <w:lang w:val="en-US" w:eastAsia="zh-CN"/>
              </w:rPr>
              <w:t>100%</w:t>
            </w:r>
          </w:p>
        </w:tc>
      </w:tr>
    </w:tbl>
    <w:p>
      <w:pPr>
        <w:adjustRightInd w:val="0"/>
        <w:snapToGrid w:val="0"/>
        <w:spacing w:line="600" w:lineRule="exact"/>
        <w:ind w:firstLine="720"/>
        <w:rPr>
          <w:rFonts w:hint="eastAsia" w:ascii="SimHei" w:hAnsi="SimSun" w:eastAsia="SimHei"/>
          <w:sz w:val="32"/>
          <w:szCs w:val="32"/>
          <w:lang w:val="zh-CN"/>
        </w:rPr>
      </w:pPr>
    </w:p>
    <w:p>
      <w:pPr>
        <w:adjustRightInd w:val="0"/>
        <w:snapToGrid w:val="0"/>
        <w:spacing w:line="600" w:lineRule="exact"/>
        <w:ind w:firstLine="720"/>
        <w:rPr>
          <w:rFonts w:hint="eastAsia" w:ascii="SimHei" w:hAnsi="SimSun" w:eastAsia="SimHei"/>
          <w:sz w:val="32"/>
          <w:szCs w:val="32"/>
          <w:lang w:val="zh-CN"/>
        </w:rPr>
      </w:pPr>
      <w:bookmarkStart w:id="9" w:name="_Toc17004_WPSOffice_Level3"/>
      <w:r>
        <w:rPr>
          <w:rFonts w:hint="eastAsia" w:ascii="KaiTi_GB2312" w:hAnsi="SimSun" w:eastAsia="KaiTi_GB2312"/>
          <w:b/>
          <w:sz w:val="32"/>
          <w:szCs w:val="32"/>
          <w:lang w:val="zh-CN"/>
        </w:rPr>
        <w:t>（三）项目财务管理情况</w:t>
      </w:r>
      <w:r>
        <w:rPr>
          <w:rFonts w:hint="eastAsia" w:ascii="SimHei" w:hAnsi="SimSun" w:eastAsia="SimHei"/>
          <w:sz w:val="32"/>
          <w:szCs w:val="32"/>
          <w:lang w:val="zh-CN"/>
        </w:rPr>
        <w:t>。</w:t>
      </w:r>
      <w:bookmarkEnd w:id="9"/>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信访稳定经费项目资金实施管理制度健全，严格执行财务管理制度，账务处理及时，会计核算规范。</w:t>
      </w:r>
    </w:p>
    <w:p>
      <w:pPr>
        <w:adjustRightInd w:val="0"/>
        <w:snapToGrid w:val="0"/>
        <w:spacing w:line="600" w:lineRule="exact"/>
        <w:ind w:firstLine="720"/>
        <w:rPr>
          <w:rFonts w:hint="eastAsia" w:ascii="SimHei" w:hAnsi="SimSun" w:eastAsia="SimHei"/>
          <w:sz w:val="32"/>
          <w:szCs w:val="32"/>
        </w:rPr>
      </w:pPr>
      <w:bookmarkStart w:id="10" w:name="_Toc27458_WPSOffice_Level2"/>
      <w:r>
        <w:rPr>
          <w:rFonts w:hint="eastAsia" w:ascii="SimHei" w:hAnsi="SimSun" w:eastAsia="SimHei"/>
          <w:sz w:val="32"/>
          <w:szCs w:val="32"/>
        </w:rPr>
        <w:t>三、项目实施及管理情况</w:t>
      </w:r>
      <w:bookmarkEnd w:id="10"/>
    </w:p>
    <w:p>
      <w:pPr>
        <w:adjustRightInd w:val="0"/>
        <w:snapToGrid w:val="0"/>
        <w:spacing w:line="600" w:lineRule="exact"/>
        <w:ind w:firstLine="640" w:firstLineChars="200"/>
        <w:rPr>
          <w:rFonts w:hint="eastAsia" w:ascii="SimHei" w:hAnsi="SimSun" w:eastAsia="SimHei"/>
          <w:sz w:val="32"/>
          <w:szCs w:val="32"/>
          <w:lang w:val="zh-CN"/>
        </w:rPr>
      </w:pPr>
      <w:bookmarkStart w:id="11" w:name="_Toc23998_WPSOffice_Level3"/>
      <w:r>
        <w:rPr>
          <w:rFonts w:hint="eastAsia" w:ascii="KaiTi_GB2312" w:hAnsi="SimSun" w:eastAsia="KaiTi_GB2312"/>
          <w:b/>
          <w:sz w:val="32"/>
          <w:szCs w:val="32"/>
          <w:lang w:val="zh-CN"/>
        </w:rPr>
        <w:t>（一）项目组织架构及实施流程</w:t>
      </w:r>
      <w:r>
        <w:rPr>
          <w:rFonts w:hint="eastAsia" w:ascii="SimHei" w:hAnsi="SimSun" w:eastAsia="SimHei"/>
          <w:sz w:val="32"/>
          <w:szCs w:val="32"/>
          <w:lang w:val="zh-CN"/>
        </w:rPr>
        <w:t>。</w:t>
      </w:r>
      <w:bookmarkEnd w:id="11"/>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FangSong_GB2312" w:hAnsi="SimSun" w:eastAsia="FangSong_GB2312"/>
          <w:sz w:val="32"/>
          <w:szCs w:val="32"/>
          <w:lang w:val="en-US" w:eastAsia="zh-CN"/>
        </w:rPr>
      </w:pPr>
      <w:r>
        <w:rPr>
          <w:rFonts w:hint="eastAsia" w:ascii="FangSong_GB2312" w:hAnsi="SimSun" w:eastAsia="FangSong_GB2312"/>
          <w:sz w:val="32"/>
          <w:szCs w:val="32"/>
          <w:lang w:val="zh-CN" w:eastAsia="zh-CN"/>
        </w:rPr>
        <w:t>信访稳定经费项目是年初预算，批复后再申请资金，由县财政将预算项目资金拨到单位账户后再根据单位工作安排进行组织实施。</w:t>
      </w:r>
    </w:p>
    <w:p>
      <w:pPr>
        <w:adjustRightInd w:val="0"/>
        <w:snapToGrid w:val="0"/>
        <w:spacing w:line="600" w:lineRule="exact"/>
        <w:ind w:firstLine="640" w:firstLineChars="200"/>
        <w:rPr>
          <w:rFonts w:hint="eastAsia" w:ascii="KaiTi_GB2312" w:hAnsi="SimSun" w:eastAsia="KaiTi_GB2312"/>
          <w:b/>
          <w:sz w:val="32"/>
          <w:szCs w:val="32"/>
          <w:lang w:val="zh-CN"/>
        </w:rPr>
      </w:pPr>
      <w:bookmarkStart w:id="12" w:name="_Toc19802_WPSOffice_Level3"/>
      <w:r>
        <w:rPr>
          <w:rFonts w:hint="eastAsia" w:ascii="KaiTi_GB2312" w:hAnsi="SimSun" w:eastAsia="KaiTi_GB2312"/>
          <w:b/>
          <w:sz w:val="32"/>
          <w:szCs w:val="32"/>
          <w:lang w:val="zh-CN"/>
        </w:rPr>
        <w:t>（二）项目管理情况。</w:t>
      </w:r>
      <w:bookmarkEnd w:id="12"/>
    </w:p>
    <w:p>
      <w:pPr>
        <w:adjustRightInd w:val="0"/>
        <w:snapToGrid w:val="0"/>
        <w:spacing w:line="600" w:lineRule="exact"/>
        <w:ind w:firstLine="720"/>
        <w:rPr>
          <w:rFonts w:hint="default" w:ascii="SimHei" w:hAnsi="SimSun" w:eastAsia="SimHei"/>
          <w:sz w:val="32"/>
          <w:szCs w:val="32"/>
          <w:lang w:val="en-US" w:eastAsia="zh-CN"/>
        </w:rPr>
      </w:pPr>
      <w:r>
        <w:rPr>
          <w:rFonts w:hint="eastAsia" w:ascii="SimHei" w:hAnsi="SimSun" w:eastAsia="SimHei"/>
          <w:sz w:val="32"/>
          <w:szCs w:val="32"/>
          <w:lang w:val="en-US" w:eastAsia="zh-CN"/>
        </w:rPr>
        <w:t xml:space="preserve"> </w:t>
      </w:r>
      <w:r>
        <w:rPr>
          <w:rFonts w:hint="eastAsia" w:ascii="FangSong_GB2312" w:hAnsi="SimSun" w:eastAsia="FangSong_GB2312"/>
          <w:sz w:val="32"/>
          <w:szCs w:val="32"/>
          <w:lang w:val="zh-CN" w:eastAsia="zh-CN"/>
        </w:rPr>
        <w:t>信访稳定经费项目资金管理是严格按照财经制度管理执行，资金使用方式按照全市的标准签订租赁合同，按合同转账支付。</w:t>
      </w:r>
    </w:p>
    <w:p>
      <w:pPr>
        <w:adjustRightInd w:val="0"/>
        <w:snapToGrid w:val="0"/>
        <w:spacing w:line="600" w:lineRule="exact"/>
        <w:ind w:firstLine="640" w:firstLineChars="200"/>
        <w:rPr>
          <w:rFonts w:hint="eastAsia" w:ascii="KaiTi_GB2312" w:hAnsi="SimSun" w:eastAsia="KaiTi_GB2312"/>
          <w:b/>
          <w:sz w:val="32"/>
          <w:szCs w:val="32"/>
          <w:lang w:val="zh-CN"/>
        </w:rPr>
      </w:pPr>
      <w:bookmarkStart w:id="13" w:name="_Toc2493_WPSOffice_Level3"/>
      <w:r>
        <w:rPr>
          <w:rFonts w:hint="eastAsia" w:ascii="KaiTi_GB2312" w:hAnsi="SimSun" w:eastAsia="KaiTi_GB2312"/>
          <w:b/>
          <w:sz w:val="32"/>
          <w:szCs w:val="32"/>
          <w:lang w:val="zh-CN"/>
        </w:rPr>
        <w:t>（三）项目监管情况。</w:t>
      </w:r>
      <w:bookmarkEnd w:id="13"/>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信访稳定经费</w:t>
      </w:r>
      <w:r>
        <w:rPr>
          <w:rFonts w:hint="eastAsia" w:ascii="FangSong_GB2312" w:hAnsi="SimSun" w:eastAsia="FangSong_GB2312"/>
          <w:sz w:val="32"/>
          <w:szCs w:val="32"/>
          <w:lang w:val="zh-CN" w:eastAsia="zh-CN"/>
        </w:rPr>
        <w:t>项目监管方式为：项目由单位接访股、网络投诉股、督查督办股负责实施。项目实施后所有票据由分管领导审核签批报单位主要领导签字同意报销，交财务进行转账支付。</w:t>
      </w:r>
    </w:p>
    <w:p>
      <w:pPr>
        <w:adjustRightInd w:val="0"/>
        <w:snapToGrid w:val="0"/>
        <w:spacing w:line="600" w:lineRule="exact"/>
        <w:ind w:firstLine="720"/>
        <w:rPr>
          <w:rFonts w:hint="eastAsia" w:ascii="SimHei" w:hAnsi="SimSun" w:eastAsia="SimHei"/>
          <w:sz w:val="32"/>
          <w:szCs w:val="32"/>
          <w:lang w:val="zh-CN"/>
        </w:rPr>
      </w:pPr>
      <w:bookmarkStart w:id="14" w:name="_Toc9854_WPSOffice_Level2"/>
      <w:r>
        <w:rPr>
          <w:rFonts w:hint="eastAsia" w:ascii="SimHei" w:hAnsi="SimSun" w:eastAsia="SimHei"/>
          <w:sz w:val="32"/>
          <w:szCs w:val="32"/>
        </w:rPr>
        <w:t>四、项目绩效情况</w:t>
      </w:r>
      <w:bookmarkEnd w:id="14"/>
      <w:r>
        <w:rPr>
          <w:rFonts w:hint="eastAsia" w:ascii="SimHei" w:hAnsi="SimSun" w:eastAsia="SimHei"/>
          <w:sz w:val="32"/>
          <w:szCs w:val="32"/>
          <w:lang w:val="zh-CN"/>
        </w:rPr>
        <w:tab/>
      </w:r>
    </w:p>
    <w:p>
      <w:pPr>
        <w:adjustRightInd w:val="0"/>
        <w:snapToGrid w:val="0"/>
        <w:spacing w:line="600" w:lineRule="exact"/>
        <w:ind w:firstLine="720"/>
        <w:rPr>
          <w:rFonts w:hint="eastAsia" w:ascii="SimHei" w:hAnsi="SimSun" w:eastAsia="SimHei"/>
          <w:sz w:val="32"/>
          <w:szCs w:val="32"/>
          <w:lang w:val="zh-CN"/>
        </w:rPr>
      </w:pPr>
      <w:bookmarkStart w:id="15" w:name="_Toc802_WPSOffice_Level3"/>
      <w:r>
        <w:rPr>
          <w:rFonts w:hint="eastAsia" w:ascii="KaiTi_GB2312" w:hAnsi="SimSun" w:eastAsia="KaiTi_GB2312"/>
          <w:b/>
          <w:sz w:val="32"/>
          <w:szCs w:val="32"/>
          <w:lang w:val="zh-CN"/>
        </w:rPr>
        <w:t>（一）项目完成情况</w:t>
      </w:r>
      <w:r>
        <w:rPr>
          <w:rFonts w:hint="eastAsia" w:ascii="SimHei" w:hAnsi="SimSun" w:eastAsia="SimHei"/>
          <w:sz w:val="32"/>
          <w:szCs w:val="32"/>
          <w:lang w:val="zh-CN"/>
        </w:rPr>
        <w:t>。</w:t>
      </w:r>
      <w:bookmarkEnd w:id="1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lang w:val="en-US" w:eastAsia="zh-CN"/>
        </w:rPr>
      </w:pPr>
      <w:r>
        <w:rPr>
          <w:rFonts w:hint="eastAsia" w:ascii="FangSong_GB2312" w:hAnsi="SimSun" w:eastAsia="FangSong_GB2312"/>
          <w:sz w:val="32"/>
          <w:szCs w:val="32"/>
          <w:lang w:val="en-US" w:eastAsia="zh-CN"/>
        </w:rPr>
        <w:t>2022年根据工作安排，</w:t>
      </w:r>
      <w:r>
        <w:rPr>
          <w:rFonts w:hint="eastAsia" w:ascii="FangSong_GB2312" w:hAnsi="FangSong_GB2312" w:eastAsia="FangSong_GB2312" w:cs="FangSong_GB2312"/>
          <w:sz w:val="32"/>
          <w:szCs w:val="32"/>
          <w:lang w:val="en-US" w:eastAsia="zh-CN"/>
        </w:rPr>
        <w:t>2022年信访稳定经费支出19.61万元，完成2022年全国、省、市、县敏感时期的信访稳定工作，下乡督查信访工作183余次、带案下访96次、督办信访案43次；完成领导接访、下访317次；处理突发性、群体性事件38次；参加敏感时期、重大活动信访稳定工作51次；化解信访难案2件，有力促进全县社会和谐稳定，提高群众满意度。</w:t>
      </w:r>
    </w:p>
    <w:p>
      <w:pPr>
        <w:adjustRightInd w:val="0"/>
        <w:snapToGrid w:val="0"/>
        <w:spacing w:line="600" w:lineRule="exact"/>
        <w:ind w:firstLine="640" w:firstLineChars="200"/>
        <w:rPr>
          <w:rFonts w:hint="eastAsia" w:ascii="SimHei" w:hAnsi="SimSun" w:eastAsia="SimHei"/>
          <w:sz w:val="32"/>
          <w:szCs w:val="32"/>
          <w:lang w:val="zh-CN"/>
        </w:rPr>
      </w:pPr>
      <w:bookmarkStart w:id="16" w:name="_Toc23227_WPSOffice_Level3"/>
      <w:r>
        <w:rPr>
          <w:rFonts w:hint="eastAsia" w:ascii="KaiTi_GB2312" w:hAnsi="SimSun" w:eastAsia="KaiTi_GB2312"/>
          <w:b/>
          <w:sz w:val="32"/>
          <w:szCs w:val="32"/>
          <w:lang w:val="zh-CN"/>
        </w:rPr>
        <w:t>（二）项目效益情况</w:t>
      </w:r>
      <w:r>
        <w:rPr>
          <w:rFonts w:hint="eastAsia" w:ascii="SimHei" w:hAnsi="SimSun" w:eastAsia="SimHei"/>
          <w:sz w:val="32"/>
          <w:szCs w:val="32"/>
          <w:lang w:val="zh-CN"/>
        </w:rPr>
        <w:t>。</w:t>
      </w:r>
      <w:bookmarkEnd w:id="16"/>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信访稳定经费</w:t>
      </w:r>
      <w:r>
        <w:rPr>
          <w:rFonts w:hint="eastAsia" w:ascii="FangSong_GB2312" w:hAnsi="SimSun" w:eastAsia="FangSong_GB2312"/>
          <w:sz w:val="32"/>
          <w:szCs w:val="32"/>
          <w:lang w:val="zh-CN" w:eastAsia="zh-CN"/>
        </w:rPr>
        <w:t>项目是保障全县信访工作正常开展，是为民解难、为党分忧的一项政治工作。是实实在在化解矛盾，解决群众急难愁盼问题，提升干群关系，提高政府公信力，促进社会和谐、促进群众满意度的工作，</w:t>
      </w:r>
      <w:r>
        <w:rPr>
          <w:rFonts w:hint="eastAsia" w:ascii="FangSong_GB2312" w:hAnsi="SimSun" w:eastAsia="FangSong_GB2312"/>
          <w:sz w:val="32"/>
          <w:szCs w:val="32"/>
          <w:lang w:val="en-US" w:eastAsia="zh-CN"/>
        </w:rPr>
        <w:t>2022年</w:t>
      </w:r>
      <w:r>
        <w:rPr>
          <w:rFonts w:hint="eastAsia" w:ascii="FangSong_GB2312" w:hAnsi="SimSun" w:eastAsia="FangSong_GB2312"/>
          <w:sz w:val="32"/>
          <w:szCs w:val="32"/>
          <w:lang w:val="zh-CN" w:eastAsia="zh-CN"/>
        </w:rPr>
        <w:t>实施</w:t>
      </w:r>
      <w:r>
        <w:rPr>
          <w:rFonts w:hint="eastAsia" w:ascii="FangSong_GB2312" w:hAnsi="SimSun" w:eastAsia="FangSong_GB2312"/>
          <w:sz w:val="32"/>
          <w:szCs w:val="32"/>
          <w:lang w:val="en-US" w:eastAsia="zh-CN"/>
        </w:rPr>
        <w:t>信访稳定经费</w:t>
      </w:r>
      <w:r>
        <w:rPr>
          <w:rFonts w:hint="eastAsia" w:ascii="FangSong_GB2312" w:hAnsi="SimSun" w:eastAsia="FangSong_GB2312"/>
          <w:sz w:val="32"/>
          <w:szCs w:val="32"/>
          <w:lang w:val="zh-CN" w:eastAsia="zh-CN"/>
        </w:rPr>
        <w:t>项目社会满意度达</w:t>
      </w:r>
      <w:r>
        <w:rPr>
          <w:rFonts w:hint="eastAsia" w:ascii="FangSong_GB2312" w:hAnsi="SimSun" w:eastAsia="FangSong_GB2312"/>
          <w:sz w:val="32"/>
          <w:szCs w:val="32"/>
          <w:lang w:val="en-US" w:eastAsia="zh-CN"/>
        </w:rPr>
        <w:t>98%，群众满意度为98%</w:t>
      </w:r>
      <w:r>
        <w:rPr>
          <w:rFonts w:hint="eastAsia" w:ascii="FangSong_GB2312" w:hAnsi="SimSun" w:eastAsia="FangSong_GB2312"/>
          <w:sz w:val="32"/>
          <w:szCs w:val="32"/>
          <w:lang w:val="zh-CN" w:eastAsia="zh-CN"/>
        </w:rPr>
        <w:t>。</w:t>
      </w:r>
    </w:p>
    <w:p>
      <w:pPr>
        <w:adjustRightInd w:val="0"/>
        <w:snapToGrid w:val="0"/>
        <w:spacing w:line="600" w:lineRule="exact"/>
        <w:ind w:firstLine="720"/>
        <w:rPr>
          <w:rFonts w:hint="eastAsia" w:ascii="SimHei" w:hAnsi="SimSun" w:eastAsia="SimHei"/>
          <w:sz w:val="32"/>
          <w:szCs w:val="32"/>
        </w:rPr>
      </w:pPr>
      <w:bookmarkStart w:id="17" w:name="_Toc32691_WPSOffice_Level2"/>
      <w:r>
        <w:rPr>
          <w:rFonts w:hint="eastAsia" w:ascii="SimHei" w:hAnsi="SimSun" w:eastAsia="SimHei"/>
          <w:sz w:val="32"/>
          <w:szCs w:val="32"/>
        </w:rPr>
        <w:t>五、评价结论及建议</w:t>
      </w:r>
      <w:bookmarkEnd w:id="17"/>
    </w:p>
    <w:p>
      <w:pPr>
        <w:adjustRightInd w:val="0"/>
        <w:snapToGrid w:val="0"/>
        <w:spacing w:line="600" w:lineRule="exact"/>
        <w:ind w:firstLine="640" w:firstLineChars="200"/>
        <w:rPr>
          <w:rFonts w:hint="eastAsia" w:ascii="KaiTi_GB2312" w:hAnsi="SimSun" w:eastAsia="KaiTi_GB2312"/>
          <w:b/>
          <w:sz w:val="32"/>
          <w:szCs w:val="32"/>
          <w:lang w:val="zh-CN"/>
        </w:rPr>
      </w:pPr>
      <w:bookmarkStart w:id="18" w:name="_Toc23109_WPSOffice_Level3"/>
      <w:r>
        <w:rPr>
          <w:rFonts w:hint="eastAsia" w:ascii="KaiTi_GB2312" w:hAnsi="SimSun" w:eastAsia="KaiTi_GB2312"/>
          <w:b/>
          <w:sz w:val="32"/>
          <w:szCs w:val="32"/>
          <w:lang w:val="zh-CN"/>
        </w:rPr>
        <w:t>（一）评价结论。</w:t>
      </w:r>
      <w:bookmarkEnd w:id="18"/>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信访稳定经费</w:t>
      </w:r>
      <w:r>
        <w:rPr>
          <w:rFonts w:hint="eastAsia" w:ascii="FangSong_GB2312" w:hAnsi="SimSun" w:eastAsia="FangSong_GB2312"/>
          <w:sz w:val="32"/>
          <w:szCs w:val="32"/>
          <w:lang w:val="zh-CN" w:eastAsia="zh-CN"/>
        </w:rPr>
        <w:t>项目申报合理，实施有序，成效明显。预算</w:t>
      </w:r>
      <w:r>
        <w:rPr>
          <w:rFonts w:hint="eastAsia" w:ascii="FangSong_GB2312" w:hAnsi="SimSun" w:eastAsia="FangSong_GB2312"/>
          <w:sz w:val="32"/>
          <w:szCs w:val="32"/>
          <w:lang w:val="en-US" w:eastAsia="zh-CN"/>
        </w:rPr>
        <w:t>未使用的项目预算资金，由财政收回。</w:t>
      </w:r>
    </w:p>
    <w:p>
      <w:pPr>
        <w:adjustRightInd w:val="0"/>
        <w:snapToGrid w:val="0"/>
        <w:spacing w:line="600" w:lineRule="exact"/>
        <w:ind w:firstLine="720"/>
        <w:rPr>
          <w:rFonts w:hint="eastAsia" w:ascii="SimHei" w:hAnsi="SimSun" w:eastAsia="SimHei"/>
          <w:sz w:val="32"/>
          <w:szCs w:val="32"/>
          <w:lang w:val="zh-CN"/>
        </w:rPr>
      </w:pPr>
      <w:bookmarkStart w:id="19" w:name="_Toc5013_WPSOffice_Level3"/>
      <w:r>
        <w:rPr>
          <w:rFonts w:hint="eastAsia" w:ascii="KaiTi_GB2312" w:hAnsi="SimSun" w:eastAsia="KaiTi_GB2312"/>
          <w:b/>
          <w:sz w:val="32"/>
          <w:szCs w:val="32"/>
          <w:lang w:val="zh-CN"/>
        </w:rPr>
        <w:t>（二）存在的问题</w:t>
      </w:r>
      <w:r>
        <w:rPr>
          <w:rFonts w:hint="eastAsia" w:ascii="SimHei" w:hAnsi="SimSun" w:eastAsia="SimHei"/>
          <w:sz w:val="32"/>
          <w:szCs w:val="32"/>
          <w:lang w:val="zh-CN"/>
        </w:rPr>
        <w:t>。</w:t>
      </w:r>
      <w:bookmarkEnd w:id="19"/>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信访稳定费</w:t>
      </w:r>
      <w:r>
        <w:rPr>
          <w:rFonts w:hint="eastAsia" w:ascii="FangSong_GB2312" w:hAnsi="SimSun" w:eastAsia="FangSong_GB2312"/>
          <w:sz w:val="32"/>
          <w:szCs w:val="32"/>
          <w:lang w:val="zh-CN" w:eastAsia="zh-CN"/>
        </w:rPr>
        <w:t>项目实施问题：项目的经费预算因每年工作任务不能达到精准度，所以经费预算上有所偏差。</w:t>
      </w:r>
    </w:p>
    <w:p>
      <w:pPr>
        <w:adjustRightInd w:val="0"/>
        <w:snapToGrid w:val="0"/>
        <w:spacing w:line="600" w:lineRule="exact"/>
        <w:ind w:firstLine="320" w:firstLineChars="100"/>
        <w:rPr>
          <w:rFonts w:hint="eastAsia" w:ascii="SimHei" w:hAnsi="SimSun" w:eastAsia="SimHei"/>
          <w:sz w:val="32"/>
          <w:szCs w:val="32"/>
          <w:lang w:val="zh-CN"/>
        </w:rPr>
      </w:pPr>
      <w:bookmarkStart w:id="20" w:name="_Toc7948_WPSOffice_Level3"/>
      <w:r>
        <w:rPr>
          <w:rFonts w:hint="eastAsia" w:ascii="KaiTi_GB2312" w:hAnsi="SimSun" w:eastAsia="KaiTi_GB2312"/>
          <w:b/>
          <w:sz w:val="32"/>
          <w:szCs w:val="32"/>
          <w:lang w:val="zh-CN"/>
        </w:rPr>
        <w:t>（三）相关建议</w:t>
      </w:r>
      <w:r>
        <w:rPr>
          <w:rFonts w:hint="eastAsia" w:ascii="SimHei" w:hAnsi="SimSun" w:eastAsia="SimHei"/>
          <w:sz w:val="32"/>
          <w:szCs w:val="32"/>
          <w:lang w:val="zh-CN"/>
        </w:rPr>
        <w:t>。</w:t>
      </w:r>
      <w:bookmarkEnd w:id="20"/>
    </w:p>
    <w:p>
      <w:pPr>
        <w:adjustRightInd w:val="0"/>
        <w:snapToGrid w:val="0"/>
        <w:spacing w:line="600" w:lineRule="exact"/>
        <w:ind w:firstLine="720"/>
        <w:rPr>
          <w:rFonts w:hint="eastAsia" w:ascii="FangSong_GB2312" w:hAnsi="SimSun" w:eastAsia="FangSong_GB2312"/>
          <w:sz w:val="32"/>
          <w:szCs w:val="32"/>
          <w:lang w:val="en-US" w:eastAsia="zh-CN"/>
        </w:rPr>
      </w:pPr>
      <w:r>
        <w:rPr>
          <w:rFonts w:hint="eastAsia" w:ascii="FangSong_GB2312" w:hAnsi="SimSun" w:eastAsia="FangSong_GB2312"/>
          <w:sz w:val="32"/>
          <w:szCs w:val="32"/>
          <w:lang w:val="zh-CN" w:eastAsia="zh-CN"/>
        </w:rPr>
        <w:t>提高工作任务的前瞻性预判，促进工作的更好开展。</w:t>
      </w:r>
    </w:p>
    <w:p>
      <w:pPr>
        <w:adjustRightInd w:val="0"/>
        <w:snapToGrid w:val="0"/>
        <w:spacing w:line="600" w:lineRule="exact"/>
        <w:ind w:firstLine="720"/>
        <w:rPr>
          <w:rFonts w:hint="eastAsia" w:ascii="SimHei" w:hAnsi="SimSun" w:eastAsia="SimHei"/>
          <w:sz w:val="32"/>
          <w:szCs w:val="32"/>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ascii="SimHei" w:hAnsi="SimHei" w:eastAsia="SimHei"/>
          <w:b w:val="0"/>
        </w:rPr>
      </w:pPr>
    </w:p>
    <w:p>
      <w:pPr>
        <w:spacing w:line="600" w:lineRule="exact"/>
        <w:jc w:val="center"/>
        <w:outlineLvl w:val="0"/>
        <w:rPr>
          <w:rStyle w:val="7"/>
          <w:rFonts w:hint="eastAsia" w:ascii="SimHei" w:hAnsi="SimHei" w:eastAsia="SimHei"/>
          <w:b w:val="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460BBA8D-7959-4352-A77F-5088124B3D4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2" w:fontKey="{68D5B335-CB88-4E4F-8167-B88EBE7AD91D}"/>
  </w:font>
  <w:font w:name="??">
    <w:altName w:val="Times New Roman"/>
    <w:panose1 w:val="00000000000000000000"/>
    <w:charset w:val="00"/>
    <w:family w:val="roman"/>
    <w:pitch w:val="default"/>
    <w:sig w:usb0="00000000" w:usb1="00000000" w:usb2="00000000" w:usb3="00000000" w:csb0="00000000" w:csb1="00000000"/>
  </w:font>
  <w:font w:name="FangSong_GB2312">
    <w:panose1 w:val="02010609030101010101"/>
    <w:charset w:val="86"/>
    <w:family w:val="modern"/>
    <w:pitch w:val="default"/>
    <w:sig w:usb0="00000001" w:usb1="080E0000" w:usb2="00000000" w:usb3="00000000" w:csb0="00040000" w:csb1="00000000"/>
    <w:embedRegular r:id="rId3" w:fontKey="{6A2263C4-ED20-415A-A5FA-FC64EB7775D7}"/>
  </w:font>
  <w:font w:name="FZXiaoBiaoSong-B05S">
    <w:panose1 w:val="02000000000000000000"/>
    <w:charset w:val="86"/>
    <w:family w:val="script"/>
    <w:pitch w:val="default"/>
    <w:sig w:usb0="00000001" w:usb1="080E0000" w:usb2="00000000" w:usb3="00000000" w:csb0="00040000" w:csb1="00000000"/>
    <w:embedRegular r:id="rId4" w:fontKey="{60CF7B06-C3D6-4C94-A890-D39314A415B3}"/>
  </w:font>
  <w:font w:name="KaiTi_GB2312">
    <w:panose1 w:val="02010609030101010101"/>
    <w:charset w:val="86"/>
    <w:family w:val="modern"/>
    <w:pitch w:val="default"/>
    <w:sig w:usb0="00000001" w:usb1="080E0000" w:usb2="00000000" w:usb3="00000000" w:csb0="00040000" w:csb1="00000000"/>
    <w:embedRegular r:id="rId5" w:fontKey="{39E8B585-D7E5-4CF1-BBE8-79DD2546476C}"/>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65FB6337"/>
    <w:rsid w:val="009E6125"/>
    <w:rsid w:val="00E60813"/>
    <w:rsid w:val="02A1035C"/>
    <w:rsid w:val="02DA2EEA"/>
    <w:rsid w:val="03BA333C"/>
    <w:rsid w:val="06A7337D"/>
    <w:rsid w:val="06EA3F15"/>
    <w:rsid w:val="08D45425"/>
    <w:rsid w:val="0A49167F"/>
    <w:rsid w:val="0A696ECC"/>
    <w:rsid w:val="0B914376"/>
    <w:rsid w:val="0C842AAF"/>
    <w:rsid w:val="10580F98"/>
    <w:rsid w:val="11C818FF"/>
    <w:rsid w:val="1307610A"/>
    <w:rsid w:val="141B1A4D"/>
    <w:rsid w:val="16ED3F1B"/>
    <w:rsid w:val="18670EDC"/>
    <w:rsid w:val="188E69AD"/>
    <w:rsid w:val="1C3F2C8F"/>
    <w:rsid w:val="1E79165D"/>
    <w:rsid w:val="1ED156D8"/>
    <w:rsid w:val="1F990032"/>
    <w:rsid w:val="20E751B1"/>
    <w:rsid w:val="22A72A4B"/>
    <w:rsid w:val="23375DC5"/>
    <w:rsid w:val="277E18BE"/>
    <w:rsid w:val="27CA3536"/>
    <w:rsid w:val="29487E0E"/>
    <w:rsid w:val="2A3F0027"/>
    <w:rsid w:val="2B215F7E"/>
    <w:rsid w:val="2C101C61"/>
    <w:rsid w:val="2C470C09"/>
    <w:rsid w:val="2EF9340E"/>
    <w:rsid w:val="2FAC4AA0"/>
    <w:rsid w:val="315F5349"/>
    <w:rsid w:val="317B79B7"/>
    <w:rsid w:val="387D2597"/>
    <w:rsid w:val="38AE26B6"/>
    <w:rsid w:val="3C9733B6"/>
    <w:rsid w:val="3FA13B5E"/>
    <w:rsid w:val="40A250A6"/>
    <w:rsid w:val="44E514C4"/>
    <w:rsid w:val="47E14891"/>
    <w:rsid w:val="48C609E2"/>
    <w:rsid w:val="48EC22BB"/>
    <w:rsid w:val="49385353"/>
    <w:rsid w:val="497037D6"/>
    <w:rsid w:val="4A716275"/>
    <w:rsid w:val="4C8378A8"/>
    <w:rsid w:val="4FAF734A"/>
    <w:rsid w:val="4FC30A56"/>
    <w:rsid w:val="56692157"/>
    <w:rsid w:val="589B12BF"/>
    <w:rsid w:val="592C2CDD"/>
    <w:rsid w:val="595A17E9"/>
    <w:rsid w:val="5BB07159"/>
    <w:rsid w:val="5EF60B67"/>
    <w:rsid w:val="61A12B60"/>
    <w:rsid w:val="631E1C33"/>
    <w:rsid w:val="63204CBB"/>
    <w:rsid w:val="633F3AE9"/>
    <w:rsid w:val="65916826"/>
    <w:rsid w:val="65FB6337"/>
    <w:rsid w:val="663369DD"/>
    <w:rsid w:val="694B47BF"/>
    <w:rsid w:val="6B4D2364"/>
    <w:rsid w:val="6C2E1689"/>
    <w:rsid w:val="71974719"/>
    <w:rsid w:val="724C27C2"/>
    <w:rsid w:val="75F02C40"/>
    <w:rsid w:val="75F24CC3"/>
    <w:rsid w:val="765C3C5C"/>
    <w:rsid w:val="77E6525A"/>
    <w:rsid w:val="79554E1A"/>
    <w:rsid w:val="7CB85FF0"/>
    <w:rsid w:val="7DD13D24"/>
    <w:rsid w:val="7DE559D9"/>
    <w:rsid w:val="7E5C6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SimSun" w:cs="Times New Roman"/>
      <w:kern w:val="2"/>
      <w:sz w:val="21"/>
      <w:szCs w:val="24"/>
      <w:lang w:val="en-US" w:eastAsia="zh-CN" w:bidi="ar-SA"/>
    </w:rPr>
  </w:style>
  <w:style w:type="paragraph" w:styleId="3">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Char"/>
    <w:basedOn w:val="6"/>
    <w:link w:val="3"/>
    <w:qFormat/>
    <w:uiPriority w:val="9"/>
    <w:rPr>
      <w:b/>
      <w:bCs/>
      <w:kern w:val="44"/>
      <w:sz w:val="44"/>
      <w:szCs w:val="44"/>
    </w:rPr>
  </w:style>
  <w:style w:type="paragraph" w:customStyle="1" w:styleId="8">
    <w:name w:val="四号正文"/>
    <w:basedOn w:val="1"/>
    <w:qFormat/>
    <w:uiPriority w:val="0"/>
    <w:pPr>
      <w:spacing w:line="360" w:lineRule="auto"/>
    </w:pPr>
    <w:rPr>
      <w:rFonts w:ascii="??" w:hAnsi="??" w:eastAsia="SimSun"/>
      <w:color w:val="000000"/>
      <w:kern w:val="0"/>
      <w:sz w:val="28"/>
      <w:szCs w:val="21"/>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2023-11-07T02:08:00Z</dcterms:created>
  <dc:creator>Administrator</dc:creator>
  <cp:lastModifiedBy>碧云天</cp:lastModifiedBy>
  <dcterms:modified xsi:type="dcterms:W3CDTF">2024-03-27T07:55:17Z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AF340EB9FE5C4CAAA3D6536301E760EB</vt:lpwstr>
  </property>
</Properties>
</file>