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FC7A1">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41FA4E52">
      <w:pPr>
        <w:widowControl/>
        <w:spacing w:line="580" w:lineRule="exact"/>
        <w:ind w:firstLine="883" w:firstLineChars="200"/>
        <w:contextualSpacing/>
        <w:jc w:val="center"/>
        <w:rPr>
          <w:rFonts w:ascii="宋体"/>
          <w:b/>
          <w:sz w:val="44"/>
          <w:szCs w:val="44"/>
          <w:shd w:val="clear" w:color="auto" w:fill="FFFFFF"/>
        </w:rPr>
      </w:pPr>
    </w:p>
    <w:p w14:paraId="36D9408A">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级部门整体绩效自评报告范本</w:t>
      </w:r>
    </w:p>
    <w:p w14:paraId="7BA78419">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0F8E5811">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79B7765B">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18945F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41D36BCB">
      <w:pPr>
        <w:widowControl/>
        <w:adjustRightInd w:val="0"/>
        <w:snapToGrid w:val="0"/>
        <w:spacing w:line="580" w:lineRule="exact"/>
        <w:ind w:firstLine="600" w:firstLineChars="200"/>
        <w:contextualSpacing/>
        <w:jc w:val="left"/>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b w:val="0"/>
          <w:bCs w:val="0"/>
          <w:color w:val="000000"/>
          <w:kern w:val="0"/>
          <w:sz w:val="30"/>
          <w:szCs w:val="30"/>
          <w:shd w:val="clear" w:color="auto" w:fill="FFFFFF"/>
          <w:lang w:val="zh-CN"/>
        </w:rPr>
        <w:t>峨边彝族自治县农业</w:t>
      </w:r>
      <w:r>
        <w:rPr>
          <w:rFonts w:hint="eastAsia" w:ascii="仿宋" w:hAnsi="仿宋" w:eastAsia="仿宋" w:cs="仿宋"/>
          <w:color w:val="000000"/>
          <w:kern w:val="0"/>
          <w:sz w:val="30"/>
          <w:szCs w:val="30"/>
          <w:shd w:val="clear" w:color="auto" w:fill="FFFFFF"/>
          <w:lang w:val="zh-CN"/>
        </w:rPr>
        <w:t>农村局下设办公室、农业农村综合股、畜牧兽医水产股、安全监管股、政策法规股、机关党委、</w:t>
      </w:r>
      <w:r>
        <w:rPr>
          <w:rFonts w:hint="eastAsia" w:ascii="仿宋" w:hAnsi="仿宋" w:eastAsia="仿宋" w:cs="仿宋"/>
          <w:color w:val="000000"/>
          <w:kern w:val="0"/>
          <w:sz w:val="30"/>
          <w:szCs w:val="30"/>
          <w:shd w:val="clear" w:color="auto" w:fill="FFFFFF"/>
          <w:lang w:val="en-US" w:eastAsia="zh-CN"/>
        </w:rPr>
        <w:t>土地整理中心、种子站、乡村促进中心、执法大队。</w:t>
      </w:r>
    </w:p>
    <w:p w14:paraId="51D171FF">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w:t>
      </w:r>
      <w:r>
        <w:rPr>
          <w:rFonts w:hint="eastAsia" w:ascii="楷体_GB2312" w:hAnsi="宋体" w:eastAsia="楷体_GB2312" w:cs="宋体"/>
          <w:color w:val="000000"/>
          <w:kern w:val="0"/>
          <w:szCs w:val="32"/>
          <w:shd w:val="clear" w:color="auto" w:fill="FFFFFF"/>
          <w:lang w:val="en-US" w:eastAsia="zh-CN"/>
        </w:rPr>
        <w:t>及人员情况。</w:t>
      </w:r>
    </w:p>
    <w:p w14:paraId="450436CD">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统筹研究和组织实施全县“三农”工作的发展战略、中长期规划、重大政策。组织起草“三农”有关规范性文件并组织实施。</w:t>
      </w:r>
    </w:p>
    <w:p w14:paraId="21E16DAE">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统筹实施乡村振兴战略，牵头组织改善全县农村人居环境。统筹推动发展农村社会事业、农村公共服务、农村文化、农村基础设施和乡村治理。指导农村精神文明和优秀农耕文化建设。</w:t>
      </w:r>
    </w:p>
    <w:p w14:paraId="4282BB2E">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拟订深化全县农村经济体制改革和巩固完善农村基本经营制度的政策措施。负责农民承包地、农村宅基地管理和改革有关工作。负责农村集体产权制度改革，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14:paraId="213930B0">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指导全县乡村特色产业、农产品加工业（产地初加工）、休闲农业和乡村企业发展工作。指导特色农产品优势区建设和管理工作。组织拟订现代农业园区的政策与规划并组织实施，负责现代农业园区评定工作。提出促进大宗农产品流通政策和主要农产品进口建议，研究制定大宗农产品市场体系建设与发展规划。培育、保护和发展农产品品牌，组织协调“菜篮子”工程有关工作。负责农业信息体系建设，推动数字农业发展。发布农业农村经济信息，监测分析农业农村经济运行。承担农业统计工作。</w:t>
      </w:r>
    </w:p>
    <w:p w14:paraId="2FA3B10C">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负责全县种植业、畜牧业、渔业、农垦、农业机械化等农业各产业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14:paraId="605B73F4">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制定全县农业机械化、智能化、数字化发展规划并组织实施。组织开展农业机械重大技术攻关和关键技术开发，引进、示范和推广农业机械新技术、新机具，指导全县农业机械基础设施的规划建设和管理工作。指导设施农业、农机库棚、机电提灌、机耕道等基础设施建设。</w:t>
      </w:r>
    </w:p>
    <w:p w14:paraId="63028CAD">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负责全县农产品质量安全监督管理。组织开展农产品质量安全监测、追溯、风险评估。发布有关农产品质量安全状况信息，提出技术性贸易措施建议。组织实施农产品质量安全标准。指导农业检验检测体系建设。依法组织实施符合安全标准的农产品生产基地认定、产品认证、农产品地理标志登记保护和监督管理。</w:t>
      </w:r>
    </w:p>
    <w:p w14:paraId="639F534A">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组织开展全县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可再生能源综合开发利用、农业生物质产业发展。</w:t>
      </w:r>
    </w:p>
    <w:p w14:paraId="01814F97">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负责全县有关农业生产资料和农业投入品的监督管理。组织农业生产资料市场体系建设，承担农作物种子（种苗）、食用菌种、蚕种、饲草良种、种畜禽、水产苗种、农药、兽药（渔药）、饲料、饲料添加剂等农业生产资料的监督管理职责，牵头负责“瘦肉精”监管工作。监督管理兽医医疗器械、肥料。制定有关农业生产资料地方标准并监督实施，会同有关部门监督实施农业生产资料国家标准。组织兽医医政、兽药(渔药)药政药检工作，负责执业兽医和畜禽屠宰行业管理。</w:t>
      </w:r>
    </w:p>
    <w:p w14:paraId="2E8F8018">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负责全县农业防灾减灾、农作物重大病虫害防治工作。牵头起草动植物防疫和检疫的规范性文件，会同有关部门制定动植物防疫检疫政策并指导实施。指导动植物防疫检疫体系建设，组织、监督市内动植物防疫检疫工作，发布疫情并组织扑灭。组织植物检疫性有害生物普查。牵头管理外来农业物种。监测、核查、发布农业灾情，组织种子、种苗、化肥、兽药（渔药）等农业生产救灾物资的储备和调拨，提出生产救灾资金安排建议，指导紧急救灾和灾后生产恢复。</w:t>
      </w:r>
    </w:p>
    <w:p w14:paraId="42787E6F">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负责全县农业投资管理。提出农业投融资体制机制改革建议。编制中央、省级、市级和县级投资安排的农业投资项目建设规划，提出农业投资规模和方向、扶持农业农村发展财政项目的建议，按规定权限审批农业投资项目，负责农业投资项目资金安排和监督管理。</w:t>
      </w:r>
    </w:p>
    <w:p w14:paraId="670BF273">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12.</w:t>
      </w:r>
      <w:r>
        <w:rPr>
          <w:rFonts w:hint="eastAsia" w:ascii="仿宋" w:hAnsi="仿宋" w:eastAsia="仿宋" w:cs="仿宋"/>
          <w:sz w:val="30"/>
          <w:szCs w:val="30"/>
        </w:rPr>
        <w:t>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参与开展永久基本农田保护。</w:t>
      </w:r>
    </w:p>
    <w:p w14:paraId="60E34F9D">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13.</w:t>
      </w:r>
      <w:r>
        <w:rPr>
          <w:rFonts w:hint="eastAsia" w:ascii="仿宋" w:hAnsi="仿宋" w:eastAsia="仿宋" w:cs="仿宋"/>
          <w:sz w:val="30"/>
          <w:szCs w:val="30"/>
        </w:rPr>
        <w:t>制定全县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负责农业转基因生物安全监督管理和农业植物新品种保护。</w:t>
      </w:r>
    </w:p>
    <w:p w14:paraId="014B4637">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指导全县农业农村人才工作。制定农业农村人才队伍建设规划并组织实施，指导农业教育和农业职业技能开发，指导新型职业农民培育、农业科技人才培养和农村实用人才培训工作。</w:t>
      </w:r>
    </w:p>
    <w:p w14:paraId="25727F43">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15.</w:t>
      </w:r>
      <w:r>
        <w:rPr>
          <w:rFonts w:hint="eastAsia" w:ascii="仿宋" w:hAnsi="仿宋" w:eastAsia="仿宋" w:cs="仿宋"/>
          <w:sz w:val="30"/>
          <w:szCs w:val="30"/>
        </w:rPr>
        <w:t>牵头开展全县农业对外合作工作。承办政府间农业涉外事务，参与拟订农业对外开放政策和外向型农业发展规划，指导外向型农业发展。组织开展农业投资促进活动，推动农业开放合作。</w:t>
      </w:r>
    </w:p>
    <w:p w14:paraId="033812B4">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16.</w:t>
      </w:r>
      <w:r>
        <w:rPr>
          <w:rFonts w:hint="eastAsia" w:ascii="仿宋" w:hAnsi="仿宋" w:eastAsia="仿宋" w:cs="仿宋"/>
          <w:sz w:val="30"/>
          <w:szCs w:val="30"/>
        </w:rPr>
        <w:t>统筹协调和监督指导全县农业综合执法。负责监督指导、重大案件查处和跨区域执法的组织协调工作，承担由县本级办理的涉农违法案件。推进农业依法行政。</w:t>
      </w:r>
    </w:p>
    <w:p w14:paraId="5E1630B7">
      <w:pPr>
        <w:spacing w:line="56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lang w:val="en-US" w:eastAsia="zh-CN"/>
        </w:rPr>
        <w:t>17.</w:t>
      </w:r>
      <w:r>
        <w:rPr>
          <w:rFonts w:hint="eastAsia" w:ascii="仿宋" w:hAnsi="仿宋" w:eastAsia="仿宋" w:cs="仿宋"/>
          <w:sz w:val="30"/>
          <w:szCs w:val="30"/>
        </w:rPr>
        <w:t>负责职责范围内的安全生产和职业健康、生态环境保护、服务便民化等工作。</w:t>
      </w:r>
    </w:p>
    <w:p w14:paraId="1AF8FEAF">
      <w:pPr>
        <w:widowControl/>
        <w:adjustRightInd w:val="0"/>
        <w:snapToGrid w:val="0"/>
        <w:spacing w:line="580" w:lineRule="exact"/>
        <w:ind w:firstLine="600" w:firstLineChars="200"/>
        <w:contextualSpacing/>
        <w:jc w:val="left"/>
        <w:rPr>
          <w:rFonts w:hint="eastAsia" w:ascii="仿宋" w:hAnsi="仿宋" w:eastAsia="仿宋" w:cs="仿宋"/>
          <w:sz w:val="30"/>
          <w:szCs w:val="30"/>
        </w:rPr>
      </w:pPr>
      <w:r>
        <w:rPr>
          <w:rFonts w:hint="eastAsia" w:ascii="仿宋" w:hAnsi="仿宋" w:eastAsia="仿宋" w:cs="仿宋"/>
          <w:sz w:val="30"/>
          <w:szCs w:val="30"/>
          <w:lang w:val="en-US" w:eastAsia="zh-CN"/>
        </w:rPr>
        <w:t>18.</w:t>
      </w:r>
      <w:r>
        <w:rPr>
          <w:rFonts w:hint="eastAsia" w:ascii="仿宋" w:hAnsi="仿宋" w:eastAsia="仿宋" w:cs="仿宋"/>
          <w:sz w:val="30"/>
          <w:szCs w:val="30"/>
        </w:rPr>
        <w:t>完成县委、县政府交办的其他工作。</w:t>
      </w:r>
    </w:p>
    <w:p w14:paraId="0F5EC4C7">
      <w:pPr>
        <w:spacing w:line="600" w:lineRule="exact"/>
        <w:ind w:firstLine="640" w:firstLineChars="200"/>
        <w:rPr>
          <w:rFonts w:hint="eastAsia" w:ascii="仿宋" w:hAnsi="仿宋" w:eastAsia="仿宋"/>
          <w:szCs w:val="32"/>
        </w:rPr>
      </w:pPr>
      <w:r>
        <w:rPr>
          <w:rFonts w:hint="eastAsia" w:ascii="仿宋" w:hAnsi="仿宋" w:eastAsia="仿宋"/>
          <w:szCs w:val="32"/>
        </w:rPr>
        <w:t>县农业农村局预算单位1个，其中：行政单位1个，事业单位0个。</w:t>
      </w:r>
    </w:p>
    <w:p w14:paraId="20F01AFE">
      <w:pPr>
        <w:widowControl/>
        <w:tabs>
          <w:tab w:val="left" w:pos="3840"/>
        </w:tabs>
        <w:adjustRightInd w:val="0"/>
        <w:snapToGrid w:val="0"/>
        <w:spacing w:line="580" w:lineRule="exact"/>
        <w:ind w:firstLine="640" w:firstLineChars="200"/>
        <w:contextualSpacing/>
        <w:jc w:val="left"/>
        <w:rPr>
          <w:rFonts w:hint="default" w:ascii="楷体_GB2312" w:hAnsi="宋体" w:eastAsia="仿宋" w:cs="宋体"/>
          <w:color w:val="000000"/>
          <w:kern w:val="0"/>
          <w:szCs w:val="32"/>
          <w:shd w:val="clear" w:color="auto" w:fill="FFFFFF"/>
          <w:lang w:val="en-US" w:eastAsia="zh-CN"/>
        </w:rPr>
      </w:pPr>
      <w:r>
        <w:rPr>
          <w:rFonts w:hint="eastAsia" w:ascii="仿宋" w:hAnsi="仿宋" w:eastAsia="仿宋"/>
          <w:szCs w:val="32"/>
        </w:rPr>
        <w:t>县农业农村局总编制</w:t>
      </w:r>
      <w:r>
        <w:rPr>
          <w:rFonts w:hint="eastAsia" w:ascii="仿宋" w:hAnsi="仿宋" w:eastAsia="仿宋"/>
          <w:szCs w:val="32"/>
          <w:lang w:val="en-US" w:eastAsia="zh-CN"/>
        </w:rPr>
        <w:t>140</w:t>
      </w:r>
      <w:r>
        <w:rPr>
          <w:rFonts w:hint="eastAsia" w:ascii="仿宋" w:hAnsi="仿宋" w:eastAsia="仿宋"/>
          <w:szCs w:val="32"/>
        </w:rPr>
        <w:t>名，其中：行政编制14名，工勤编制4名，事业编制</w:t>
      </w:r>
      <w:r>
        <w:rPr>
          <w:rFonts w:hint="eastAsia" w:ascii="仿宋" w:hAnsi="仿宋" w:eastAsia="仿宋"/>
          <w:szCs w:val="32"/>
          <w:lang w:val="en-US" w:eastAsia="zh-CN"/>
        </w:rPr>
        <w:t>122</w:t>
      </w:r>
      <w:r>
        <w:rPr>
          <w:rFonts w:hint="eastAsia" w:ascii="仿宋" w:hAnsi="仿宋" w:eastAsia="仿宋"/>
          <w:szCs w:val="32"/>
        </w:rPr>
        <w:t>名。</w:t>
      </w:r>
      <w:r>
        <w:rPr>
          <w:rFonts w:hint="eastAsia" w:ascii="仿宋" w:hAnsi="仿宋" w:eastAsia="仿宋"/>
          <w:szCs w:val="32"/>
          <w:lang w:val="en-US" w:eastAsia="zh-CN"/>
        </w:rPr>
        <w:t>2023年底实有行政人员29人，事业人员90人，离休人员1名。</w:t>
      </w:r>
    </w:p>
    <w:p w14:paraId="5F018EC5">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14A8CEB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zh-CN" w:eastAsia="zh-CN"/>
        </w:rPr>
        <w:t>）</w:t>
      </w:r>
      <w:r>
        <w:rPr>
          <w:rFonts w:hint="eastAsia" w:ascii="楷体_GB2312" w:hAnsi="楷体_GB2312" w:eastAsia="楷体_GB2312" w:cs="楷体_GB2312"/>
          <w:sz w:val="32"/>
          <w:szCs w:val="32"/>
        </w:rPr>
        <w:t>主要经济指标完成情况</w:t>
      </w:r>
    </w:p>
    <w:p w14:paraId="20AE84E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en-US"/>
        </w:rPr>
        <w:t>2024</w:t>
      </w:r>
      <w:r>
        <w:rPr>
          <w:rFonts w:hint="eastAsia" w:ascii="Times New Roman" w:hAnsi="Times New Roman" w:eastAsia="仿宋_GB2312" w:cs="仿宋_GB2312"/>
          <w:sz w:val="32"/>
          <w:szCs w:val="32"/>
          <w:lang w:val="en-US" w:eastAsia="zh-CN"/>
        </w:rPr>
        <w:t>年，全县农业经济，实现第一产业增加值92524元，同比增长2.1</w:t>
      </w:r>
      <w:r>
        <w:rPr>
          <w:rFonts w:hint="eastAsia" w:ascii="Times New Roman" w:hAnsi="Times New Roman" w:eastAsia="仿宋_GB2312" w:cs="仿宋_GB2312"/>
          <w:sz w:val="32"/>
          <w:szCs w:val="32"/>
          <w:lang w:val="en-US" w:eastAsia="en-US"/>
        </w:rPr>
        <w:t>%</w:t>
      </w:r>
      <w:r>
        <w:rPr>
          <w:rFonts w:hint="eastAsia" w:ascii="Times New Roman" w:hAnsi="Times New Roman" w:eastAsia="仿宋_GB2312" w:cs="仿宋_GB2312"/>
          <w:sz w:val="32"/>
          <w:szCs w:val="32"/>
          <w:lang w:val="en-US" w:eastAsia="zh-CN"/>
        </w:rPr>
        <w:t>，低于全市平均增速0.7个百分点，全市排序第11位;农村居民可支配收入18475元，增速7.1%，排序全市第2位次。完成粮食播种面积19.25万亩，粮食产量5.168万吨。全县生猪出栏154098头，同比下降7.4%；牛出栏7226头，下降10.6%；羊出栏22279头，下降13.3%；禽出栏981210只，下降8.1%。</w:t>
      </w:r>
    </w:p>
    <w:p w14:paraId="67A196E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（二）推进农业产业健康发展</w:t>
      </w:r>
    </w:p>
    <w:p w14:paraId="1D7B045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1.稳定粮食生产</w:t>
      </w:r>
      <w:r>
        <w:rPr>
          <w:rFonts w:hint="eastAsia" w:ascii="Times New Roman" w:hAnsi="Times New Roman" w:eastAsia="仿宋_GB2312" w:cs="仿宋_GB2312"/>
          <w:sz w:val="32"/>
          <w:szCs w:val="32"/>
          <w:lang w:val="zh-CN" w:eastAsia="zh-CN"/>
        </w:rPr>
        <w:t>。一是</w:t>
      </w:r>
      <w:r>
        <w:rPr>
          <w:rFonts w:hint="eastAsia" w:ascii="Times New Roman" w:hAnsi="Times New Roman" w:eastAsia="仿宋_GB2312" w:cs="仿宋_GB2312"/>
          <w:sz w:val="32"/>
          <w:szCs w:val="32"/>
          <w:lang w:val="en-US" w:eastAsia="zh-CN"/>
        </w:rPr>
        <w:t>落实粮油生产任务。种植大豆1.96万亩、豆玉复合1.64万亩、豆玉复合示范0.45万亩；油菜播种4.0926万亩，产量3430吨。二是</w:t>
      </w:r>
      <w:r>
        <w:rPr>
          <w:rFonts w:hint="eastAsia" w:ascii="Times New Roman" w:hAnsi="Times New Roman" w:eastAsia="仿宋_GB2312" w:cs="仿宋_GB2312"/>
          <w:sz w:val="32"/>
          <w:szCs w:val="32"/>
          <w:lang w:val="zh-CN" w:eastAsia="zh-CN"/>
        </w:rPr>
        <w:t>实施单产提升行动。成功</w:t>
      </w:r>
      <w:r>
        <w:rPr>
          <w:rFonts w:hint="eastAsia" w:ascii="Times New Roman" w:hAnsi="Times New Roman" w:eastAsia="仿宋_GB2312" w:cs="仿宋_GB2312"/>
          <w:sz w:val="32"/>
          <w:szCs w:val="32"/>
          <w:lang w:val="en-US" w:eastAsia="zh-CN"/>
        </w:rPr>
        <w:t>打造两片千亩高产展示片，共2600亩。水稻平均亩产489.3公斤，同比增长1.58%。玉米平均亩产293公斤，同比增长2.81%。开展马铃薯测产工作，新林镇园区3763.1公斤/亩，宜坪村1组4180.9公斤/亩，创峨边马铃薯产量新高。三是开展新品种试验示范。引进旱稻“旱优73”，在五渡镇试验示范种植30余亩，实测亩产1257.8斤，平均亩产稳定在1200斤以上。</w:t>
      </w:r>
    </w:p>
    <w:p w14:paraId="54B2D7D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zh-CN" w:eastAsia="zh-CN"/>
        </w:rPr>
        <w:t>抓好</w:t>
      </w:r>
      <w:r>
        <w:rPr>
          <w:rFonts w:hint="eastAsia" w:ascii="Times New Roman" w:hAnsi="Times New Roman" w:eastAsia="仿宋_GB2312" w:cs="仿宋_GB2312"/>
          <w:sz w:val="32"/>
          <w:szCs w:val="32"/>
          <w:lang w:val="en-US" w:eastAsia="zh-CN"/>
        </w:rPr>
        <w:t>畜禽生产</w:t>
      </w:r>
      <w:r>
        <w:rPr>
          <w:rFonts w:hint="eastAsia" w:ascii="Times New Roman" w:hAnsi="Times New Roman" w:eastAsia="仿宋_GB2312" w:cs="仿宋_GB2312"/>
          <w:sz w:val="32"/>
          <w:szCs w:val="32"/>
          <w:lang w:val="zh-CN" w:eastAsia="zh-CN"/>
        </w:rPr>
        <w:t>。</w:t>
      </w:r>
      <w:r>
        <w:rPr>
          <w:rFonts w:hint="eastAsia" w:ascii="Times New Roman" w:hAnsi="Times New Roman" w:eastAsia="仿宋_GB2312" w:cs="仿宋_GB2312"/>
          <w:sz w:val="32"/>
          <w:szCs w:val="32"/>
          <w:lang w:val="en-US" w:eastAsia="zh-CN"/>
        </w:rPr>
        <w:t xml:space="preserve">一是加强生猪生产周期调节，充分发挥大堡天兆、毛坪康润、五渡康源等生猪产能调控基地作用，建成规模化养殖场37个。争取省级贷款贴息补助资金20万元，解决养殖场资金周转问题，提振养殖户信心。二是推进畜牧项目。实施完成2023年峨边花牛保种、稳定生猪生产、能繁母猪引种补贴等项目，加快推进2024年稳定生猪生产项目、峨边花牛保护和畜禽粪污资源化利用整县推进项目等。多次邀请川农大、省畜科院专家现场指导畜禽生产，推动峨边畜禽产业高质量发展。三是发展水产养殖。不断优化和调整水产养殖结构，盘活农村闲置坑塘资源，引导发展水产养殖产业。投放鱼种36吨，水产品总产量155吨，同比增长5.44%。 </w:t>
      </w:r>
    </w:p>
    <w:p w14:paraId="2F5776A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tl w:val="0"/>
          <w:lang w:val="en-US" w:eastAsia="zh-CN"/>
        </w:rPr>
      </w:pPr>
      <w:r>
        <w:rPr>
          <w:rFonts w:hint="eastAsia" w:ascii="Times New Roman" w:hAnsi="Times New Roman" w:eastAsia="仿宋_GB2312" w:cs="仿宋_GB2312"/>
          <w:sz w:val="32"/>
          <w:szCs w:val="32"/>
          <w:lang w:val="en-US" w:eastAsia="zh-CN"/>
        </w:rPr>
        <w:t>3.加快园区建设。一是围绕“两园”同创建设布局，争创国家级山区特色粮经复合现代农业园区，依托农业农村特色资源，以沙坪、新林、新场、毛坪、杨河、新场、宜坪等乡镇为重点，形成特色粮经核心园区产业环线。二是深入实施“百园千亿”工程和“211”园区培育计划，坚持“三链同构”，加快推进粮蔬、粮果、粮油、粮药、粮渔“1+5”现代农业园区建设项目，建成“马铃薯+桃”省三星级现代农业园区和宜坪乡省级产业强镇，新认定市级现代农业园区1个，县级现代农业园区2个。三</w:t>
      </w:r>
      <w:r>
        <w:rPr>
          <w:rFonts w:hint="eastAsia" w:ascii="Times New Roman" w:hAnsi="Times New Roman" w:eastAsia="仿宋_GB2312" w:cs="仿宋_GB2312"/>
          <w:sz w:val="32"/>
          <w:szCs w:val="32"/>
          <w:rtl w:val="0"/>
          <w:lang w:val="en-US" w:eastAsia="zh-CN"/>
        </w:rPr>
        <w:t>是培育壮大新型经营主体。新增申报市级重点龙头企业2家、省级重点龙头企业1家。2024年新登记注册家庭农场2个、农民合作社24个，累计培育家庭农场289家，农民合作社495个。</w:t>
      </w:r>
    </w:p>
    <w:p w14:paraId="774D934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4.培育壮大主导产业</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一是做特做优高山果蔬产业。实施设施农业现代化提升行动，完善“五网”配套，推广“五良”融合，推动粮果复合发展、果蔬错位发展，加快建设宜坪枇杷、毛坪猕猴桃、新场辣椒等特色高山果蔬产业基地。蔬菜种植面积3.98万亩、产量8.13万吨。水果种植面积3.2万亩、产量2.7万吨。二是提质发展道地中药材产业。实施林下中药材种植抚育行动，大力发展川牛膝、黄柏、天麻、艾草等道地中药材产业，培育壮大中药材加工龙头企业，提升中药材精深加工能力和产品附加值。中药材种植基地1.97万亩，产量2600余吨。</w:t>
      </w:r>
    </w:p>
    <w:p w14:paraId="305AEA5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做强农业产业品牌。以峨边竹笋、果蔬、薯类、蜂蜜、畜禽等特色农产品为重点，鼓励龙头企业申报有机食品、绿色食品，大力开发适合电商销售的峨边特色农产品。加快扶持和引进农产品精深加工企业，加快生物、环保、信息等集成应用，推进全县农产品加工产业园建设。深入实施品牌建设“孵化、提升、创新、整合、信息”五大工程，开展农业生产“品种、品质、品控、品牌”四品提升行动，培育区域公用品牌，创响企业品牌，打造中国驰名商标、优质品牌农产品，提升“峨岭云边”公用品牌影响力。加强农产品商标及地理标志的注册和保护，构建农产品品牌保护体系。峨边马铃薯、黑竹沟藤椒入选首批《中国农产品品牌索引名录》。</w:t>
      </w:r>
    </w:p>
    <w:p w14:paraId="5E479FF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（三）进一步深化农业农村改革</w:t>
      </w:r>
    </w:p>
    <w:p w14:paraId="3E730C2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扶持壮大村级集体经济发展。全面贯彻落实《四川省农村集体经济组织条例》，加强农村集体“三资”监管，支持农村集体经济组织探索新型经营模式，全面激发农村资源要素活力。截至目前，全县91个村集体经济到账514.36万元，预计全年总收入1020.29万元，其中，收入在50万以上的村2个；10万元到50万元的村29个；5万元到10万元的村56个，5万元以下村4个。</w:t>
      </w:r>
    </w:p>
    <w:p w14:paraId="324F6BE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2.深化农村集体产权制度改革。</w:t>
      </w:r>
      <w:r>
        <w:rPr>
          <w:rFonts w:hint="eastAsia" w:ascii="Times New Roman" w:hAnsi="Times New Roman" w:eastAsia="仿宋_GB2312" w:cs="仿宋_GB2312"/>
          <w:b w:val="0"/>
          <w:bCs w:val="0"/>
          <w:color w:val="auto"/>
          <w:kern w:val="0"/>
          <w:sz w:val="32"/>
          <w:szCs w:val="32"/>
          <w:lang w:val="en-US" w:eastAsia="zh-CN" w:bidi="ar"/>
        </w:rPr>
        <w:t>一是印发</w:t>
      </w:r>
      <w:r>
        <w:rPr>
          <w:rFonts w:hint="eastAsia" w:ascii="Times New Roman" w:hAnsi="Times New Roman" w:eastAsia="仿宋_GB2312" w:cs="仿宋_GB2312"/>
          <w:sz w:val="32"/>
          <w:szCs w:val="32"/>
          <w:lang w:val="en-US" w:eastAsia="zh-CN"/>
        </w:rPr>
        <w:t>《峨边彝族自治县农村集体“三资”监管突出问题集中专项整治行动方案》，</w:t>
      </w:r>
      <w:r>
        <w:rPr>
          <w:rFonts w:hint="eastAsia" w:ascii="Times New Roman" w:hAnsi="Times New Roman" w:eastAsia="仿宋_GB2312" w:cs="仿宋_GB2312"/>
          <w:b w:val="0"/>
          <w:bCs w:val="0"/>
          <w:color w:val="auto"/>
          <w:kern w:val="0"/>
          <w:sz w:val="32"/>
          <w:szCs w:val="32"/>
          <w:lang w:val="en-US" w:eastAsia="zh-CN" w:bidi="ar"/>
        </w:rPr>
        <w:t>持续对农村集体“三资”进行清理，分村建立农村集体“三资”台账，</w:t>
      </w:r>
      <w:r>
        <w:rPr>
          <w:rFonts w:hint="eastAsia" w:ascii="Times New Roman" w:hAnsi="Times New Roman" w:eastAsia="仿宋_GB2312" w:cs="仿宋_GB2312"/>
          <w:sz w:val="32"/>
          <w:szCs w:val="32"/>
          <w:lang w:val="en-US" w:eastAsia="zh-CN"/>
        </w:rPr>
        <w:t>开展农村集体三资监管突出问题整改回头看。二是加强农村集体资产管理。将农村集体资产管理与农村产权交易打通，串联起会计核算、资产管理、产权交易、资金结算四个环节，有力堵住管理漏洞、有效激活资源要素。</w:t>
      </w:r>
    </w:p>
    <w:p w14:paraId="16F9BC5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加强宅基地和农房建设管理。一是为进一步规范我县农村宅基地审批管理，制定《峨边彝族自治县人民政府关于划定全县农村村民宅基地所属地域类型及确定民族自治地方宅基地面积标准的通告》。二是全面遏制乱占耕地建房行为，切实做好耕地保护工作，截至目前，全县共办理农村居民宅基地转用地手续申请40宗，其中27宗已经收到批复。</w:t>
      </w:r>
    </w:p>
    <w:p w14:paraId="38C6F0B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加快基层农技推广体系建设。遴选12个农业主导品种和20项农业主推技术，并予以推介发布。依托基层农技推广体系、各类生产经营主体、农业社会化服务组织等，发挥试验示范基地、科技示范主体等的示范展示和引领带动作用，组织专家、农技人员开展主推技术示范推广和指导培训，引导广大农业生产经营者科学应用先进适用技术。对全县1/3以上在编在岗基层农技人员进行知识更新培训，组织70名基层农技人员参加5天以上脱产业务培训，培育4名以上业务精通、服务优良的农技推广骨干人才。 培育高素质农民112名。</w:t>
      </w:r>
    </w:p>
    <w:p w14:paraId="0994583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（四）持续推进乡村全面振兴</w:t>
      </w:r>
    </w:p>
    <w:p w14:paraId="0D47016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tl w:val="0"/>
          <w:lang w:val="en-US" w:eastAsia="zh-CN"/>
        </w:rPr>
      </w:pPr>
      <w:r>
        <w:rPr>
          <w:rFonts w:hint="eastAsia" w:ascii="Times New Roman" w:hAnsi="Times New Roman" w:eastAsia="仿宋_GB2312" w:cs="仿宋_GB2312"/>
          <w:sz w:val="32"/>
          <w:szCs w:val="32"/>
          <w:lang w:val="en-US" w:eastAsia="zh-CN"/>
        </w:rPr>
        <w:t>1.推进农村人居环境整治。</w:t>
      </w:r>
      <w:r>
        <w:rPr>
          <w:rFonts w:hint="eastAsia" w:ascii="Times New Roman" w:hAnsi="Times New Roman" w:eastAsia="仿宋_GB2312" w:cs="仿宋_GB2312"/>
          <w:sz w:val="32"/>
          <w:szCs w:val="32"/>
          <w:rtl w:val="0"/>
          <w:lang w:val="en-US" w:eastAsia="zh-CN"/>
        </w:rPr>
        <w:t>印发《常态化推进农村“五清”行动、建制场镇建设管理服务能力提升及爱国卫生运动考核评估工作方案》，建立清单化管理机制、差异化奖补政策。加强农业面源污染治理，印发《峨边彝族自治县畜禽养殖污染专项整治工作方案》《关于开展农业农村系统生态环境突出问题排查整治工作的通知》，组织召开养殖污染防治培训会10次，发放宣传资料8000余份。</w:t>
      </w:r>
    </w:p>
    <w:p w14:paraId="17691C0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tl w:val="0"/>
          <w:lang w:val="en-US" w:eastAsia="zh-CN"/>
        </w:rPr>
      </w:pPr>
      <w:r>
        <w:rPr>
          <w:rFonts w:hint="eastAsia" w:ascii="Times New Roman" w:hAnsi="Times New Roman" w:eastAsia="仿宋_GB2312" w:cs="仿宋_GB2312"/>
          <w:sz w:val="32"/>
          <w:szCs w:val="32"/>
          <w:lang w:val="en-US" w:eastAsia="zh-CN"/>
        </w:rPr>
        <w:t>2.全面推进农村“三大革命”。扎实推进农村厕所革命，完成农村户厕市下目标任务310户。</w:t>
      </w:r>
      <w:r>
        <w:rPr>
          <w:rFonts w:hint="eastAsia" w:ascii="Times New Roman" w:hAnsi="Times New Roman" w:eastAsia="仿宋_GB2312" w:cs="仿宋_GB2312"/>
          <w:sz w:val="32"/>
          <w:szCs w:val="32"/>
          <w:rtl w:val="0"/>
          <w:lang w:val="en-US" w:eastAsia="zh-CN"/>
        </w:rPr>
        <w:t>强化污水运维监管，对城镇生活污水管网进行排查，落实每月考核20座乡镇污水处理站，封堵、截断乱接管网11处。实施完成红旗镇和黑竹沟镇场镇雨污分流项目。修复五渡镇污水管网350余米。新建140个生活垃圾分类亭，向乡镇提供175个分类桶，强化农村生活垃圾中转站管理，农村生活垃圾转运率100%。2024年清运约19280吨生活垃圾至乐山无害化处理，农村生活垃圾无害化处理率100%。</w:t>
      </w:r>
    </w:p>
    <w:p w14:paraId="508F6E4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tl w:val="0"/>
          <w:lang w:val="en-US" w:eastAsia="zh-CN"/>
        </w:rPr>
        <w:t>3.</w:t>
      </w:r>
      <w:r>
        <w:rPr>
          <w:rFonts w:hint="eastAsia" w:ascii="Times New Roman" w:hAnsi="Times New Roman" w:eastAsia="仿宋_GB2312" w:cs="仿宋_GB2312"/>
          <w:sz w:val="32"/>
          <w:szCs w:val="32"/>
          <w:lang w:val="en-US" w:eastAsia="zh-CN"/>
        </w:rPr>
        <w:t>大力开展“十年禁捕”。对县境内大渡河、官料河、白沙河等重要河流开展执法检查、巡查77次。</w:t>
      </w:r>
      <w:r>
        <w:rPr>
          <w:rFonts w:hint="eastAsia" w:ascii="仿宋_GB2312" w:hAnsi="仿宋_GB2312" w:eastAsia="仿宋_GB2312" w:cs="仿宋_GB2312"/>
          <w:sz w:val="32"/>
          <w:szCs w:val="32"/>
        </w:rPr>
        <w:t>出动“十年禁渔”执法巡查（检查）车辆75台次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水上快艇2艘次，执法巡查（检查）人员385人次，</w:t>
      </w:r>
      <w:r>
        <w:rPr>
          <w:rFonts w:hint="eastAsia" w:ascii="仿宋_GB2312" w:hAnsi="仿宋_GB2312" w:eastAsia="仿宋_GB2312" w:cs="仿宋_GB2312"/>
          <w:sz w:val="32"/>
          <w:szCs w:val="32"/>
          <w:lang w:eastAsia="zh-CN"/>
        </w:rPr>
        <w:t>开展联合检查</w:t>
      </w:r>
      <w:r>
        <w:rPr>
          <w:rFonts w:hint="eastAsia" w:ascii="仿宋_GB2312" w:hAnsi="仿宋_GB2312" w:eastAsia="仿宋_GB2312" w:cs="仿宋_GB2312"/>
          <w:sz w:val="32"/>
          <w:szCs w:val="32"/>
        </w:rPr>
        <w:t>4次，收缴大渡河流域地笼网具并销毁30余副。查办移送县检察机关起诉电鱼公益案件1件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售卖禁用渔具案件1件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办理一般涉渔行政处罚简易程序案件9件，罚款1080元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3件移交县公</w:t>
      </w:r>
      <w:r>
        <w:rPr>
          <w:rFonts w:hint="eastAsia" w:ascii="仿宋_GB2312" w:hAnsi="仿宋_GB2312" w:eastAsia="仿宋_GB2312" w:cs="仿宋_GB2312"/>
          <w:sz w:val="32"/>
          <w:szCs w:val="32"/>
          <w:lang w:eastAsia="zh-CN"/>
        </w:rPr>
        <w:t>安局</w:t>
      </w:r>
      <w:r>
        <w:rPr>
          <w:rFonts w:hint="eastAsia" w:ascii="仿宋_GB2312" w:hAnsi="仿宋_GB2312" w:eastAsia="仿宋_GB2312" w:cs="仿宋_GB2312"/>
          <w:sz w:val="32"/>
          <w:szCs w:val="32"/>
        </w:rPr>
        <w:t>处理。</w:t>
      </w:r>
    </w:p>
    <w:p w14:paraId="55AEDDB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加强农业安全监管。印发《全县农业行业安全生产集中专项整治工作方案》《常态化开展全县畜牧行业安全生产和使用隐患排查整治及指导的通知》，全县共摸排农村沼气设施1142户，其中沼气工程6户，户用沼气1136户，正常使用596户。出动1500余人次，开展各类宣传培训活动80余场次，培训3500余人，发放《畜禽粪污贮存池、沼气设施安全使用常识》《乐山市农村户用沼气（沼改厕）安全使用须知》《化粪池安全生产规范》等资料，明白卡2万余份。全覆盖开展沼气池、化粪池的安全排查和指导，组织召开沼气池化粪池等有限空间作业应急演练培训会，切实做好安全生产工作。</w:t>
      </w:r>
    </w:p>
    <w:p w14:paraId="1295DC1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（五）巩固拓展脱贫攻坚成果</w:t>
      </w:r>
    </w:p>
    <w:p w14:paraId="12E7AB7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抓</w:t>
      </w:r>
      <w:r>
        <w:rPr>
          <w:rFonts w:hint="eastAsia" w:ascii="Times New Roman" w:hAnsi="Times New Roman" w:eastAsia="仿宋_GB2312" w:cs="仿宋_GB2312"/>
          <w:sz w:val="32"/>
          <w:szCs w:val="32"/>
          <w:lang w:eastAsia="zh-CN"/>
        </w:rPr>
        <w:t>实</w:t>
      </w:r>
      <w:r>
        <w:rPr>
          <w:rFonts w:hint="eastAsia" w:ascii="Times New Roman" w:hAnsi="Times New Roman" w:eastAsia="仿宋_GB2312" w:cs="仿宋_GB2312"/>
          <w:sz w:val="32"/>
          <w:szCs w:val="32"/>
        </w:rPr>
        <w:t>防止返贫监测帮扶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是印发《关于进一步加强防止返贫常态化监测帮扶工作的通知》，优化县乡村三级网格体系，落实网格管理员885名。二是以14大类政策措施为重点，民政、残联、教育等22个部门完善更新全县到户到人政策措施114条。三是开展常态化监测识别6次，累计推送、核实致贫返贫风险线索1949条；开展监测帮扶专项整治行动1次，筛查推送监测对象等六类人员共4094条；印发《峨边彝族自治县大小凉山彝区夯基强本行动实施方案》，开展夯基强本行动，推送排查十三类重点人群风险线索信息1153条。四是创新“双联户”工作机制，全县1205名村组干部和驻村干部作为A岗、1847名联户干部作为B岗，对36238户农户开展“双包双联”。全覆盖排查36238户140930人，2024年新增监测户119户446人，消除风险118户438人。</w:t>
      </w:r>
    </w:p>
    <w:p w14:paraId="72DC63B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巩固提升“三保障”和饮水安全成效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是持续抓好“七长”责任制落实，严防辍学新增和反弹，推进控辍保学工作走深走实，对85名适龄残疾学生制定“一生一策”方案，开展送教上门，实现15813名义务教育阶段学生无一辍学。兑现各类教育资助政策32143人1971.75万元。二是落实分类资助参保政策，投入专项资金495.79万元资助参保30098人，实现农村低收入人口和脱贫人口参保动态全覆盖；开展医疗救助帮扶7726人次，救助金额510.83万元。落实“先诊疗后付费”，县域内3685人次享受先诊疗后付费。三是建立完善农村低收入群体安全住房保障和排查整治工作机制，开展5轮全覆盖排查自建房34585栋，实施危房改造33户。四是持续开展安全饮水动态监测，完成91个村水质检测工作，常态化开展供水设施管护，落实衔接资金345.37万元实施水利项目9个。</w:t>
      </w:r>
    </w:p>
    <w:p w14:paraId="4CFD2FD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推动脱贫群众稳定增收。一是落实3925.84万元奖补资金，鼓励脱贫人口、监测对象因地制宜、分类发展“小种植、小养殖、小买卖、小务工、小五匠”。二是开展专业技能培训36期、就业（创业）技能培训411人次。落实公益性岗位2191个，组织31场招聘会提供就业岗位10万余个，发送招聘会、务工奖补等信息5.2万余条，输出农村劳动力4.85万人，其中脱贫人口11245人，兑现东西协作及跨区域交通补助6127人353.71万元。三是新增农村低保123户361人，特困对象27人，从监测对象中纳入低保1149人，特困救助供养13人，实施临时救助193人。发放低保金2310.12万元，农村特困补助285.55万元，临时救助金22.78万元，残疾人“两项”补贴368.333万元。四是发放小额信贷112笔462万元。2024年脱贫人口预计人均纯收入18000元，增速12%。</w:t>
      </w:r>
    </w:p>
    <w:p w14:paraId="4B4203AE">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4.持续</w:t>
      </w:r>
      <w:r>
        <w:rPr>
          <w:rFonts w:hint="eastAsia" w:ascii="Times New Roman" w:hAnsi="Times New Roman" w:eastAsia="仿宋_GB2312" w:cs="仿宋_GB2312"/>
          <w:sz w:val="32"/>
          <w:szCs w:val="32"/>
        </w:rPr>
        <w:t>深化协作帮扶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是落实3900万元，实施东西部协作项目11个。共建柯桥飞地产业园、茗新村产业园区和宜坪粮经复合产业园，引导8家企业落地投资7.99亿元。以柯桥“峨边之窗”为阵地，销售峨边农副产品4881.892万元。举办东西协作“春风行动”、送岗下乡等各类大小型招聘会10场，帮助2462人到浙江务工。组织各类干部到柯桥学习交流14期4602人次。二是实施省直定点帮扶建设项目15个，选派师生到峨边开展教育教学工作135人次，发放贷款超亿元，帮助销售农特产品682万余元。三是落实省内对口援彝帮扶资金750万元，实施帮扶项目18个。推进市中区36家单位开展结对活动，累计捐资捐物15万余元。</w:t>
      </w:r>
    </w:p>
    <w:p w14:paraId="51460193">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Chars="0" w:firstLine="640" w:firstLineChars="200"/>
        <w:jc w:val="both"/>
        <w:textAlignment w:val="auto"/>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b w:val="0"/>
          <w:bCs w:val="0"/>
          <w:color w:val="auto"/>
          <w:kern w:val="21"/>
          <w:sz w:val="32"/>
          <w:szCs w:val="32"/>
          <w:lang w:val="en-US" w:eastAsia="zh-CN"/>
        </w:rPr>
        <w:t xml:space="preserve"> （四）</w:t>
      </w:r>
      <w:r>
        <w:rPr>
          <w:rFonts w:hint="eastAsia" w:ascii="楷体_GB2312" w:hAnsi="宋体" w:eastAsia="楷体_GB2312" w:cs="宋体"/>
          <w:color w:val="000000"/>
          <w:kern w:val="0"/>
          <w:szCs w:val="32"/>
          <w:shd w:val="clear" w:color="auto" w:fill="FFFFFF"/>
          <w:lang w:val="zh-CN"/>
        </w:rPr>
        <w:t>部门整体支出绩效目标。</w:t>
      </w:r>
    </w:p>
    <w:p w14:paraId="72BF38CB">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Chars="0" w:firstLine="640" w:firstLineChars="200"/>
        <w:jc w:val="both"/>
        <w:textAlignment w:val="auto"/>
        <w:rPr>
          <w:rFonts w:hint="default" w:ascii="仿宋_GB2312" w:hAnsi="仿宋_GB2312" w:eastAsia="仿宋_GB2312" w:cs="仿宋_GB2312"/>
          <w:b w:val="0"/>
          <w:bCs w:val="0"/>
          <w:color w:val="auto"/>
          <w:kern w:val="21"/>
          <w:sz w:val="32"/>
          <w:szCs w:val="32"/>
          <w:lang w:val="en-US" w:eastAsia="zh-CN"/>
        </w:rPr>
      </w:pPr>
      <w:r>
        <w:rPr>
          <w:rFonts w:hint="eastAsia" w:ascii="仿宋_GB2312" w:hAnsi="仿宋_GB2312" w:eastAsia="仿宋_GB2312" w:cs="仿宋_GB2312"/>
          <w:b w:val="0"/>
          <w:bCs w:val="0"/>
          <w:color w:val="auto"/>
          <w:kern w:val="21"/>
          <w:sz w:val="32"/>
          <w:szCs w:val="32"/>
          <w:lang w:val="en-US" w:eastAsia="zh-CN"/>
        </w:rPr>
        <w:t>2024年度主要目标任务一是完成农业农村管理，做好衔接推进乡村振兴工作、农产品质量安全监管、农业执法、农村集体经济组织管理、开展第三次土壤普查等支出；二是做好“扶贫”两会工作。年度总体目标为大力实施乡村振兴工作，稳定生猪生产保障市场供应，完成重大动物疫病防控及农产品质检测等，依托现代农业特色高效发展，建好现代农业产业园区，增加农民收入。</w:t>
      </w:r>
    </w:p>
    <w:p w14:paraId="5B06AC16">
      <w:pPr>
        <w:keepNext w:val="0"/>
        <w:keepLines w:val="0"/>
        <w:pageBreakBefore w:val="0"/>
        <w:widowControl/>
        <w:numPr>
          <w:ilvl w:val="0"/>
          <w:numId w:val="2"/>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Chars="0" w:firstLine="640" w:firstLineChars="200"/>
        <w:jc w:val="both"/>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部门财政资金收支情况</w:t>
      </w:r>
    </w:p>
    <w:p w14:paraId="70E3CC08">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320" w:leftChars="0" w:hanging="320" w:hangingChars="100"/>
        <w:jc w:val="left"/>
        <w:textAlignment w:val="auto"/>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 w:val="32"/>
          <w:szCs w:val="32"/>
          <w:shd w:val="clear" w:fill="FFFFFF"/>
          <w:lang w:val="en-US" w:eastAsia="zh-CN" w:bidi="ar-SA"/>
        </w:rPr>
        <w:t>（一）</w:t>
      </w:r>
      <w:r>
        <w:rPr>
          <w:rFonts w:hint="eastAsia" w:ascii="楷体_GB2312" w:hAnsi="宋体" w:eastAsia="楷体_GB2312" w:cs="宋体"/>
          <w:color w:val="000000"/>
          <w:kern w:val="0"/>
          <w:szCs w:val="32"/>
          <w:shd w:val="clear" w:color="auto" w:fill="FFFFFF"/>
          <w:lang w:val="zh-CN"/>
        </w:rPr>
        <w:t>部门财政资金收入情况。</w:t>
      </w:r>
      <w:r>
        <w:rPr>
          <w:rFonts w:hint="eastAsia" w:ascii="楷体_GB2312" w:hAnsi="宋体" w:eastAsia="楷体_GB2312" w:cs="宋体"/>
          <w:color w:val="000000"/>
          <w:kern w:val="0"/>
          <w:szCs w:val="32"/>
          <w:shd w:val="clear" w:color="auto" w:fill="FFFFFF"/>
          <w:lang w:val="en-US" w:eastAsia="zh-CN"/>
        </w:rPr>
        <w:t xml:space="preserve">                             </w:t>
      </w:r>
    </w:p>
    <w:p w14:paraId="7E959038">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00" w:firstLineChars="200"/>
        <w:jc w:val="left"/>
        <w:textAlignment w:val="auto"/>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r>
        <w:rPr>
          <w:rFonts w:hint="eastAsia" w:ascii="仿宋" w:hAnsi="仿宋" w:eastAsia="仿宋" w:cs="仿宋"/>
          <w:color w:val="000000"/>
          <w:kern w:val="0"/>
          <w:sz w:val="30"/>
          <w:szCs w:val="30"/>
          <w:shd w:val="clear" w:color="auto" w:fill="FFFFFF"/>
          <w:lang w:val="en-US" w:eastAsia="zh-CN"/>
        </w:rPr>
        <w:t>峨边彝族自治县农业农村局2024年财政拨款预算收入</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23220.55万元，其中一般公共预算资金18885.37万元，基金收入为4335.18万元。</w:t>
      </w:r>
    </w:p>
    <w:p w14:paraId="2386097A">
      <w:pPr>
        <w:keepNext w:val="0"/>
        <w:keepLines w:val="0"/>
        <w:pageBreakBefore w:val="0"/>
        <w:widowControl/>
        <w:numPr>
          <w:ilvl w:val="0"/>
          <w:numId w:val="3"/>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320" w:firstLineChars="10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14301ED8">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00" w:firstLineChars="200"/>
        <w:jc w:val="left"/>
        <w:textAlignment w:val="auto"/>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2024年我局本年财政拨款23220.55万元。</w:t>
      </w:r>
      <w:r>
        <w:rPr>
          <w:rFonts w:hint="eastAsia" w:ascii="仿宋" w:hAnsi="仿宋" w:eastAsia="仿宋" w:cs="仿宋"/>
          <w:color w:val="000000"/>
          <w:kern w:val="0"/>
          <w:sz w:val="30"/>
          <w:szCs w:val="30"/>
          <w:shd w:val="clear" w:color="auto" w:fill="FFFFFF"/>
          <w:lang w:val="zh-CN"/>
        </w:rPr>
        <w:t>基本支出</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3125.67万元，项目支出20094.88万元</w:t>
      </w:r>
      <w:r>
        <w:rPr>
          <w:rFonts w:hint="eastAsia" w:ascii="仿宋" w:hAnsi="仿宋" w:eastAsia="仿宋" w:cs="仿宋"/>
          <w:color w:val="000000"/>
          <w:kern w:val="0"/>
          <w:sz w:val="30"/>
          <w:szCs w:val="30"/>
          <w:shd w:val="clear" w:color="auto" w:fill="FFFFFF"/>
          <w:lang w:val="en-US" w:eastAsia="zh-CN"/>
        </w:rPr>
        <w:t>。其中项目</w:t>
      </w:r>
      <w:r>
        <w:rPr>
          <w:rFonts w:hint="eastAsia" w:ascii="仿宋" w:hAnsi="仿宋" w:eastAsia="仿宋" w:cs="仿宋"/>
          <w:color w:val="C00000"/>
          <w:kern w:val="0"/>
          <w:sz w:val="30"/>
          <w:szCs w:val="30"/>
          <w:shd w:val="clear" w:color="auto" w:fill="FFFFFF"/>
          <w:lang w:val="en-US" w:eastAsia="zh-CN"/>
        </w:rPr>
        <w:t>11</w:t>
      </w:r>
      <w:r>
        <w:rPr>
          <w:rFonts w:hint="eastAsia" w:ascii="仿宋" w:hAnsi="仿宋" w:eastAsia="仿宋" w:cs="仿宋"/>
          <w:color w:val="000000"/>
          <w:kern w:val="0"/>
          <w:sz w:val="30"/>
          <w:szCs w:val="30"/>
          <w:shd w:val="clear" w:color="auto" w:fill="FFFFFF"/>
          <w:lang w:val="en-US" w:eastAsia="zh-CN"/>
        </w:rPr>
        <w:t>个，具体支出为：</w:t>
      </w:r>
      <w:r>
        <w:rPr>
          <w:rFonts w:hint="eastAsia" w:ascii="仿宋" w:hAnsi="仿宋" w:eastAsia="仿宋" w:cs="仿宋"/>
          <w:color w:val="auto"/>
          <w:kern w:val="0"/>
          <w:sz w:val="30"/>
          <w:szCs w:val="30"/>
          <w:shd w:val="clear" w:color="auto" w:fill="FFFFFF"/>
          <w:lang w:val="en-US" w:eastAsia="zh-CN"/>
        </w:rPr>
        <w:t>一是2024年农业农村管理经费100万元;二是2024年“扶贫”两会30万元；三是城乡社区支出2335.18万元，四是稳定农民收入补贴1090.05万元；五是农业生产发展40.92万元；六是耕地建设与利用53.7万元；七是其他农业农村支出3718.95万元；八是巩固脱贫攻坚成果衔接乡村振兴10685.42万元；九是其他目标价格补40.64万元；十一是其他支出2000万元。</w:t>
      </w:r>
    </w:p>
    <w:p w14:paraId="4A7216C1">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w:t>
      </w:r>
      <w:r>
        <w:rPr>
          <w:rFonts w:hint="eastAsia" w:ascii="楷体_GB2312" w:hAnsi="宋体" w:eastAsia="楷体_GB2312" w:cs="宋体"/>
          <w:color w:val="000000"/>
          <w:kern w:val="0"/>
          <w:sz w:val="32"/>
          <w:szCs w:val="32"/>
          <w:shd w:val="clear" w:fill="FFFFFF"/>
          <w:lang w:val="en-US" w:eastAsia="zh-CN" w:bidi="ar-SA"/>
        </w:rPr>
        <w:t>三</w:t>
      </w:r>
      <w:r>
        <w:rPr>
          <w:rFonts w:hint="eastAsia" w:ascii="楷体_GB2312" w:hAnsi="宋体" w:eastAsia="楷体_GB2312" w:cs="宋体"/>
          <w:color w:val="000000"/>
          <w:kern w:val="0"/>
          <w:sz w:val="32"/>
          <w:szCs w:val="32"/>
          <w:shd w:val="clear" w:fill="FFFFFF"/>
          <w:lang w:val="zh-CN" w:eastAsia="zh-CN" w:bidi="ar-SA"/>
        </w:rPr>
        <w:t>）</w:t>
      </w:r>
      <w:r>
        <w:rPr>
          <w:rFonts w:hint="eastAsia" w:ascii="楷体_GB2312" w:hAnsi="宋体" w:eastAsia="楷体_GB2312" w:cs="宋体"/>
          <w:color w:val="000000"/>
          <w:kern w:val="0"/>
          <w:szCs w:val="32"/>
          <w:shd w:val="clear" w:color="auto" w:fill="FFFFFF"/>
          <w:lang w:val="zh-CN"/>
        </w:rPr>
        <w:t>部门财政资金结转结余情况。</w:t>
      </w:r>
    </w:p>
    <w:p w14:paraId="56752DCB">
      <w:pPr>
        <w:keepNext w:val="0"/>
        <w:keepLines w:val="0"/>
        <w:pageBreakBefore w:val="0"/>
        <w:widowControl/>
        <w:numPr>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hint="eastAsia" w:ascii="仿宋" w:hAnsi="仿宋" w:eastAsia="仿宋" w:cs="仿宋"/>
          <w:color w:val="000000"/>
          <w:kern w:val="0"/>
          <w:szCs w:val="32"/>
          <w:shd w:val="clear" w:color="auto" w:fill="FFFFFF"/>
          <w:lang w:val="en-US" w:eastAsia="zh-CN"/>
        </w:rPr>
      </w:pPr>
      <w:bookmarkStart w:id="0" w:name="_GoBack"/>
      <w:bookmarkEnd w:id="0"/>
      <w:r>
        <w:rPr>
          <w:rFonts w:hint="eastAsia" w:ascii="仿宋" w:hAnsi="仿宋" w:eastAsia="仿宋" w:cs="仿宋"/>
          <w:color w:val="000000"/>
          <w:kern w:val="0"/>
          <w:szCs w:val="32"/>
          <w:shd w:val="clear" w:color="auto" w:fill="FFFFFF"/>
          <w:lang w:val="en-US" w:eastAsia="zh-CN"/>
        </w:rPr>
        <w:t>2024年财政资金结转结余为0。</w:t>
      </w:r>
    </w:p>
    <w:p w14:paraId="7E1A9F7F">
      <w:pPr>
        <w:keepNext w:val="0"/>
        <w:keepLines w:val="0"/>
        <w:pageBreakBefore w:val="0"/>
        <w:widowControl/>
        <w:numPr>
          <w:ilvl w:val="0"/>
          <w:numId w:val="2"/>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kern w:val="0"/>
          <w:sz w:val="30"/>
          <w:szCs w:val="30"/>
          <w:shd w:val="clear" w:color="auto" w:fill="FFFFFF"/>
          <w:lang w:val="zh-CN"/>
        </w:rPr>
      </w:pPr>
      <w:r>
        <w:rPr>
          <w:rFonts w:hint="eastAsia" w:ascii="黑体" w:hAnsi="黑体" w:eastAsia="黑体" w:cs="宋体"/>
          <w:color w:val="000000"/>
          <w:kern w:val="0"/>
          <w:szCs w:val="32"/>
          <w:shd w:val="clear" w:color="auto" w:fill="FFFFFF"/>
        </w:rPr>
        <w:t>部门整体绩效管理情况（根据自评体系进行描述）</w:t>
      </w:r>
    </w:p>
    <w:p w14:paraId="6F4B583E">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hint="eastAsia" w:ascii="仿宋" w:hAnsi="仿宋" w:eastAsia="仿宋" w:cs="仿宋"/>
          <w:color w:val="000000"/>
          <w:kern w:val="0"/>
          <w:sz w:val="30"/>
          <w:szCs w:val="30"/>
          <w:shd w:val="clear" w:color="auto" w:fill="FFFFFF"/>
          <w:lang w:val="en-US" w:eastAsia="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一</w:t>
      </w:r>
      <w:r>
        <w:rPr>
          <w:rFonts w:hint="eastAsia" w:ascii="楷体_GB2312" w:hAnsi="宋体" w:eastAsia="楷体_GB2312" w:cs="宋体"/>
          <w:color w:val="000000"/>
          <w:kern w:val="0"/>
          <w:szCs w:val="32"/>
          <w:shd w:val="clear" w:color="auto" w:fill="FFFFFF"/>
          <w:lang w:val="zh-CN"/>
        </w:rPr>
        <w:t>）部门整体履职绩效分析。</w:t>
      </w:r>
    </w:p>
    <w:p w14:paraId="622AB057">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00" w:firstLineChars="200"/>
        <w:jc w:val="both"/>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项目决策程序规范，项目绩效目标制定符合科学合理、规范完整、量化细化、预算匹配的要求，项目实际列支内容与项目绩效目标设置方向相符，申请项目预算调整是否程序规范，依据充分。</w:t>
      </w:r>
      <w:r>
        <w:rPr>
          <w:rFonts w:hint="eastAsia" w:ascii="仿宋_GB2312" w:hAnsi="仿宋_GB2312" w:eastAsia="仿宋_GB2312" w:cs="仿宋_GB2312"/>
          <w:b w:val="0"/>
          <w:bCs w:val="0"/>
          <w:color w:val="auto"/>
          <w:kern w:val="21"/>
          <w:sz w:val="32"/>
          <w:szCs w:val="32"/>
          <w:lang w:val="en-US" w:eastAsia="zh-CN"/>
        </w:rPr>
        <w:t>预算项目严格按照转移支付管理制度以及资金管理办法规定的范围和标准分配资金，严格按照国库集中支付制度有关规定拨付，严格按照下达预算的科目和本级预算安排的金额执行，没有出现截留、挤占、挪用或擅自调整等问题，在分解下达资金的同时，同步下达预算绩效目标，并开展绩效监控和绩效评价，足额安排资金履行本级支出责任</w:t>
      </w:r>
      <w:r>
        <w:rPr>
          <w:rFonts w:hint="eastAsia" w:ascii="仿宋" w:hAnsi="仿宋" w:eastAsia="仿宋" w:cs="仿宋"/>
          <w:color w:val="000000"/>
          <w:kern w:val="0"/>
          <w:sz w:val="30"/>
          <w:szCs w:val="30"/>
          <w:shd w:val="clear" w:color="auto" w:fill="FFFFFF"/>
          <w:lang w:val="en-US" w:eastAsia="zh-CN"/>
        </w:rPr>
        <w:t>。</w:t>
      </w:r>
    </w:p>
    <w:p w14:paraId="2135C6CE">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rPr>
        <w:t>）特定目标类项目绩效分析。</w:t>
      </w:r>
    </w:p>
    <w:p w14:paraId="778190E2">
      <w:pPr>
        <w:keepNext w:val="0"/>
        <w:keepLines w:val="0"/>
        <w:pageBreakBefore w:val="0"/>
        <w:widowControl/>
        <w:numPr>
          <w:ilvl w:val="0"/>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0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color w:val="000000"/>
          <w:kern w:val="0"/>
          <w:sz w:val="30"/>
          <w:szCs w:val="30"/>
          <w:shd w:val="clear" w:color="auto" w:fill="FFFFFF"/>
          <w:lang w:val="en-US" w:eastAsia="zh-CN"/>
        </w:rPr>
        <w:t>2024</w:t>
      </w:r>
      <w:r>
        <w:rPr>
          <w:rFonts w:hint="eastAsia" w:ascii="仿宋" w:hAnsi="仿宋" w:eastAsia="仿宋" w:cs="仿宋"/>
          <w:color w:val="000000"/>
          <w:kern w:val="0"/>
          <w:sz w:val="30"/>
          <w:szCs w:val="30"/>
          <w:shd w:val="clear" w:color="auto" w:fill="FFFFFF"/>
          <w:lang w:val="zh-CN"/>
        </w:rPr>
        <w:t>年部门</w:t>
      </w:r>
      <w:r>
        <w:rPr>
          <w:rFonts w:hint="eastAsia" w:ascii="仿宋" w:hAnsi="仿宋" w:eastAsia="仿宋" w:cs="仿宋"/>
          <w:color w:val="000000"/>
          <w:kern w:val="0"/>
          <w:sz w:val="30"/>
          <w:szCs w:val="30"/>
          <w:shd w:val="clear" w:color="auto" w:fill="FFFFFF"/>
          <w:lang w:val="en-US" w:eastAsia="zh-CN"/>
        </w:rPr>
        <w:t>整体绩效目标</w:t>
      </w:r>
      <w:r>
        <w:rPr>
          <w:rFonts w:hint="eastAsia" w:ascii="仿宋_GB2312" w:hAnsi="仿宋_GB2312" w:eastAsia="仿宋_GB2312" w:cs="仿宋_GB2312"/>
          <w:b w:val="0"/>
          <w:bCs w:val="0"/>
          <w:color w:val="auto"/>
          <w:kern w:val="21"/>
          <w:sz w:val="32"/>
          <w:szCs w:val="32"/>
          <w:lang w:val="en-US" w:eastAsia="zh-CN"/>
        </w:rPr>
        <w:t>总体目标为大力实施乡村振兴工作，稳定生猪生产保障市场供应，完成重大动物疫病防控及农产品质检测等，依托现代农业特色高效发展，建好现代农业产业园区，增加农民收入。部门预算项目支出绩效目标编制个数为2个，项目总额为130万元，完成部门预算项目支出绩效目标项目个数为2个完成支出130万元，支出率为100%，较好地完成了全年目标任务，</w:t>
      </w:r>
      <w:r>
        <w:rPr>
          <w:rFonts w:hint="eastAsia" w:ascii="仿宋" w:hAnsi="仿宋" w:eastAsia="仿宋" w:cs="仿宋"/>
          <w:b w:val="0"/>
          <w:bCs w:val="0"/>
          <w:color w:val="auto"/>
          <w:kern w:val="21"/>
          <w:sz w:val="32"/>
          <w:szCs w:val="32"/>
          <w:lang w:val="en-US" w:eastAsia="zh-CN"/>
        </w:rPr>
        <w:t>推进农业产业健康发展，</w:t>
      </w:r>
      <w:r>
        <w:rPr>
          <w:rFonts w:hint="eastAsia" w:ascii="仿宋" w:hAnsi="仿宋" w:eastAsia="仿宋" w:cs="仿宋"/>
          <w:b w:val="0"/>
          <w:bCs w:val="0"/>
          <w:color w:val="auto"/>
          <w:kern w:val="0"/>
          <w:sz w:val="32"/>
          <w:szCs w:val="32"/>
          <w:lang w:val="en-US" w:eastAsia="zh-CN"/>
        </w:rPr>
        <w:t>持续推进乡村全面振兴，增加了农民收入，农民群众满意度达93%以上，无违规违纪记录。</w:t>
      </w:r>
    </w:p>
    <w:p w14:paraId="22DAB57C">
      <w:pPr>
        <w:keepNext w:val="0"/>
        <w:keepLines w:val="0"/>
        <w:pageBreakBefore w:val="0"/>
        <w:widowControl/>
        <w:numPr>
          <w:ilvl w:val="0"/>
          <w:numId w:val="4"/>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320" w:leftChars="0" w:hanging="320" w:hangingChars="100"/>
        <w:jc w:val="both"/>
        <w:textAlignment w:val="auto"/>
        <w:rPr>
          <w:rFonts w:hint="eastAsia" w:ascii="仿宋" w:hAnsi="仿宋" w:eastAsia="仿宋" w:cs="仿宋"/>
          <w:lang w:val="zh-CN"/>
        </w:rPr>
      </w:pPr>
      <w:r>
        <w:rPr>
          <w:rFonts w:hint="eastAsia" w:ascii="楷体_GB2312" w:hAnsi="宋体" w:eastAsia="楷体_GB2312" w:cs="宋体"/>
          <w:color w:val="000000"/>
          <w:kern w:val="0"/>
          <w:szCs w:val="32"/>
          <w:shd w:val="clear" w:color="auto" w:fill="FFFFFF"/>
          <w:lang w:val="zh-CN"/>
        </w:rPr>
        <w:t>部门预算项目支出情况分析。</w:t>
      </w:r>
    </w:p>
    <w:p w14:paraId="126F383F">
      <w:pPr>
        <w:keepNext w:val="0"/>
        <w:keepLines w:val="0"/>
        <w:pageBreakBefore w:val="0"/>
        <w:widowControl/>
        <w:numPr>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hint="eastAsia" w:ascii="仿宋" w:hAnsi="仿宋" w:eastAsia="仿宋" w:cs="仿宋"/>
          <w:lang w:val="zh-CN"/>
        </w:rPr>
      </w:pPr>
      <w:r>
        <w:rPr>
          <w:rFonts w:hint="eastAsia" w:ascii="仿宋" w:hAnsi="仿宋" w:eastAsia="仿宋" w:cs="仿宋"/>
          <w:color w:val="000000"/>
          <w:kern w:val="0"/>
          <w:szCs w:val="32"/>
          <w:shd w:val="clear" w:color="auto" w:fill="FFFFFF"/>
          <w:lang w:val="en-US" w:eastAsia="zh-CN"/>
        </w:rPr>
        <w:t>2024年部门预算项目支出金额为</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20094.88万元。</w:t>
      </w:r>
      <w:r>
        <w:rPr>
          <w:rFonts w:hint="eastAsia" w:ascii="仿宋" w:hAnsi="仿宋" w:eastAsia="仿宋" w:cs="仿宋"/>
          <w:color w:val="auto"/>
          <w:kern w:val="0"/>
          <w:sz w:val="30"/>
          <w:szCs w:val="30"/>
          <w:shd w:val="clear" w:color="auto" w:fill="FFFFFF"/>
          <w:lang w:val="en-US" w:eastAsia="zh-CN"/>
        </w:rPr>
        <w:t>一是2024年农业农村管理经费100万元，项目自评为100分，通过实施该项目，</w:t>
      </w:r>
      <w:r>
        <w:rPr>
          <w:rFonts w:hint="eastAsia" w:ascii="仿宋" w:hAnsi="仿宋" w:eastAsia="仿宋" w:cs="仿宋"/>
          <w:b w:val="0"/>
          <w:bCs w:val="0"/>
          <w:color w:val="auto"/>
          <w:kern w:val="21"/>
          <w:sz w:val="32"/>
          <w:szCs w:val="32"/>
          <w:lang w:val="en-US" w:eastAsia="zh-CN"/>
        </w:rPr>
        <w:t>推进农业产业健康发展，</w:t>
      </w:r>
      <w:r>
        <w:rPr>
          <w:rFonts w:hint="eastAsia" w:ascii="仿宋" w:hAnsi="仿宋" w:eastAsia="仿宋" w:cs="仿宋"/>
          <w:b w:val="0"/>
          <w:bCs w:val="0"/>
          <w:color w:val="auto"/>
          <w:kern w:val="0"/>
          <w:sz w:val="32"/>
          <w:szCs w:val="32"/>
          <w:lang w:val="en-US" w:eastAsia="zh-CN"/>
        </w:rPr>
        <w:t>持续推进乡村全面振兴，增加了农民收入。</w:t>
      </w:r>
      <w:r>
        <w:rPr>
          <w:rFonts w:hint="eastAsia" w:ascii="仿宋" w:hAnsi="仿宋" w:eastAsia="仿宋" w:cs="仿宋"/>
          <w:color w:val="auto"/>
          <w:kern w:val="0"/>
          <w:sz w:val="30"/>
          <w:szCs w:val="30"/>
          <w:shd w:val="clear" w:color="auto" w:fill="FFFFFF"/>
          <w:lang w:val="en-US" w:eastAsia="zh-CN"/>
        </w:rPr>
        <w:t>二是2024年“扶贫”两会30万元，自评为100分，全面完成扶贫两会各项工作的开展。三是城乡社区支出及其他支出4335.18万元，自评得分98分，全面完成了政府化债任务，通过举办峨边彝族自治县“中国农民丰收节”主题活动，进一步调动了广大农民群众的积极性、主动性、创造性，展现了我县巩固脱贫攻坚丰硕成果和乡村振兴带来的巨大变化，促进产业发展，加快推进农业农村现代化步伐。四是稳定农民收入补贴1090.05万元，自评得分100分，通过项目实施，提高了种粮农民积极性，保障了粮食安全。五是农业生产发展发展40.92万元，自评得分100分，通过项目实施，提升粮油生产能力，突出粮油生产高质量发展，为确保谷物基本自给、口粮绝对安全、大豆油料自给率稳步提高提供有力支撑。六是耕地建设与利用53.7万元，项目自评总分100分，通过项目实施，通过开展综合防控试验和产地环境长期定位监测预警，筛选出适合我县的产地环境污染防控主推技术体系，持续监测土壤、大气沉降、灌溉水、底泥、农业投入品等产地环境影响因子动态变化，为全面开展产地环境污染防治提供技术支撑。七是其他农业农村支出3718.95万元，自评得分95分，</w:t>
      </w:r>
      <w:r>
        <w:rPr>
          <w:rFonts w:hint="eastAsia" w:ascii="仿宋" w:hAnsi="仿宋" w:eastAsia="仿宋" w:cs="仿宋"/>
          <w:b w:val="0"/>
          <w:bCs w:val="0"/>
          <w:color w:val="auto"/>
          <w:kern w:val="21"/>
          <w:sz w:val="32"/>
          <w:szCs w:val="32"/>
          <w:lang w:val="en-US" w:eastAsia="zh-CN"/>
        </w:rPr>
        <w:t>推进农业产业进一步健康发展；</w:t>
      </w:r>
      <w:r>
        <w:rPr>
          <w:rFonts w:hint="eastAsia" w:ascii="仿宋" w:hAnsi="仿宋" w:eastAsia="仿宋" w:cs="仿宋"/>
          <w:color w:val="auto"/>
          <w:kern w:val="0"/>
          <w:sz w:val="30"/>
          <w:szCs w:val="30"/>
          <w:shd w:val="clear" w:color="auto" w:fill="FFFFFF"/>
          <w:lang w:val="en-US" w:eastAsia="zh-CN"/>
        </w:rPr>
        <w:t>八是巩固脱贫攻坚成果衔接乡村振兴10685.42万元，自评得分95分，较好的完成了全县巩固脱贫攻坚成果衔接乡村振兴任务。九是其他目标价格补贴40.64万元，自评得分100分，通过实施稻谷补贴政策，强化我县稻谷生产的基础，保持稻谷生产基本稳定，保障稻谷种植收益基本稳定。引导种植结构调整、促进增加绿色优质稻谷种植，满足全县人民日益增长的高品质口粮需求。</w:t>
      </w:r>
    </w:p>
    <w:p w14:paraId="06E19D9D">
      <w:pPr>
        <w:keepNext w:val="0"/>
        <w:keepLines w:val="0"/>
        <w:pageBreakBefore w:val="0"/>
        <w:widowControl/>
        <w:numPr>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(四)</w:t>
      </w:r>
      <w:r>
        <w:rPr>
          <w:rFonts w:hint="eastAsia" w:ascii="楷体_GB2312" w:hAnsi="宋体" w:eastAsia="楷体_GB2312" w:cs="宋体"/>
          <w:color w:val="000000"/>
          <w:kern w:val="0"/>
          <w:szCs w:val="32"/>
          <w:shd w:val="clear" w:color="auto" w:fill="FFFFFF"/>
          <w:lang w:val="zh-CN"/>
        </w:rPr>
        <w:t>结果应用情况。</w:t>
      </w:r>
    </w:p>
    <w:p w14:paraId="699CCD36">
      <w:pPr>
        <w:keepNext w:val="0"/>
        <w:keepLines w:val="0"/>
        <w:pageBreakBefore w:val="0"/>
        <w:widowControl/>
        <w:numPr>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00" w:firstLineChars="200"/>
        <w:jc w:val="both"/>
        <w:textAlignment w:val="auto"/>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en-US" w:eastAsia="zh-CN"/>
        </w:rPr>
        <w:t>2024</w:t>
      </w:r>
      <w:r>
        <w:rPr>
          <w:rFonts w:hint="eastAsia" w:ascii="仿宋" w:hAnsi="仿宋" w:eastAsia="仿宋" w:cs="仿宋"/>
          <w:color w:val="000000"/>
          <w:kern w:val="0"/>
          <w:sz w:val="30"/>
          <w:szCs w:val="30"/>
          <w:shd w:val="clear" w:color="auto" w:fill="FFFFFF"/>
          <w:lang w:val="zh-CN"/>
        </w:rPr>
        <w:t>年我局部门财政资金收入为</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23220.55</w:t>
      </w:r>
      <w:r>
        <w:rPr>
          <w:rFonts w:hint="eastAsia" w:ascii="仿宋" w:hAnsi="仿宋" w:eastAsia="仿宋" w:cs="仿宋"/>
          <w:color w:val="000000"/>
          <w:kern w:val="0"/>
          <w:sz w:val="30"/>
          <w:szCs w:val="30"/>
          <w:shd w:val="clear" w:color="auto" w:fill="FFFFFF"/>
          <w:lang w:val="zh-CN"/>
        </w:rPr>
        <w:t>万元，支出为</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23220.55</w:t>
      </w:r>
      <w:r>
        <w:rPr>
          <w:rFonts w:hint="eastAsia" w:ascii="仿宋" w:hAnsi="仿宋" w:eastAsia="仿宋" w:cs="仿宋"/>
          <w:color w:val="000000"/>
          <w:kern w:val="0"/>
          <w:sz w:val="30"/>
          <w:szCs w:val="30"/>
          <w:shd w:val="clear" w:color="auto" w:fill="FFFFFF"/>
          <w:lang w:val="zh-CN"/>
        </w:rPr>
        <w:t>万元，预算执行情况为</w:t>
      </w:r>
      <w:r>
        <w:rPr>
          <w:rFonts w:hint="eastAsia" w:ascii="仿宋" w:hAnsi="仿宋" w:eastAsia="仿宋" w:cs="仿宋"/>
          <w:color w:val="000000"/>
          <w:kern w:val="0"/>
          <w:sz w:val="30"/>
          <w:szCs w:val="30"/>
          <w:shd w:val="clear" w:color="auto" w:fill="FFFFFF"/>
          <w:lang w:val="en-US" w:eastAsia="zh-CN"/>
        </w:rPr>
        <w:t>100%</w:t>
      </w:r>
      <w:r>
        <w:rPr>
          <w:rFonts w:hint="eastAsia" w:ascii="仿宋" w:hAnsi="仿宋" w:eastAsia="仿宋" w:cs="仿宋"/>
          <w:color w:val="000000"/>
          <w:kern w:val="0"/>
          <w:sz w:val="30"/>
          <w:szCs w:val="30"/>
          <w:shd w:val="clear" w:color="auto" w:fill="FFFFFF"/>
          <w:lang w:val="zh-CN"/>
        </w:rPr>
        <w:t>，较好地完成了县委政府下达的目标任务，部门支出自评质量高，绩效目标及时公开，社会反映良好。</w:t>
      </w:r>
    </w:p>
    <w:p w14:paraId="7B50EE83">
      <w:pPr>
        <w:keepNext w:val="0"/>
        <w:keepLines w:val="0"/>
        <w:pageBreakBefore w:val="0"/>
        <w:widowControl/>
        <w:numPr>
          <w:ilvl w:val="0"/>
          <w:numId w:val="2"/>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0" w:leftChars="0" w:firstLine="640" w:firstLineChars="200"/>
        <w:jc w:val="both"/>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评价结论及建议</w:t>
      </w:r>
    </w:p>
    <w:p w14:paraId="064FF306">
      <w:pPr>
        <w:keepNext w:val="0"/>
        <w:keepLines w:val="0"/>
        <w:pageBreakBefore w:val="0"/>
        <w:widowControl/>
        <w:numPr>
          <w:ilvl w:val="0"/>
          <w:numId w:val="5"/>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hint="eastAsia" w:ascii="仿宋" w:hAnsi="仿宋" w:eastAsia="仿宋" w:cs="仿宋"/>
          <w:color w:val="000000"/>
          <w:kern w:val="0"/>
          <w:sz w:val="30"/>
          <w:szCs w:val="30"/>
          <w:shd w:val="clear" w:color="auto" w:fill="FFFFFF"/>
          <w:lang w:val="zh-CN"/>
        </w:rPr>
      </w:pPr>
      <w:r>
        <w:rPr>
          <w:rFonts w:hint="eastAsia" w:ascii="楷体_GB2312" w:hAnsi="宋体" w:eastAsia="楷体_GB2312" w:cs="宋体"/>
          <w:color w:val="000000"/>
          <w:kern w:val="0"/>
          <w:szCs w:val="32"/>
          <w:shd w:val="clear" w:color="auto" w:fill="FFFFFF"/>
          <w:lang w:val="zh-CN"/>
        </w:rPr>
        <w:t>评价结论。</w:t>
      </w:r>
      <w:r>
        <w:rPr>
          <w:rFonts w:hint="eastAsia" w:ascii="仿宋" w:hAnsi="仿宋" w:eastAsia="仿宋" w:cs="仿宋"/>
          <w:color w:val="000000"/>
          <w:kern w:val="0"/>
          <w:sz w:val="30"/>
          <w:szCs w:val="30"/>
          <w:shd w:val="clear" w:color="auto" w:fill="FFFFFF"/>
          <w:lang w:val="zh-CN"/>
        </w:rPr>
        <w:t>根据《峨边彝族自治县财政局关于开展20</w:t>
      </w:r>
      <w:r>
        <w:rPr>
          <w:rFonts w:hint="eastAsia" w:ascii="仿宋" w:hAnsi="仿宋" w:eastAsia="仿宋" w:cs="仿宋"/>
          <w:color w:val="000000"/>
          <w:kern w:val="0"/>
          <w:sz w:val="30"/>
          <w:szCs w:val="30"/>
          <w:shd w:val="clear" w:color="auto" w:fill="FFFFFF"/>
          <w:lang w:val="en-US" w:eastAsia="zh-CN"/>
        </w:rPr>
        <w:t>23</w:t>
      </w:r>
      <w:r>
        <w:rPr>
          <w:rFonts w:hint="eastAsia" w:ascii="仿宋" w:hAnsi="仿宋" w:eastAsia="仿宋" w:cs="仿宋"/>
          <w:color w:val="000000"/>
          <w:kern w:val="0"/>
          <w:sz w:val="30"/>
          <w:szCs w:val="30"/>
          <w:shd w:val="clear" w:color="auto" w:fill="FFFFFF"/>
          <w:lang w:val="zh-CN"/>
        </w:rPr>
        <w:t>年财政绩效评价工作的通知》文件精神，</w:t>
      </w:r>
      <w:r>
        <w:rPr>
          <w:rFonts w:hint="eastAsia" w:ascii="仿宋" w:hAnsi="仿宋" w:eastAsia="仿宋" w:cs="仿宋"/>
          <w:color w:val="000000"/>
          <w:kern w:val="0"/>
          <w:sz w:val="30"/>
          <w:szCs w:val="30"/>
          <w:shd w:val="clear" w:color="auto" w:fill="FFFFFF"/>
          <w:lang w:val="en-US" w:eastAsia="zh-CN"/>
        </w:rPr>
        <w:t>峨边彝族自治县农业农村局认真组织开展了部门整体支出绩效评价工作，绩效评价</w:t>
      </w:r>
      <w:r>
        <w:rPr>
          <w:rFonts w:hint="eastAsia" w:ascii="仿宋" w:hAnsi="仿宋" w:eastAsia="仿宋" w:cs="仿宋"/>
          <w:color w:val="000000"/>
          <w:kern w:val="0"/>
          <w:sz w:val="30"/>
          <w:szCs w:val="30"/>
          <w:shd w:val="clear" w:color="auto" w:fill="FFFFFF"/>
          <w:lang w:val="zh-CN"/>
        </w:rPr>
        <w:t>得分：</w:t>
      </w:r>
      <w:r>
        <w:rPr>
          <w:rFonts w:hint="eastAsia" w:ascii="仿宋" w:hAnsi="仿宋" w:eastAsia="仿宋" w:cs="仿宋"/>
          <w:color w:val="000000"/>
          <w:kern w:val="0"/>
          <w:sz w:val="30"/>
          <w:szCs w:val="30"/>
          <w:shd w:val="clear" w:color="auto" w:fill="FFFFFF"/>
          <w:lang w:val="en-US" w:eastAsia="zh-CN"/>
        </w:rPr>
        <w:t>95</w:t>
      </w:r>
      <w:r>
        <w:rPr>
          <w:rFonts w:hint="eastAsia" w:ascii="仿宋" w:hAnsi="仿宋" w:eastAsia="仿宋" w:cs="仿宋"/>
          <w:color w:val="000000"/>
          <w:kern w:val="0"/>
          <w:sz w:val="30"/>
          <w:szCs w:val="30"/>
          <w:shd w:val="clear" w:color="auto" w:fill="FFFFFF"/>
          <w:lang w:val="zh-CN"/>
        </w:rPr>
        <w:t>分</w:t>
      </w:r>
    </w:p>
    <w:p w14:paraId="012F0AE4">
      <w:pPr>
        <w:keepNext w:val="0"/>
        <w:keepLines w:val="0"/>
        <w:pageBreakBefore w:val="0"/>
        <w:widowControl/>
        <w:numPr>
          <w:ilvl w:val="0"/>
          <w:numId w:val="5"/>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0" w:leftChars="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02BA8620">
      <w:pPr>
        <w:keepNext w:val="0"/>
        <w:keepLines w:val="0"/>
        <w:pageBreakBefore w:val="0"/>
        <w:widowControl/>
        <w:numPr>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960" w:firstLineChars="300"/>
        <w:jc w:val="both"/>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en-US" w:eastAsia="zh-CN"/>
        </w:rPr>
        <w:t>项目在中期执行较慢，应加快执行力度</w:t>
      </w:r>
      <w:r>
        <w:rPr>
          <w:rFonts w:hint="eastAsia" w:ascii="仿宋" w:hAnsi="仿宋" w:eastAsia="仿宋" w:cs="仿宋"/>
          <w:color w:val="000000"/>
          <w:kern w:val="0"/>
          <w:szCs w:val="32"/>
          <w:shd w:val="clear" w:color="auto" w:fill="FFFFFF"/>
          <w:lang w:val="zh-CN"/>
        </w:rPr>
        <w:t>。</w:t>
      </w:r>
    </w:p>
    <w:p w14:paraId="64E56F13">
      <w:pPr>
        <w:keepNext w:val="0"/>
        <w:keepLines w:val="0"/>
        <w:pageBreakBefore w:val="0"/>
        <w:widowControl/>
        <w:numPr>
          <w:ilvl w:val="0"/>
          <w:numId w:val="5"/>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left="0" w:leftChars="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52D90722">
      <w:pPr>
        <w:keepNext w:val="0"/>
        <w:keepLines w:val="0"/>
        <w:pageBreakBefore w:val="0"/>
        <w:widowControl/>
        <w:numPr>
          <w:numId w:val="0"/>
        </w:numPr>
        <w:pBdr>
          <w:top w:val="single" w:color="FFFFFF" w:sz="4" w:space="0"/>
          <w:left w:val="single" w:color="FFFFFF" w:sz="4" w:space="31"/>
          <w:bottom w:val="single" w:color="FFFFFF" w:sz="4" w:space="31"/>
          <w:right w:val="single" w:color="FFFFFF" w:sz="4" w:space="0"/>
        </w:pBdr>
        <w:kinsoku/>
        <w:wordWrap/>
        <w:overflowPunct/>
        <w:topLinePunct/>
        <w:autoSpaceDE w:val="0"/>
        <w:autoSpaceDN/>
        <w:bidi w:val="0"/>
        <w:adjustRightInd w:val="0"/>
        <w:snapToGrid w:val="0"/>
        <w:spacing w:line="560" w:lineRule="exact"/>
        <w:ind w:firstLine="640" w:firstLineChars="200"/>
        <w:jc w:val="both"/>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加大对预算的科学化、精细化管理，进一步使项目支出更科学，更严谨。</w:t>
      </w:r>
    </w:p>
    <w:p w14:paraId="555815C1">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B2E8">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59A9FB66">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777C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7A3A2"/>
    <w:multiLevelType w:val="singleLevel"/>
    <w:tmpl w:val="AEC7A3A2"/>
    <w:lvl w:ilvl="0" w:tentative="0">
      <w:start w:val="2"/>
      <w:numFmt w:val="chineseCounting"/>
      <w:suff w:val="nothing"/>
      <w:lvlText w:val="%1、"/>
      <w:lvlJc w:val="left"/>
      <w:rPr>
        <w:rFonts w:hint="eastAsia"/>
      </w:rPr>
    </w:lvl>
  </w:abstractNum>
  <w:abstractNum w:abstractNumId="1">
    <w:nsid w:val="C4643354"/>
    <w:multiLevelType w:val="singleLevel"/>
    <w:tmpl w:val="C4643354"/>
    <w:lvl w:ilvl="0" w:tentative="0">
      <w:start w:val="2"/>
      <w:numFmt w:val="chineseCounting"/>
      <w:lvlText w:val="(%1)"/>
      <w:lvlJc w:val="left"/>
      <w:pPr>
        <w:tabs>
          <w:tab w:val="left" w:pos="312"/>
        </w:tabs>
      </w:pPr>
      <w:rPr>
        <w:rFonts w:hint="eastAsia"/>
      </w:rPr>
    </w:lvl>
  </w:abstractNum>
  <w:abstractNum w:abstractNumId="2">
    <w:nsid w:val="F5D413DC"/>
    <w:multiLevelType w:val="singleLevel"/>
    <w:tmpl w:val="F5D413DC"/>
    <w:lvl w:ilvl="0" w:tentative="0">
      <w:start w:val="2"/>
      <w:numFmt w:val="chineseCounting"/>
      <w:suff w:val="nothing"/>
      <w:lvlText w:val="（%1）"/>
      <w:lvlJc w:val="left"/>
      <w:rPr>
        <w:rFonts w:hint="eastAsia"/>
      </w:rPr>
    </w:lvl>
  </w:abstractNum>
  <w:abstractNum w:abstractNumId="3">
    <w:nsid w:val="40794B8B"/>
    <w:multiLevelType w:val="singleLevel"/>
    <w:tmpl w:val="40794B8B"/>
    <w:lvl w:ilvl="0" w:tentative="0">
      <w:start w:val="1"/>
      <w:numFmt w:val="chineseCounting"/>
      <w:suff w:val="nothing"/>
      <w:lvlText w:val="（%1）"/>
      <w:lvlJc w:val="left"/>
      <w:rPr>
        <w:rFonts w:hint="eastAsia"/>
      </w:rPr>
    </w:lvl>
  </w:abstractNum>
  <w:abstractNum w:abstractNumId="4">
    <w:nsid w:val="45C14048"/>
    <w:multiLevelType w:val="singleLevel"/>
    <w:tmpl w:val="45C1404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YjMyZDk3ODg0YWRkM2ZkOGM4NDZkOWFhZDFjYWI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5D46D2C"/>
    <w:rsid w:val="0641468B"/>
    <w:rsid w:val="0ADB7BF0"/>
    <w:rsid w:val="0E582A9A"/>
    <w:rsid w:val="104D1088"/>
    <w:rsid w:val="105E1A0E"/>
    <w:rsid w:val="18D17537"/>
    <w:rsid w:val="19927F78"/>
    <w:rsid w:val="1E3D5990"/>
    <w:rsid w:val="21AE59D8"/>
    <w:rsid w:val="22574CED"/>
    <w:rsid w:val="25DD0E81"/>
    <w:rsid w:val="26DA1226"/>
    <w:rsid w:val="2869300B"/>
    <w:rsid w:val="286F56EA"/>
    <w:rsid w:val="2C714811"/>
    <w:rsid w:val="2CF60BA6"/>
    <w:rsid w:val="2D527252"/>
    <w:rsid w:val="2E2700B8"/>
    <w:rsid w:val="2F6C6397"/>
    <w:rsid w:val="31DF3AD6"/>
    <w:rsid w:val="328533C1"/>
    <w:rsid w:val="329102D6"/>
    <w:rsid w:val="343079C4"/>
    <w:rsid w:val="36C00EA1"/>
    <w:rsid w:val="3A9520B3"/>
    <w:rsid w:val="3BDD7DCA"/>
    <w:rsid w:val="3DE562B7"/>
    <w:rsid w:val="3E6507EA"/>
    <w:rsid w:val="40A740DE"/>
    <w:rsid w:val="419B493A"/>
    <w:rsid w:val="47550EBA"/>
    <w:rsid w:val="498E0E0A"/>
    <w:rsid w:val="49FF6E63"/>
    <w:rsid w:val="4BE60F1D"/>
    <w:rsid w:val="4D4A7571"/>
    <w:rsid w:val="503B563C"/>
    <w:rsid w:val="50BB3388"/>
    <w:rsid w:val="511B1DB9"/>
    <w:rsid w:val="55B41BDC"/>
    <w:rsid w:val="57D05855"/>
    <w:rsid w:val="57D54F4B"/>
    <w:rsid w:val="63B95393"/>
    <w:rsid w:val="63D6286E"/>
    <w:rsid w:val="64FC786D"/>
    <w:rsid w:val="6636451A"/>
    <w:rsid w:val="67B41625"/>
    <w:rsid w:val="686A20AE"/>
    <w:rsid w:val="6AAC3D0B"/>
    <w:rsid w:val="6BE94116"/>
    <w:rsid w:val="729166B1"/>
    <w:rsid w:val="73EA4857"/>
    <w:rsid w:val="778A22A8"/>
    <w:rsid w:val="78916378"/>
    <w:rsid w:val="78C56D5E"/>
    <w:rsid w:val="7BC20073"/>
    <w:rsid w:val="7C631402"/>
    <w:rsid w:val="7DCC0F6E"/>
    <w:rsid w:val="7E140770"/>
    <w:rsid w:val="7EC4142B"/>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0"/>
    <w:rPr>
      <w:rFonts w:ascii="Calibri" w:hAnsi="Calibri" w:eastAsia="宋体" w:cs="Times New Roman"/>
    </w:rPr>
  </w:style>
  <w:style w:type="paragraph" w:styleId="3">
    <w:name w:val="Document Map"/>
    <w:basedOn w:val="1"/>
    <w:link w:val="13"/>
    <w:qFormat/>
    <w:uiPriority w:val="99"/>
    <w:rPr>
      <w:rFonts w:ascii="宋体"/>
      <w:sz w:val="18"/>
      <w:szCs w:val="18"/>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locked/>
    <w:uiPriority w:val="0"/>
    <w:pPr>
      <w:spacing w:before="240" w:after="60"/>
      <w:jc w:val="center"/>
      <w:outlineLvl w:val="0"/>
    </w:pPr>
    <w:rPr>
      <w:rFonts w:ascii="Arial" w:hAnsi="Arial" w:eastAsia="宋体" w:cs="Arial"/>
      <w:b/>
      <w:bCs/>
      <w:sz w:val="32"/>
      <w:szCs w:val="32"/>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paragraph" w:customStyle="1" w:styleId="1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4"/>
    <w:semiHidden/>
    <w:qFormat/>
    <w:locked/>
    <w:uiPriority w:val="99"/>
    <w:rPr>
      <w:rFonts w:cs="Times New Roman"/>
      <w:sz w:val="2"/>
    </w:rPr>
  </w:style>
  <w:style w:type="character" w:customStyle="1" w:styleId="15">
    <w:name w:val="页脚 Char"/>
    <w:link w:val="5"/>
    <w:qFormat/>
    <w:locked/>
    <w:uiPriority w:val="99"/>
    <w:rPr>
      <w:rFonts w:cs="Times New Roman"/>
      <w:kern w:val="2"/>
      <w:sz w:val="18"/>
      <w:szCs w:val="18"/>
    </w:rPr>
  </w:style>
  <w:style w:type="character" w:customStyle="1" w:styleId="16">
    <w:name w:val="页眉 Char"/>
    <w:link w:val="6"/>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14</Pages>
  <Words>5446</Words>
  <Characters>5876</Characters>
  <Lines>3</Lines>
  <Paragraphs>1</Paragraphs>
  <TotalTime>24</TotalTime>
  <ScaleCrop>false</ScaleCrop>
  <LinksUpToDate>false</LinksUpToDate>
  <CharactersWithSpaces>5909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2022-03-15T02:17:00Z</cp:lastPrinted>
  <dcterms:modified xsi:type="dcterms:W3CDTF">2025-07-07T07:57:07Z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50CDF95557544C1B94DA3C7D6F4B7020_13</vt:lpwstr>
  </property>
  <property fmtid="{D5CDD505-2E9C-101B-9397-08002B2CF9AE}" pid="4" name="KSOTemplateDocerSaveRecord">
    <vt:lpwstr>eyJoZGlkIjoiMzZiYjMyZDk3ODg0YWRkM2ZkOGM4NDZkOWFhZDFjYWIifQ==</vt:lpwstr>
  </property>
</Properties>
</file>