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w:t>
      </w:r>
      <w:r>
        <w:rPr>
          <w:rFonts w:hint="eastAsia" w:ascii="方正小标宋简体" w:hAnsi="宋体" w:eastAsia="方正小标宋简体"/>
          <w:sz w:val="44"/>
          <w:szCs w:val="44"/>
          <w:shd w:val="clear" w:color="auto" w:fill="FFFFFF"/>
        </w:rPr>
        <w:t>级部门整体绩效自评报告范本</w:t>
      </w:r>
    </w:p>
    <w:p>
      <w:pPr>
        <w:widowControl/>
        <w:spacing w:line="580" w:lineRule="exact"/>
        <w:contextualSpacing/>
        <w:jc w:val="center"/>
        <w:rPr>
          <w:rFonts w:ascii="方正小标宋简体" w:eastAsia="方正小标宋简体"/>
          <w:sz w:val="44"/>
          <w:szCs w:val="44"/>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00" w:firstLineChars="200"/>
        <w:contextualSpacing/>
        <w:jc w:val="left"/>
        <w:rPr>
          <w:rFonts w:hint="eastAsia" w:ascii="仿宋" w:hAnsi="仿宋" w:eastAsia="仿宋" w:cs="仿宋"/>
          <w:color w:val="000000"/>
          <w:kern w:val="0"/>
          <w:sz w:val="30"/>
          <w:szCs w:val="30"/>
          <w:shd w:val="clear" w:color="auto" w:fill="FFFFFF"/>
          <w:lang w:val="en-US" w:eastAsia="zh-CN"/>
        </w:rPr>
      </w:pPr>
      <w:r>
        <w:rPr>
          <w:rFonts w:hint="eastAsia" w:ascii="仿宋" w:hAnsi="仿宋" w:eastAsia="仿宋" w:cs="仿宋"/>
          <w:b w:val="0"/>
          <w:bCs w:val="0"/>
          <w:color w:val="000000"/>
          <w:kern w:val="0"/>
          <w:sz w:val="30"/>
          <w:szCs w:val="30"/>
          <w:shd w:val="clear" w:color="auto" w:fill="FFFFFF"/>
          <w:lang w:val="zh-CN"/>
        </w:rPr>
        <w:t>峨边彝族自治县农业</w:t>
      </w:r>
      <w:r>
        <w:rPr>
          <w:rFonts w:hint="eastAsia" w:ascii="仿宋" w:hAnsi="仿宋" w:eastAsia="仿宋" w:cs="仿宋"/>
          <w:color w:val="000000"/>
          <w:kern w:val="0"/>
          <w:sz w:val="30"/>
          <w:szCs w:val="30"/>
          <w:shd w:val="clear" w:color="auto" w:fill="FFFFFF"/>
          <w:lang w:val="zh-CN"/>
        </w:rPr>
        <w:t>农村局下设办公室、农业农村综合股、畜牧兽医水产股、安全监管股、政策法规股、机关党委、</w:t>
      </w:r>
      <w:r>
        <w:rPr>
          <w:rFonts w:hint="eastAsia" w:ascii="仿宋" w:hAnsi="仿宋" w:eastAsia="仿宋" w:cs="仿宋"/>
          <w:color w:val="000000"/>
          <w:kern w:val="0"/>
          <w:sz w:val="30"/>
          <w:szCs w:val="30"/>
          <w:shd w:val="clear" w:color="auto" w:fill="FFFFFF"/>
          <w:lang w:val="en-US" w:eastAsia="zh-CN"/>
        </w:rPr>
        <w:t>土地整理中心、种子站、乡村促进中心、执法大队。</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w:t>
      </w:r>
      <w:r>
        <w:rPr>
          <w:rFonts w:hint="eastAsia" w:ascii="楷体_GB2312" w:hAnsi="宋体" w:eastAsia="楷体_GB2312" w:cs="宋体"/>
          <w:color w:val="000000"/>
          <w:kern w:val="0"/>
          <w:szCs w:val="32"/>
          <w:shd w:val="clear" w:color="auto" w:fill="FFFFFF"/>
          <w:lang w:val="en-US" w:eastAsia="zh-CN"/>
        </w:rPr>
        <w:t>及人员情况。</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统筹研究和组织实施全县“三农”工作的发展战略、中长期规划、重大政策。组织起草“三农”有关规范性文件并组织实施。</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统筹实施乡村振兴战略，牵头组织改善全县农村人居环境。统筹推动发展农村社会事业、农村公共服务、农村文化、农村基础设施和乡村治理。指导农村精神文明和优秀农耕文化建设。</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拟订深化全县农村经济体制改革和巩固完善农村基本经营制度的政策措施。负责农民承包地、农村宅基地管理和改革有关工作。负责农村集体产权制度改革，指导农村集体经济组织发展、集体资产和财务管理工作。拟订农业产业化经营的发展规划与政策并组织实施。指导农民合作经济组织、农业社会化服务体系、新型农业经营主体建设与发展。指导、监督减轻农民负担工作。</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指导全县乡村特色产业、农产品加工业（产地初加工）、休闲农业和乡村企业发展工作。指导特色农产品优势区建设和管理工作。组织拟订现代农业园区的政策与规划并组织实施，负责现代农业园区评定工作。提出促进大宗农产品流通政策和主要农产品进口建议，研究制定大宗农产品市场体系建设与发展规划。培育、保护和发展农产品品牌，组织协调“菜篮子”工程有关工作。负责农业信息体系建设，推动数字农业发展。发布农业农村经济信息，监测分析农业农村经济运行。承担农业统计工作。</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5.</w:t>
      </w:r>
      <w:r>
        <w:rPr>
          <w:rFonts w:hint="eastAsia" w:ascii="仿宋" w:hAnsi="仿宋" w:eastAsia="仿宋" w:cs="仿宋"/>
          <w:sz w:val="30"/>
          <w:szCs w:val="30"/>
        </w:rPr>
        <w:t>负责全县种植业、畜牧业、渔业、农垦、农业机械化等农业各产业的监督管理。指导粮食等农产品生产。指导粮食生产功能区和重要农产品生产保护区建设和管理工作。组织构建现代农业产业体系、生产体系、经营体系，指导农业标准化、规模化生产。落实促进粮油、畜禽、水产等主要农产品生产发展的相关政策措施，引导农业产业结构调整和产品品质改善，促进农业绿色发展。负责渔政渔港、网具监督管理。</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6.</w:t>
      </w:r>
      <w:r>
        <w:rPr>
          <w:rFonts w:hint="eastAsia" w:ascii="仿宋" w:hAnsi="仿宋" w:eastAsia="仿宋" w:cs="仿宋"/>
          <w:sz w:val="30"/>
          <w:szCs w:val="30"/>
        </w:rPr>
        <w:t>负责制定全县农业机械化、智能化、数字化发展规划并组织实施。组织开展农业机械重大技术攻关和关键技术开发，引进、示范和推广农业机械新技术、新机具，指导全县农业机械基础设施的规划建设和管理工作。指导设施农业、农机库棚、机电提灌、机耕道等基础设施建设。</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7.</w:t>
      </w:r>
      <w:r>
        <w:rPr>
          <w:rFonts w:hint="eastAsia" w:ascii="仿宋" w:hAnsi="仿宋" w:eastAsia="仿宋" w:cs="仿宋"/>
          <w:sz w:val="30"/>
          <w:szCs w:val="30"/>
        </w:rPr>
        <w:t>负责全县农产品质量安全监督管理。组织开展农产品质量安全监测、追溯、风险评估。发布有关农产品质量安全状况信息，提出技术性贸易措施建议。组织实施农产品质量安全标准。指导农业检验检测体系建设。依法组织实施符合安全标准的农产品生产基地认定、产品认证、农产品地理标志登记保护和监督管理。</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8.</w:t>
      </w:r>
      <w:r>
        <w:rPr>
          <w:rFonts w:hint="eastAsia" w:ascii="仿宋" w:hAnsi="仿宋" w:eastAsia="仿宋" w:cs="仿宋"/>
          <w:sz w:val="30"/>
          <w:szCs w:val="30"/>
        </w:rPr>
        <w:t>组织开展全县农业资源区划和资源保护工作。指导农用地、渔业水域以及农业生物物种资源的保护与管理，负责水生野生动植物保护、耕地及永久基本农田质量保护工作。负责农村能源建设和资源环境工作。指导农产品产地环境管理和农业清洁生产，提出划定农产品禁止生产区域的政策建议，指导设施农业、生态循环农业、节水农业发展以及农村可再生能源综合开发利用、农业生物质产业发展。</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9.</w:t>
      </w:r>
      <w:r>
        <w:rPr>
          <w:rFonts w:hint="eastAsia" w:ascii="仿宋" w:hAnsi="仿宋" w:eastAsia="仿宋" w:cs="仿宋"/>
          <w:sz w:val="30"/>
          <w:szCs w:val="30"/>
        </w:rPr>
        <w:t>负责全县有关农业生产资料和农业投入品的监督管理。组织农业生产资料市场体系建设，承担农作物种子（种苗）、食用菌种、蚕种、饲草良种、种畜禽、水产苗种、农药、兽药（渔药）、饲料、饲料添加剂等农业生产资料的监督管理职责，牵头负责“瘦肉精”监管工作。监督管理兽医医疗器械、肥料。制定有关农业生产资料地方标准并监督实施，会同有关部门监督实施农业生产资料国家标准。组织兽医医政、兽药(渔药)药政药检工作，负责执业兽医和畜禽屠宰行业管理。</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10.</w:t>
      </w:r>
      <w:r>
        <w:rPr>
          <w:rFonts w:hint="eastAsia" w:ascii="仿宋" w:hAnsi="仿宋" w:eastAsia="仿宋" w:cs="仿宋"/>
          <w:sz w:val="30"/>
          <w:szCs w:val="30"/>
        </w:rPr>
        <w:t>负责全县农业防灾减灾、农作物重大病虫害防治工作。牵头起草动植物防疫和检疫的规范性文件，会同有关部门制定动植物防疫检疫政策并指导实施。指导动植物防疫检疫体系建设，组织、监督市内动植物防疫检疫工作，发布疫情并组织扑灭。组织植物检疫性有害生物普查。牵头管理外来农业物种。监测、核查、发布农业灾情，组织种子、种苗、化肥、兽药（渔药）等农业生产救灾物资的储备和调拨，提出生产救灾资金安排建议，指导紧急救灾和灾后生产恢复。</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11.</w:t>
      </w:r>
      <w:r>
        <w:rPr>
          <w:rFonts w:hint="eastAsia" w:ascii="仿宋" w:hAnsi="仿宋" w:eastAsia="仿宋" w:cs="仿宋"/>
          <w:sz w:val="30"/>
          <w:szCs w:val="30"/>
        </w:rPr>
        <w:t>负责全县农业投资管理。提出农业投融资体制机制改革建议。编制中央、省级、市级和县级投资安排的农业投资项目建设规划，提出农业投资规模和方向、扶持农业农村发展财政项目的建议，按规定权限审批农业投资项目，负责农业投资项目资金安排和监督管理。</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12.</w:t>
      </w:r>
      <w:r>
        <w:rPr>
          <w:rFonts w:hint="eastAsia" w:ascii="仿宋" w:hAnsi="仿宋" w:eastAsia="仿宋" w:cs="仿宋"/>
          <w:sz w:val="30"/>
          <w:szCs w:val="30"/>
        </w:rPr>
        <w:t>负责全县农田建设管理。拟订农田建设发展规划，提出农田建设项目需求建议。负责全县农田建设管理、高标准农田建设和耕地质量管理。编制农业综合开发涉及农田建设项目、农田整治项目、农田水利建设项目的计划，并组织实施和管理。参与开展永久基本农田保护。</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13.</w:t>
      </w:r>
      <w:r>
        <w:rPr>
          <w:rFonts w:hint="eastAsia" w:ascii="仿宋" w:hAnsi="仿宋" w:eastAsia="仿宋" w:cs="仿宋"/>
          <w:sz w:val="30"/>
          <w:szCs w:val="30"/>
        </w:rPr>
        <w:t>制定全县农业科研、农技推广的规划、计划和有关政策并组织实施，牵头推动农业科技体制改革和农业科技创新体系建设。指导农业产业技术体系和农技推广体系建设，组织农作物、畜禽、水产养殖等新品种育种攻关和农业先进技术引进、试验、转化、示范、推广。负责农业转基因生物安全监督管理和农业植物新品种保护。</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14.</w:t>
      </w:r>
      <w:r>
        <w:rPr>
          <w:rFonts w:hint="eastAsia" w:ascii="仿宋" w:hAnsi="仿宋" w:eastAsia="仿宋" w:cs="仿宋"/>
          <w:sz w:val="30"/>
          <w:szCs w:val="30"/>
        </w:rPr>
        <w:t>指导全县农业农村人才工作。制定农业农村人才队伍建设规划并组织实施，指导农业教育和农业职业技能开发，指导新型职业农民培育、农业科技人才培养和农村实用人才培训工作。</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15.</w:t>
      </w:r>
      <w:r>
        <w:rPr>
          <w:rFonts w:hint="eastAsia" w:ascii="仿宋" w:hAnsi="仿宋" w:eastAsia="仿宋" w:cs="仿宋"/>
          <w:sz w:val="30"/>
          <w:szCs w:val="30"/>
        </w:rPr>
        <w:t>牵头开展全县农业对外合作工作。承办政府间农业涉外事务，参与拟订农业对外开放政策和外向型农业发展规划，指导外向型农业发展。组织开展农业投资促进活动，推动农业开放合作。</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16.</w:t>
      </w:r>
      <w:r>
        <w:rPr>
          <w:rFonts w:hint="eastAsia" w:ascii="仿宋" w:hAnsi="仿宋" w:eastAsia="仿宋" w:cs="仿宋"/>
          <w:sz w:val="30"/>
          <w:szCs w:val="30"/>
        </w:rPr>
        <w:t>统筹协调和监督指导全县农业综合执法。负责监督指导、重大案件查处和跨区域执法的组织协调工作，承担由县本级办理的涉农违法案件。推进农业依法行政。</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lang w:val="en-US" w:eastAsia="zh-CN"/>
        </w:rPr>
        <w:t>17.</w:t>
      </w:r>
      <w:r>
        <w:rPr>
          <w:rFonts w:hint="eastAsia" w:ascii="仿宋" w:hAnsi="仿宋" w:eastAsia="仿宋" w:cs="仿宋"/>
          <w:sz w:val="30"/>
          <w:szCs w:val="30"/>
        </w:rPr>
        <w:t>负责职责范围内的安全生产和职业健康、生态环境保护、服务便民化等工作。</w:t>
      </w:r>
    </w:p>
    <w:p>
      <w:pPr>
        <w:widowControl/>
        <w:adjustRightInd w:val="0"/>
        <w:snapToGrid w:val="0"/>
        <w:spacing w:line="580" w:lineRule="exact"/>
        <w:ind w:firstLine="600" w:firstLineChars="200"/>
        <w:contextualSpacing/>
        <w:jc w:val="left"/>
        <w:rPr>
          <w:rFonts w:hint="eastAsia" w:ascii="仿宋" w:hAnsi="仿宋" w:eastAsia="仿宋" w:cs="仿宋"/>
          <w:sz w:val="30"/>
          <w:szCs w:val="30"/>
        </w:rPr>
      </w:pPr>
      <w:r>
        <w:rPr>
          <w:rFonts w:hint="eastAsia" w:ascii="仿宋" w:hAnsi="仿宋" w:eastAsia="仿宋" w:cs="仿宋"/>
          <w:sz w:val="30"/>
          <w:szCs w:val="30"/>
          <w:lang w:val="en-US" w:eastAsia="zh-CN"/>
        </w:rPr>
        <w:t>18.</w:t>
      </w:r>
      <w:r>
        <w:rPr>
          <w:rFonts w:hint="eastAsia" w:ascii="仿宋" w:hAnsi="仿宋" w:eastAsia="仿宋" w:cs="仿宋"/>
          <w:sz w:val="30"/>
          <w:szCs w:val="30"/>
        </w:rPr>
        <w:t>完成县委、县政府交办的其他工作。</w:t>
      </w:r>
    </w:p>
    <w:p>
      <w:pPr>
        <w:spacing w:line="600" w:lineRule="exact"/>
        <w:ind w:firstLine="640" w:firstLineChars="200"/>
        <w:rPr>
          <w:rFonts w:hint="eastAsia" w:ascii="仿宋" w:hAnsi="仿宋" w:eastAsia="仿宋"/>
          <w:szCs w:val="32"/>
        </w:rPr>
      </w:pPr>
      <w:r>
        <w:rPr>
          <w:rFonts w:hint="eastAsia" w:ascii="仿宋" w:hAnsi="仿宋" w:eastAsia="仿宋"/>
          <w:szCs w:val="32"/>
        </w:rPr>
        <w:t>县农业农村局预算单位1个，其中：行政单位1个，事业单位0个。</w:t>
      </w:r>
    </w:p>
    <w:p>
      <w:pPr>
        <w:widowControl/>
        <w:tabs>
          <w:tab w:val="left" w:pos="3840"/>
        </w:tabs>
        <w:adjustRightInd w:val="0"/>
        <w:snapToGrid w:val="0"/>
        <w:spacing w:line="580" w:lineRule="exact"/>
        <w:ind w:firstLine="640" w:firstLineChars="200"/>
        <w:contextualSpacing/>
        <w:jc w:val="left"/>
        <w:rPr>
          <w:rFonts w:hint="default" w:ascii="楷体_GB2312" w:hAnsi="宋体" w:eastAsia="仿宋" w:cs="宋体"/>
          <w:color w:val="000000"/>
          <w:kern w:val="0"/>
          <w:szCs w:val="32"/>
          <w:shd w:val="clear" w:color="auto" w:fill="FFFFFF"/>
          <w:lang w:val="en-US" w:eastAsia="zh-CN"/>
        </w:rPr>
      </w:pPr>
      <w:r>
        <w:rPr>
          <w:rFonts w:hint="eastAsia" w:ascii="仿宋" w:hAnsi="仿宋" w:eastAsia="仿宋"/>
          <w:szCs w:val="32"/>
        </w:rPr>
        <w:t>县农业农村局总编制</w:t>
      </w:r>
      <w:r>
        <w:rPr>
          <w:rFonts w:hint="eastAsia" w:ascii="仿宋" w:hAnsi="仿宋" w:eastAsia="仿宋"/>
          <w:szCs w:val="32"/>
          <w:lang w:val="en-US" w:eastAsia="zh-CN"/>
        </w:rPr>
        <w:t>140</w:t>
      </w:r>
      <w:r>
        <w:rPr>
          <w:rFonts w:hint="eastAsia" w:ascii="仿宋" w:hAnsi="仿宋" w:eastAsia="仿宋"/>
          <w:szCs w:val="32"/>
        </w:rPr>
        <w:t>名，其中：行政编制14名，工勤编制4名，事业编制</w:t>
      </w:r>
      <w:r>
        <w:rPr>
          <w:rFonts w:hint="eastAsia" w:ascii="仿宋" w:hAnsi="仿宋" w:eastAsia="仿宋"/>
          <w:szCs w:val="32"/>
          <w:lang w:val="en-US" w:eastAsia="zh-CN"/>
        </w:rPr>
        <w:t>122</w:t>
      </w:r>
      <w:r>
        <w:rPr>
          <w:rFonts w:hint="eastAsia" w:ascii="仿宋" w:hAnsi="仿宋" w:eastAsia="仿宋"/>
          <w:szCs w:val="32"/>
        </w:rPr>
        <w:t>名。</w:t>
      </w:r>
      <w:r>
        <w:rPr>
          <w:rFonts w:hint="eastAsia" w:ascii="仿宋" w:hAnsi="仿宋" w:eastAsia="仿宋"/>
          <w:szCs w:val="32"/>
          <w:lang w:val="en-US" w:eastAsia="zh-CN"/>
        </w:rPr>
        <w:t>2022年底实有行政人员27人，事业人员96人，离休人员1名。</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年度主要工作任务。</w:t>
      </w:r>
    </w:p>
    <w:p>
      <w:pPr>
        <w:keepNext w:val="0"/>
        <w:keepLines w:val="0"/>
        <w:pageBreakBefore w:val="0"/>
        <w:widowControl/>
        <w:numPr>
          <w:ilvl w:val="0"/>
          <w:numId w:val="0"/>
        </w:numPr>
        <w:kinsoku/>
        <w:wordWrap/>
        <w:overflowPunct/>
        <w:topLinePunct/>
        <w:autoSpaceDN/>
        <w:bidi w:val="0"/>
        <w:adjustRightInd w:val="0"/>
        <w:snapToGrid w:val="0"/>
        <w:spacing w:line="590" w:lineRule="exact"/>
        <w:ind w:right="0" w:rightChars="0" w:firstLine="640" w:firstLineChars="200"/>
        <w:textAlignment w:val="auto"/>
        <w:rPr>
          <w:rFonts w:hint="eastAsia" w:ascii="仿宋_GB2312" w:hAnsi="仿宋_GB2312" w:eastAsia="仿宋_GB2312" w:cs="仿宋_GB2312"/>
          <w:b w:val="0"/>
          <w:bCs w:val="0"/>
          <w:color w:val="auto"/>
          <w:kern w:val="21"/>
          <w:sz w:val="32"/>
          <w:szCs w:val="32"/>
          <w:lang w:val="en-US" w:eastAsia="zh-CN"/>
        </w:rPr>
      </w:pPr>
      <w:r>
        <w:rPr>
          <w:rFonts w:hint="eastAsia" w:ascii="楷体_GB2312" w:hAnsi="楷体_GB2312" w:eastAsia="楷体_GB2312" w:cs="楷体_GB2312"/>
          <w:b w:val="0"/>
          <w:bCs w:val="0"/>
          <w:color w:val="auto"/>
          <w:kern w:val="21"/>
          <w:sz w:val="32"/>
          <w:szCs w:val="32"/>
          <w:lang w:val="en-US" w:eastAsia="zh-CN"/>
        </w:rPr>
        <w:t>1.</w:t>
      </w:r>
      <w:r>
        <w:rPr>
          <w:rFonts w:hint="eastAsia" w:ascii="楷体_GB2312" w:hAnsi="楷体_GB2312" w:eastAsia="楷体_GB2312" w:cs="楷体_GB2312"/>
          <w:b w:val="0"/>
          <w:bCs w:val="0"/>
          <w:color w:val="auto"/>
          <w:kern w:val="21"/>
          <w:sz w:val="32"/>
          <w:szCs w:val="32"/>
        </w:rPr>
        <w:t>主要经济指标完成情况</w:t>
      </w:r>
      <w:r>
        <w:rPr>
          <w:rFonts w:hint="eastAsia" w:ascii="楷体_GB2312" w:hAnsi="楷体_GB2312" w:eastAsia="楷体_GB2312" w:cs="楷体_GB2312"/>
          <w:b w:val="0"/>
          <w:bCs w:val="0"/>
          <w:color w:val="auto"/>
          <w:kern w:val="21"/>
          <w:sz w:val="32"/>
          <w:szCs w:val="32"/>
          <w:lang w:eastAsia="zh-CN"/>
        </w:rPr>
        <w:t>。</w:t>
      </w:r>
      <w:r>
        <w:rPr>
          <w:rFonts w:hint="eastAsia" w:ascii="楷体_GB2312" w:hAnsi="楷体_GB2312" w:eastAsia="楷体_GB2312" w:cs="楷体_GB2312"/>
          <w:b w:val="0"/>
          <w:bCs w:val="0"/>
          <w:color w:val="auto"/>
          <w:kern w:val="21"/>
          <w:sz w:val="32"/>
          <w:szCs w:val="32"/>
          <w:lang w:val="en-US" w:eastAsia="zh-CN"/>
        </w:rPr>
        <w:t>一是</w:t>
      </w:r>
      <w:r>
        <w:rPr>
          <w:rFonts w:hint="eastAsia" w:ascii="仿宋_GB2312" w:hAnsi="仿宋_GB2312" w:eastAsia="仿宋_GB2312" w:cs="仿宋_GB2312"/>
          <w:b w:val="0"/>
          <w:bCs w:val="0"/>
          <w:color w:val="auto"/>
          <w:kern w:val="21"/>
          <w:sz w:val="32"/>
          <w:szCs w:val="32"/>
        </w:rPr>
        <w:t>种植业生产情况。</w:t>
      </w:r>
      <w:r>
        <w:rPr>
          <w:rFonts w:hint="eastAsia" w:ascii="仿宋_GB2312" w:hAnsi="仿宋_GB2312" w:eastAsia="仿宋_GB2312" w:cs="仿宋_GB2312"/>
          <w:b w:val="0"/>
          <w:bCs w:val="0"/>
          <w:color w:val="auto"/>
          <w:sz w:val="32"/>
          <w:szCs w:val="32"/>
        </w:rPr>
        <w:t>2022年</w:t>
      </w:r>
      <w:r>
        <w:rPr>
          <w:rFonts w:hint="eastAsia" w:ascii="仿宋_GB2312" w:hAnsi="仿宋_GB2312" w:eastAsia="仿宋_GB2312" w:cs="仿宋_GB2312"/>
          <w:b w:val="0"/>
          <w:bCs w:val="0"/>
          <w:color w:val="auto"/>
          <w:sz w:val="32"/>
          <w:szCs w:val="32"/>
          <w:lang w:eastAsia="zh-CN"/>
        </w:rPr>
        <w:t>完成</w:t>
      </w:r>
      <w:r>
        <w:rPr>
          <w:rFonts w:hint="eastAsia" w:ascii="仿宋_GB2312" w:hAnsi="仿宋_GB2312" w:eastAsia="仿宋_GB2312" w:cs="仿宋_GB2312"/>
          <w:b w:val="0"/>
          <w:bCs w:val="0"/>
          <w:color w:val="auto"/>
          <w:sz w:val="32"/>
          <w:szCs w:val="32"/>
        </w:rPr>
        <w:t>粮食播种面积19.</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万亩，产量5.</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万吨</w:t>
      </w:r>
      <w:r>
        <w:rPr>
          <w:rFonts w:hint="eastAsia" w:ascii="仿宋_GB2312" w:hAnsi="仿宋_GB2312" w:eastAsia="仿宋_GB2312" w:cs="仿宋_GB2312"/>
          <w:b w:val="0"/>
          <w:bCs w:val="0"/>
          <w:color w:val="auto"/>
          <w:sz w:val="32"/>
          <w:szCs w:val="32"/>
          <w:lang w:eastAsia="zh-CN"/>
        </w:rPr>
        <w:t>（因旱灾，全省均下降）。</w:t>
      </w:r>
      <w:r>
        <w:rPr>
          <w:rFonts w:hint="eastAsia" w:ascii="仿宋_GB2312" w:hAnsi="仿宋_GB2312" w:eastAsia="仿宋_GB2312" w:cs="仿宋_GB2312"/>
          <w:b w:val="0"/>
          <w:bCs w:val="0"/>
          <w:color w:val="auto"/>
          <w:kern w:val="21"/>
          <w:sz w:val="32"/>
          <w:szCs w:val="32"/>
        </w:rPr>
        <w:t>豆玉复合种植面积0.53万亩</w:t>
      </w:r>
      <w:r>
        <w:rPr>
          <w:rFonts w:hint="eastAsia" w:ascii="仿宋_GB2312" w:hAnsi="仿宋_GB2312" w:eastAsia="仿宋_GB2312" w:cs="仿宋_GB2312"/>
          <w:b w:val="0"/>
          <w:bCs w:val="0"/>
          <w:color w:val="auto"/>
          <w:kern w:val="21"/>
          <w:sz w:val="32"/>
          <w:szCs w:val="32"/>
          <w:lang w:eastAsia="zh-CN"/>
        </w:rPr>
        <w:t>，</w:t>
      </w:r>
      <w:r>
        <w:rPr>
          <w:rFonts w:hint="eastAsia" w:ascii="仿宋_GB2312" w:hAnsi="仿宋_GB2312" w:eastAsia="仿宋_GB2312" w:cs="仿宋_GB2312"/>
          <w:b w:val="0"/>
          <w:bCs w:val="0"/>
          <w:color w:val="auto"/>
          <w:kern w:val="21"/>
          <w:sz w:val="32"/>
          <w:szCs w:val="32"/>
          <w:lang w:val="en-US" w:eastAsia="zh-CN"/>
        </w:rPr>
        <w:t>其中</w:t>
      </w:r>
      <w:r>
        <w:rPr>
          <w:rFonts w:hint="eastAsia" w:ascii="仿宋_GB2312" w:hAnsi="仿宋_GB2312" w:eastAsia="仿宋_GB2312" w:cs="仿宋_GB2312"/>
          <w:b w:val="0"/>
          <w:bCs w:val="0"/>
          <w:color w:val="auto"/>
          <w:kern w:val="21"/>
          <w:sz w:val="32"/>
          <w:szCs w:val="32"/>
        </w:rPr>
        <w:t>示范片0.2万亩</w:t>
      </w:r>
      <w:r>
        <w:rPr>
          <w:rFonts w:hint="eastAsia" w:ascii="仿宋_GB2312" w:hAnsi="仿宋_GB2312" w:eastAsia="仿宋_GB2312" w:cs="仿宋_GB2312"/>
          <w:b w:val="0"/>
          <w:bCs w:val="0"/>
          <w:color w:val="auto"/>
          <w:kern w:val="21"/>
          <w:sz w:val="32"/>
          <w:szCs w:val="32"/>
          <w:lang w:eastAsia="zh-CN"/>
        </w:rPr>
        <w:t>。</w:t>
      </w:r>
      <w:r>
        <w:rPr>
          <w:rFonts w:hint="eastAsia" w:ascii="仿宋_GB2312" w:hAnsi="仿宋_GB2312" w:eastAsia="仿宋_GB2312" w:cs="仿宋_GB2312"/>
          <w:b w:val="0"/>
          <w:bCs w:val="0"/>
          <w:color w:val="auto"/>
          <w:sz w:val="32"/>
          <w:szCs w:val="32"/>
        </w:rPr>
        <w:t>整治“撂荒地”</w:t>
      </w:r>
      <w:r>
        <w:rPr>
          <w:rFonts w:hint="eastAsia" w:ascii="仿宋_GB2312" w:hAnsi="仿宋_GB2312" w:eastAsia="仿宋_GB2312" w:cs="仿宋_GB2312"/>
          <w:b w:val="0"/>
          <w:bCs w:val="0"/>
          <w:color w:val="auto"/>
          <w:sz w:val="32"/>
          <w:szCs w:val="32"/>
          <w:lang w:val="en-US" w:eastAsia="zh-CN"/>
        </w:rPr>
        <w:t>272.2亩。</w:t>
      </w:r>
      <w:r>
        <w:rPr>
          <w:rFonts w:hint="eastAsia" w:ascii="仿宋_GB2312" w:hAnsi="仿宋_GB2312" w:eastAsia="仿宋_GB2312" w:cs="仿宋_GB2312"/>
          <w:b w:val="0"/>
          <w:bCs w:val="0"/>
          <w:color w:val="auto"/>
          <w:kern w:val="21"/>
          <w:sz w:val="32"/>
          <w:szCs w:val="32"/>
          <w:lang w:val="en-US" w:eastAsia="zh-CN"/>
        </w:rPr>
        <w:t>二是</w:t>
      </w:r>
      <w:r>
        <w:rPr>
          <w:rFonts w:hint="eastAsia" w:ascii="仿宋_GB2312" w:hAnsi="仿宋_GB2312" w:eastAsia="仿宋_GB2312" w:cs="仿宋_GB2312"/>
          <w:b w:val="0"/>
          <w:bCs w:val="0"/>
          <w:color w:val="auto"/>
          <w:kern w:val="21"/>
          <w:sz w:val="32"/>
          <w:szCs w:val="32"/>
        </w:rPr>
        <w:t>畜牧业生产情况。</w:t>
      </w:r>
      <w:r>
        <w:rPr>
          <w:rFonts w:hint="eastAsia" w:ascii="仿宋_GB2312" w:hAnsi="仿宋_GB2312" w:eastAsia="仿宋_GB2312" w:cs="仿宋_GB2312"/>
          <w:b w:val="0"/>
          <w:bCs w:val="0"/>
          <w:color w:val="auto"/>
          <w:sz w:val="32"/>
          <w:szCs w:val="32"/>
        </w:rPr>
        <w:t>建成生猪产期调控基地5个，培育规模养殖场45家，全年生猪出栏</w:t>
      </w:r>
      <w:r>
        <w:rPr>
          <w:rFonts w:hint="eastAsia" w:ascii="仿宋_GB2312" w:hAnsi="仿宋_GB2312" w:eastAsia="仿宋_GB2312" w:cs="仿宋_GB2312"/>
          <w:b w:val="0"/>
          <w:bCs w:val="0"/>
          <w:color w:val="auto"/>
          <w:sz w:val="32"/>
          <w:szCs w:val="32"/>
          <w:lang w:val="en-US" w:eastAsia="zh-CN"/>
        </w:rPr>
        <w:t>16.34</w:t>
      </w:r>
      <w:r>
        <w:rPr>
          <w:rFonts w:hint="eastAsia" w:ascii="仿宋_GB2312" w:hAnsi="仿宋_GB2312" w:eastAsia="仿宋_GB2312" w:cs="仿宋_GB2312"/>
          <w:b w:val="0"/>
          <w:bCs w:val="0"/>
          <w:color w:val="auto"/>
          <w:sz w:val="32"/>
          <w:szCs w:val="32"/>
        </w:rPr>
        <w:t>万头，能繁母猪保有量</w:t>
      </w:r>
      <w:r>
        <w:rPr>
          <w:rFonts w:hint="eastAsia" w:ascii="仿宋_GB2312" w:hAnsi="仿宋_GB2312" w:eastAsia="仿宋_GB2312" w:cs="仿宋_GB2312"/>
          <w:b w:val="0"/>
          <w:bCs w:val="0"/>
          <w:color w:val="auto"/>
          <w:sz w:val="32"/>
          <w:szCs w:val="32"/>
          <w:lang w:val="en-US" w:eastAsia="zh-CN"/>
        </w:rPr>
        <w:t>1.14</w:t>
      </w:r>
      <w:r>
        <w:rPr>
          <w:rFonts w:hint="eastAsia" w:ascii="仿宋_GB2312" w:hAnsi="仿宋_GB2312" w:eastAsia="仿宋_GB2312" w:cs="仿宋_GB2312"/>
          <w:b w:val="0"/>
          <w:bCs w:val="0"/>
          <w:color w:val="auto"/>
          <w:sz w:val="32"/>
          <w:szCs w:val="32"/>
        </w:rPr>
        <w:t>万头</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完成农村厕所新改建991户</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kern w:val="21"/>
          <w:sz w:val="32"/>
          <w:szCs w:val="32"/>
          <w:lang w:val="en-US" w:eastAsia="zh-CN"/>
        </w:rPr>
        <w:t>三是</w:t>
      </w:r>
      <w:r>
        <w:rPr>
          <w:rFonts w:hint="eastAsia" w:ascii="仿宋_GB2312" w:hAnsi="仿宋_GB2312" w:eastAsia="仿宋_GB2312" w:cs="仿宋_GB2312"/>
          <w:b w:val="0"/>
          <w:bCs w:val="0"/>
          <w:color w:val="auto"/>
          <w:kern w:val="21"/>
          <w:sz w:val="32"/>
          <w:szCs w:val="32"/>
        </w:rPr>
        <w:t>水产生产情况。</w:t>
      </w:r>
      <w:r>
        <w:rPr>
          <w:rFonts w:hint="eastAsia" w:ascii="仿宋_GB2312" w:hAnsi="仿宋_GB2312" w:eastAsia="仿宋_GB2312" w:cs="仿宋_GB2312"/>
          <w:b w:val="0"/>
          <w:bCs w:val="0"/>
          <w:color w:val="auto"/>
          <w:kern w:val="21"/>
          <w:sz w:val="32"/>
          <w:szCs w:val="32"/>
          <w:lang w:val="en-US" w:eastAsia="zh-CN"/>
        </w:rPr>
        <w:t>全县水产养殖面积共690亩。全年共投放鱼种31吨，完成水产品总产量138吨，其中鱼类养殖产量135吨（蛙类养殖产量5吨）。全年渔业经济总产值730万元，其中渔业产值320万元，渔业流通和服务业产值410万元。四是农民增收情况。农村居民人居可支配收入16064元，增速6.9%，居全市第二位。</w:t>
      </w:r>
    </w:p>
    <w:p>
      <w:pPr>
        <w:keepNext w:val="0"/>
        <w:keepLines w:val="0"/>
        <w:pageBreakBefore w:val="0"/>
        <w:widowControl/>
        <w:numPr>
          <w:ilvl w:val="0"/>
          <w:numId w:val="0"/>
        </w:numPr>
        <w:kinsoku/>
        <w:wordWrap/>
        <w:overflowPunct/>
        <w:topLinePunct/>
        <w:autoSpaceDE/>
        <w:autoSpaceDN/>
        <w:bidi w:val="0"/>
        <w:adjustRightInd w:val="0"/>
        <w:snapToGrid w:val="0"/>
        <w:spacing w:line="560" w:lineRule="exact"/>
        <w:ind w:leftChars="0" w:right="0" w:rightChars="0" w:firstLine="0" w:firstLineChars="0"/>
        <w:textAlignment w:val="auto"/>
        <w:rPr>
          <w:rFonts w:hint="eastAsia" w:ascii="仿宋_GB2312" w:hAnsi="仿宋_GB2312" w:eastAsia="仿宋_GB2312" w:cs="仿宋_GB2312"/>
          <w:sz w:val="32"/>
          <w:szCs w:val="32"/>
          <w:lang w:val="en-US" w:eastAsia="zh-CN"/>
        </w:rPr>
      </w:pPr>
      <w:r>
        <w:rPr>
          <w:rFonts w:hint="eastAsia"/>
          <w:lang w:val="en-US" w:eastAsia="zh-CN"/>
        </w:rPr>
        <w:t xml:space="preserve">   2.</w:t>
      </w:r>
      <w:r>
        <w:rPr>
          <w:rFonts w:hint="eastAsia" w:ascii="楷体_GB2312" w:hAnsi="楷体_GB2312" w:eastAsia="楷体_GB2312" w:cs="楷体_GB2312"/>
          <w:b w:val="0"/>
          <w:bCs w:val="0"/>
          <w:color w:val="auto"/>
          <w:kern w:val="21"/>
          <w:sz w:val="32"/>
          <w:szCs w:val="32"/>
          <w:lang w:val="en-US" w:eastAsia="zh-CN"/>
        </w:rPr>
        <w:t>推进农业产业健康发展。一是</w:t>
      </w:r>
      <w:r>
        <w:rPr>
          <w:rFonts w:hint="eastAsia" w:ascii="仿宋_GB2312" w:hAnsi="仿宋_GB2312" w:eastAsia="仿宋_GB2312" w:cs="仿宋_GB2312"/>
          <w:b w:val="0"/>
          <w:bCs w:val="0"/>
          <w:color w:val="auto"/>
          <w:kern w:val="21"/>
          <w:sz w:val="32"/>
          <w:szCs w:val="32"/>
          <w:lang w:val="en-US" w:eastAsia="zh-CN"/>
        </w:rPr>
        <w:t>多措并举稳定粮食生产，</w:t>
      </w:r>
      <w:r>
        <w:rPr>
          <w:rFonts w:hint="eastAsia" w:ascii="仿宋_GB2312" w:hAnsi="仿宋_GB2312" w:eastAsia="仿宋_GB2312" w:cs="仿宋_GB2312"/>
          <w:b w:val="0"/>
          <w:bCs w:val="0"/>
          <w:color w:val="auto"/>
          <w:kern w:val="21"/>
          <w:sz w:val="32"/>
          <w:szCs w:val="32"/>
          <w:lang w:val="zh-CN" w:eastAsia="zh-CN"/>
        </w:rPr>
        <w:t>始终坚持把稳粮保供作为“三农”工作头等大事，立足春播、</w:t>
      </w:r>
      <w:r>
        <w:rPr>
          <w:rFonts w:hint="eastAsia" w:ascii="仿宋_GB2312" w:hAnsi="仿宋_GB2312" w:eastAsia="仿宋_GB2312" w:cs="仿宋_GB2312"/>
          <w:b w:val="0"/>
          <w:bCs w:val="0"/>
          <w:color w:val="auto"/>
          <w:kern w:val="21"/>
          <w:sz w:val="32"/>
          <w:szCs w:val="32"/>
          <w:lang w:val="en-US" w:eastAsia="zh-CN"/>
        </w:rPr>
        <w:t>夏种、秋收、冬藏</w:t>
      </w:r>
      <w:r>
        <w:rPr>
          <w:rFonts w:hint="eastAsia" w:ascii="仿宋_GB2312" w:hAnsi="仿宋_GB2312" w:eastAsia="仿宋_GB2312" w:cs="仿宋_GB2312"/>
          <w:b w:val="0"/>
          <w:bCs w:val="0"/>
          <w:color w:val="auto"/>
          <w:kern w:val="21"/>
          <w:sz w:val="32"/>
          <w:szCs w:val="32"/>
          <w:lang w:val="zh-CN" w:eastAsia="zh-CN"/>
        </w:rPr>
        <w:t>，采取多种措施，切实抓好田间</w:t>
      </w:r>
      <w:r>
        <w:rPr>
          <w:rFonts w:hint="eastAsia" w:ascii="仿宋_GB2312" w:hAnsi="仿宋_GB2312" w:eastAsia="仿宋_GB2312" w:cs="仿宋_GB2312"/>
          <w:b w:val="0"/>
          <w:bCs w:val="0"/>
          <w:color w:val="auto"/>
          <w:kern w:val="21"/>
          <w:sz w:val="32"/>
          <w:szCs w:val="32"/>
          <w:lang w:val="en-US" w:eastAsia="zh-CN"/>
        </w:rPr>
        <w:t>生产</w:t>
      </w:r>
      <w:r>
        <w:rPr>
          <w:rFonts w:hint="eastAsia" w:ascii="仿宋_GB2312" w:hAnsi="仿宋_GB2312" w:eastAsia="仿宋_GB2312" w:cs="仿宋_GB2312"/>
          <w:b w:val="0"/>
          <w:bCs w:val="0"/>
          <w:color w:val="auto"/>
          <w:kern w:val="21"/>
          <w:sz w:val="32"/>
          <w:szCs w:val="32"/>
          <w:lang w:val="zh-CN" w:eastAsia="zh-CN"/>
        </w:rPr>
        <w:t>管理，完成全年目标任务</w:t>
      </w:r>
      <w:r>
        <w:rPr>
          <w:rFonts w:hint="eastAsia" w:ascii="仿宋_GB2312" w:hAnsi="仿宋_GB2312" w:eastAsia="仿宋_GB2312" w:cs="仿宋_GB2312"/>
          <w:b w:val="0"/>
          <w:bCs w:val="0"/>
          <w:color w:val="auto"/>
          <w:kern w:val="21"/>
          <w:sz w:val="32"/>
          <w:szCs w:val="32"/>
          <w:lang w:val="en-US" w:eastAsia="zh-CN"/>
        </w:rPr>
        <w:t>18.79万亩。二是</w:t>
      </w:r>
      <w:r>
        <w:rPr>
          <w:rFonts w:hint="eastAsia" w:ascii="仿宋_GB2312" w:hAnsi="仿宋_GB2312" w:eastAsia="仿宋_GB2312" w:cs="仿宋_GB2312"/>
          <w:sz w:val="32"/>
          <w:szCs w:val="32"/>
          <w:lang w:val="en-US" w:eastAsia="zh-CN"/>
        </w:rPr>
        <w:t>构建园区发展新格局，示范打造彝步千年·文旅新寨核心区，串接沙坪、新场、毛坪、杨河、新场等乡镇道路，形成特色粮经核心园区产业环线，大堡—红旗粮油产业、宜坪粮果产业、新林粮药产业、新场—毛坪粮蔬产业、五渡稻渔油茶产业5个组团联动发展的“一核一环五组团”园区发展新格局。三是培育壮大主导产业。四是</w:t>
      </w:r>
      <w:r>
        <w:rPr>
          <w:rFonts w:hint="eastAsia" w:ascii="仿宋_GB2312" w:hAnsi="仿宋_GB2312" w:eastAsia="仿宋_GB2312" w:cs="仿宋_GB2312"/>
          <w:sz w:val="32"/>
          <w:szCs w:val="32"/>
        </w:rPr>
        <w:t>培育新型经营主体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五是实施品牌创建行动。</w:t>
      </w:r>
    </w:p>
    <w:p>
      <w:pPr>
        <w:keepNext w:val="0"/>
        <w:keepLines w:val="0"/>
        <w:pageBreakBefore w:val="0"/>
        <w:widowControl/>
        <w:numPr>
          <w:ilvl w:val="0"/>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90" w:lineRule="exact"/>
        <w:ind w:leftChars="0" w:firstLine="640" w:firstLineChars="200"/>
        <w:jc w:val="both"/>
        <w:textAlignment w:val="auto"/>
        <w:rPr>
          <w:rFonts w:hint="eastAsia" w:ascii="仿宋_GB2312" w:hAnsi="仿宋_GB2312" w:eastAsia="仿宋_GB2312" w:cs="仿宋_GB2312"/>
          <w:b w:val="0"/>
          <w:bCs w:val="0"/>
          <w:color w:val="auto"/>
          <w:kern w:val="21"/>
          <w:sz w:val="32"/>
          <w:szCs w:val="32"/>
          <w:lang w:val="en-US" w:eastAsia="zh-CN"/>
        </w:rPr>
      </w:pPr>
      <w:r>
        <w:rPr>
          <w:rFonts w:hint="eastAsia" w:ascii="仿宋_GB2312" w:hAnsi="仿宋_GB2312" w:eastAsia="仿宋_GB2312" w:cs="仿宋_GB2312"/>
          <w:sz w:val="32"/>
          <w:szCs w:val="32"/>
          <w:lang w:val="en-US" w:eastAsia="zh-CN"/>
        </w:rPr>
        <w:t>3.</w:t>
      </w:r>
      <w:r>
        <w:rPr>
          <w:rFonts w:hint="eastAsia" w:ascii="楷体_GB2312" w:hAnsi="楷体_GB2312" w:eastAsia="楷体_GB2312" w:cs="楷体_GB2312"/>
          <w:b w:val="0"/>
          <w:bCs w:val="0"/>
          <w:color w:val="auto"/>
          <w:kern w:val="21"/>
          <w:sz w:val="32"/>
          <w:szCs w:val="32"/>
          <w:lang w:val="en-US" w:eastAsia="zh-CN"/>
        </w:rPr>
        <w:t>深化农业农村综合改革。一是</w:t>
      </w:r>
      <w:r>
        <w:rPr>
          <w:rFonts w:hint="eastAsia" w:ascii="仿宋_GB2312" w:hAnsi="仿宋_GB2312" w:eastAsia="仿宋_GB2312" w:cs="仿宋_GB2312"/>
          <w:b w:val="0"/>
          <w:bCs w:val="0"/>
          <w:color w:val="auto"/>
          <w:kern w:val="21"/>
          <w:sz w:val="32"/>
          <w:szCs w:val="32"/>
          <w:lang w:val="en-US" w:eastAsia="zh-CN"/>
        </w:rPr>
        <w:t>扶持壮大村级集体经济发展。二是</w:t>
      </w:r>
      <w:r>
        <w:rPr>
          <w:rFonts w:hint="eastAsia" w:ascii="仿宋_GB2312" w:hAnsi="仿宋_GB2312" w:eastAsia="仿宋_GB2312" w:cs="仿宋_GB2312"/>
          <w:b w:val="0"/>
          <w:bCs w:val="0"/>
          <w:color w:val="auto"/>
          <w:kern w:val="0"/>
          <w:sz w:val="32"/>
          <w:szCs w:val="32"/>
          <w:lang w:val="en-US" w:eastAsia="zh-CN" w:bidi="ar"/>
        </w:rPr>
        <w:t>深化农村集体产权制度改革。三是</w:t>
      </w:r>
      <w:r>
        <w:rPr>
          <w:rFonts w:hint="eastAsia" w:ascii="仿宋_GB2312" w:hAnsi="仿宋_GB2312" w:eastAsia="仿宋_GB2312" w:cs="仿宋_GB2312"/>
          <w:b w:val="0"/>
          <w:bCs w:val="0"/>
          <w:color w:val="auto"/>
          <w:kern w:val="21"/>
          <w:sz w:val="32"/>
          <w:szCs w:val="32"/>
          <w:lang w:val="en-US" w:eastAsia="zh-CN"/>
        </w:rPr>
        <w:t>加强宅基地和农房建设管理。四是推进乡村治理树立文明乡风。</w:t>
      </w:r>
    </w:p>
    <w:p>
      <w:pPr>
        <w:keepNext w:val="0"/>
        <w:keepLines w:val="0"/>
        <w:pageBreakBefore w:val="0"/>
        <w:widowControl/>
        <w:numPr>
          <w:ilvl w:val="0"/>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leftChars="0" w:firstLine="640" w:firstLineChars="200"/>
        <w:jc w:val="both"/>
        <w:textAlignment w:val="auto"/>
        <w:rPr>
          <w:rFonts w:hint="eastAsia" w:ascii="仿宋_GB2312" w:hAnsi="仿宋_GB2312" w:eastAsia="仿宋_GB2312" w:cs="仿宋_GB2312"/>
          <w:b w:val="0"/>
          <w:bCs w:val="0"/>
          <w:color w:val="auto"/>
          <w:kern w:val="21"/>
          <w:sz w:val="32"/>
          <w:szCs w:val="32"/>
          <w:lang w:val="en-US" w:eastAsia="zh-CN"/>
        </w:rPr>
      </w:pPr>
      <w:r>
        <w:rPr>
          <w:rFonts w:hint="eastAsia" w:ascii="仿宋" w:hAnsi="仿宋" w:eastAsia="仿宋" w:cs="仿宋"/>
          <w:b w:val="0"/>
          <w:bCs w:val="0"/>
          <w:color w:val="000000"/>
          <w:kern w:val="0"/>
          <w:szCs w:val="32"/>
          <w:shd w:val="clear" w:color="auto" w:fill="FFFFFF"/>
          <w:lang w:val="en-US" w:eastAsia="zh-CN"/>
        </w:rPr>
        <w:t>4.</w:t>
      </w:r>
      <w:r>
        <w:rPr>
          <w:rFonts w:hint="eastAsia" w:ascii="仿宋" w:hAnsi="仿宋" w:eastAsia="仿宋" w:cs="仿宋"/>
          <w:b w:val="0"/>
          <w:bCs w:val="0"/>
          <w:color w:val="auto"/>
          <w:kern w:val="21"/>
          <w:sz w:val="32"/>
          <w:szCs w:val="32"/>
          <w:lang w:val="en-US" w:eastAsia="zh-CN"/>
        </w:rPr>
        <w:t>完善农村基础设施建设 。一是</w:t>
      </w:r>
      <w:r>
        <w:rPr>
          <w:rFonts w:hint="eastAsia" w:ascii="仿宋_GB2312" w:hAnsi="仿宋_GB2312" w:eastAsia="仿宋_GB2312" w:cs="仿宋_GB2312"/>
          <w:b w:val="0"/>
          <w:bCs w:val="0"/>
          <w:color w:val="auto"/>
          <w:kern w:val="21"/>
          <w:sz w:val="32"/>
          <w:szCs w:val="32"/>
          <w:lang w:val="en-US" w:eastAsia="zh-CN"/>
        </w:rPr>
        <w:t>实施高标准农田建设项目，完成高标准农田建设6500亩。二是开展耕地保护及综合利用。完成撂荒地整治270余亩，非粮化整治工作顺利推进。三是推进畜禽粪污资源化利用，</w:t>
      </w:r>
      <w:r>
        <w:rPr>
          <w:rFonts w:hint="eastAsia" w:ascii="仿宋_GB2312" w:hAnsi="仿宋_GB2312" w:eastAsia="仿宋_GB2312" w:cs="仿宋_GB2312"/>
          <w:b w:val="0"/>
          <w:bCs w:val="0"/>
          <w:color w:val="auto"/>
          <w:sz w:val="32"/>
          <w:szCs w:val="32"/>
          <w:lang w:val="en-US" w:eastAsia="zh-CN"/>
        </w:rPr>
        <w:t>近三年，我县畜禽粪污综合利用率分别达到95.53%、95.72%、95.86%</w:t>
      </w:r>
      <w:r>
        <w:rPr>
          <w:rFonts w:hint="eastAsia" w:ascii="仿宋_GB2312" w:hAnsi="仿宋_GB2312" w:eastAsia="仿宋_GB2312" w:cs="仿宋_GB2312"/>
          <w:b w:val="0"/>
          <w:bCs w:val="0"/>
          <w:color w:val="auto"/>
          <w:kern w:val="21"/>
          <w:sz w:val="32"/>
          <w:szCs w:val="32"/>
          <w:lang w:val="en-US" w:eastAsia="zh-CN"/>
        </w:rPr>
        <w:t>。四是提升农产品生产加工能力。</w:t>
      </w:r>
    </w:p>
    <w:p>
      <w:pPr>
        <w:keepNext w:val="0"/>
        <w:keepLines w:val="0"/>
        <w:pageBreakBefore w:val="0"/>
        <w:widowControl/>
        <w:numPr>
          <w:ilvl w:val="0"/>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spacing w:line="600" w:lineRule="exact"/>
        <w:ind w:leftChars="0" w:firstLine="640" w:firstLineChars="200"/>
        <w:jc w:val="both"/>
        <w:textAlignment w:val="auto"/>
        <w:rPr>
          <w:rFonts w:hint="default" w:ascii="楷体_GB2312" w:hAnsi="楷体_GB2312" w:eastAsia="楷体_GB2312" w:cs="楷体_GB2312"/>
          <w:b w:val="0"/>
          <w:bCs w:val="0"/>
          <w:color w:val="auto"/>
          <w:kern w:val="0"/>
          <w:sz w:val="32"/>
          <w:szCs w:val="32"/>
          <w:lang w:val="en-US" w:eastAsia="zh-CN"/>
        </w:rPr>
      </w:pPr>
      <w:r>
        <w:rPr>
          <w:rFonts w:hint="eastAsia" w:ascii="仿宋_GB2312" w:hAnsi="仿宋_GB2312" w:eastAsia="仿宋_GB2312" w:cs="仿宋_GB2312"/>
          <w:b w:val="0"/>
          <w:bCs w:val="0"/>
          <w:color w:val="auto"/>
          <w:kern w:val="21"/>
          <w:sz w:val="32"/>
          <w:szCs w:val="32"/>
          <w:lang w:val="en-US" w:eastAsia="zh-CN"/>
        </w:rPr>
        <w:t xml:space="preserve">5. </w:t>
      </w:r>
      <w:r>
        <w:rPr>
          <w:rFonts w:hint="eastAsia" w:ascii="楷体_GB2312" w:hAnsi="楷体_GB2312" w:eastAsia="楷体_GB2312" w:cs="楷体_GB2312"/>
          <w:b w:val="0"/>
          <w:bCs w:val="0"/>
          <w:color w:val="auto"/>
          <w:kern w:val="0"/>
          <w:sz w:val="32"/>
          <w:szCs w:val="32"/>
          <w:lang w:val="en-US" w:eastAsia="zh-CN"/>
        </w:rPr>
        <w:t>持续推进乡村全面振兴。一是</w:t>
      </w:r>
      <w:r>
        <w:rPr>
          <w:rFonts w:hint="eastAsia" w:ascii="仿宋_GB2312" w:hAnsi="仿宋_GB2312" w:eastAsia="仿宋_GB2312" w:cs="仿宋_GB2312"/>
          <w:b w:val="0"/>
          <w:bCs w:val="0"/>
          <w:color w:val="auto"/>
          <w:kern w:val="0"/>
          <w:sz w:val="32"/>
          <w:szCs w:val="32"/>
          <w:lang w:val="en-US" w:eastAsia="zh-CN"/>
        </w:rPr>
        <w:t>全域推进农村人居环境整治。二是</w:t>
      </w:r>
      <w:r>
        <w:rPr>
          <w:rFonts w:hint="eastAsia" w:ascii="仿宋_GB2312" w:hAnsi="仿宋_GB2312" w:eastAsia="仿宋_GB2312" w:cs="仿宋_GB2312"/>
          <w:b w:val="0"/>
          <w:bCs w:val="0"/>
          <w:color w:val="auto"/>
          <w:kern w:val="21"/>
          <w:sz w:val="32"/>
          <w:szCs w:val="32"/>
          <w:lang w:val="en-US" w:eastAsia="zh-CN"/>
        </w:rPr>
        <w:t>全面推进农村“三大革命”。三是持续开展美丽乡村示范创建。四是推进金融支农政策落地落实。五是持续做好巩固脱贫增收工作。</w:t>
      </w:r>
    </w:p>
    <w:p>
      <w:pPr>
        <w:keepNext w:val="0"/>
        <w:keepLines w:val="0"/>
        <w:pageBreakBefore w:val="0"/>
        <w:widowControl/>
        <w:numPr>
          <w:ilvl w:val="0"/>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leftChars="0" w:firstLine="640" w:firstLineChars="200"/>
        <w:jc w:val="both"/>
        <w:textAlignment w:val="auto"/>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b w:val="0"/>
          <w:bCs w:val="0"/>
          <w:color w:val="auto"/>
          <w:kern w:val="21"/>
          <w:sz w:val="32"/>
          <w:szCs w:val="32"/>
          <w:lang w:val="en-US" w:eastAsia="zh-CN"/>
        </w:rPr>
        <w:t xml:space="preserve"> （四）</w:t>
      </w:r>
      <w:r>
        <w:rPr>
          <w:rFonts w:hint="eastAsia" w:ascii="楷体_GB2312" w:hAnsi="宋体" w:eastAsia="楷体_GB2312" w:cs="宋体"/>
          <w:color w:val="000000"/>
          <w:kern w:val="0"/>
          <w:szCs w:val="32"/>
          <w:shd w:val="clear" w:color="auto" w:fill="FFFFFF"/>
          <w:lang w:val="zh-CN"/>
        </w:rPr>
        <w:t>部门整体支出绩效目标。</w:t>
      </w:r>
    </w:p>
    <w:p>
      <w:pPr>
        <w:keepNext w:val="0"/>
        <w:keepLines w:val="0"/>
        <w:pageBreakBefore w:val="0"/>
        <w:widowControl/>
        <w:numPr>
          <w:ilvl w:val="0"/>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leftChars="0" w:firstLine="640" w:firstLineChars="200"/>
        <w:jc w:val="both"/>
        <w:textAlignment w:val="auto"/>
        <w:rPr>
          <w:rFonts w:hint="default" w:ascii="仿宋_GB2312" w:hAnsi="仿宋_GB2312" w:eastAsia="仿宋_GB2312" w:cs="仿宋_GB2312"/>
          <w:b w:val="0"/>
          <w:bCs w:val="0"/>
          <w:color w:val="auto"/>
          <w:kern w:val="21"/>
          <w:sz w:val="32"/>
          <w:szCs w:val="32"/>
          <w:lang w:val="en-US" w:eastAsia="zh-CN"/>
        </w:rPr>
      </w:pPr>
      <w:r>
        <w:rPr>
          <w:rFonts w:hint="eastAsia" w:ascii="仿宋_GB2312" w:hAnsi="仿宋_GB2312" w:eastAsia="仿宋_GB2312" w:cs="仿宋_GB2312"/>
          <w:b w:val="0"/>
          <w:bCs w:val="0"/>
          <w:color w:val="auto"/>
          <w:kern w:val="21"/>
          <w:sz w:val="32"/>
          <w:szCs w:val="32"/>
          <w:lang w:val="en-US" w:eastAsia="zh-CN"/>
        </w:rPr>
        <w:t>2022年度主要目标任务一是完成村级防疫员县级配套资金的发放，二是完成养殖环节、屠宰环节病死猪无害化处理，三是完成长江流域渔政巡护工作，四是完成农产品质量安全监测工作，年度总体目标为大力实施乡村振兴工作，稳定生猪生产保障市场供应，完成重大动物疫病防控及农产品质检测等，依托现代农业特色高效发展，建好现代农业产业园区，增加农民收入。</w:t>
      </w:r>
    </w:p>
    <w:p>
      <w:pPr>
        <w:keepNext w:val="0"/>
        <w:keepLines w:val="0"/>
        <w:pageBreakBefore w:val="0"/>
        <w:widowControl/>
        <w:numPr>
          <w:ilvl w:val="0"/>
          <w:numId w:val="2"/>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leftChars="0" w:firstLine="640" w:firstLineChars="200"/>
        <w:jc w:val="both"/>
        <w:textAlignment w:val="auto"/>
        <w:rPr>
          <w:rFonts w:hint="eastAsia"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部门财政资金收支情况</w:t>
      </w:r>
    </w:p>
    <w:p>
      <w:pPr>
        <w:keepNext w:val="0"/>
        <w:keepLines w:val="0"/>
        <w:pageBreakBefore w:val="0"/>
        <w:widowControl/>
        <w:numPr>
          <w:ilvl w:val="0"/>
          <w:numId w:val="3"/>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left="320" w:hanging="320" w:hangingChars="100"/>
        <w:jc w:val="left"/>
        <w:textAlignment w:val="auto"/>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部门财政资金收入情况。</w:t>
      </w:r>
      <w:r>
        <w:rPr>
          <w:rFonts w:hint="eastAsia" w:ascii="楷体_GB2312" w:hAnsi="宋体" w:eastAsia="楷体_GB2312" w:cs="宋体"/>
          <w:color w:val="000000"/>
          <w:kern w:val="0"/>
          <w:szCs w:val="32"/>
          <w:shd w:val="clear" w:color="auto" w:fill="FFFFFF"/>
          <w:lang w:val="en-US" w:eastAsia="zh-CN"/>
        </w:rPr>
        <w:t xml:space="preserve">                             </w:t>
      </w:r>
    </w:p>
    <w:p>
      <w:pPr>
        <w:keepNext w:val="0"/>
        <w:keepLines w:val="0"/>
        <w:pageBreakBefore w:val="0"/>
        <w:widowControl/>
        <w:numPr>
          <w:ilvl w:val="0"/>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firstLine="600" w:firstLineChars="200"/>
        <w:jc w:val="left"/>
        <w:textAlignment w:val="auto"/>
        <w:rPr>
          <w:rFonts w:hint="eastAsia" w:ascii="仿宋_GB2312" w:hAnsi="宋体" w:cs="宋体"/>
          <w:color w:val="000000" w:themeColor="text1"/>
          <w:kern w:val="0"/>
          <w:szCs w:val="32"/>
          <w:shd w:val="clear" w:color="auto" w:fill="FFFFFF"/>
          <w:lang w:val="en-US" w:eastAsia="zh-CN"/>
          <w14:textFill>
            <w14:solidFill>
              <w14:schemeClr w14:val="tx1"/>
            </w14:solidFill>
          </w14:textFill>
        </w:rPr>
      </w:pPr>
      <w:r>
        <w:rPr>
          <w:rFonts w:hint="eastAsia" w:ascii="仿宋" w:hAnsi="仿宋" w:eastAsia="仿宋" w:cs="仿宋"/>
          <w:color w:val="000000"/>
          <w:kern w:val="0"/>
          <w:sz w:val="30"/>
          <w:szCs w:val="30"/>
          <w:shd w:val="clear" w:color="auto" w:fill="FFFFFF"/>
          <w:lang w:val="en-US" w:eastAsia="zh-CN"/>
        </w:rPr>
        <w:t>峨边彝族自治县农业农村局2022年财政拨款预算收入</w:t>
      </w:r>
      <w:r>
        <w:rPr>
          <w:rFonts w:hint="eastAsia" w:ascii="仿宋" w:hAnsi="仿宋" w:eastAsia="仿宋" w:cs="仿宋"/>
          <w:color w:val="000000" w:themeColor="text1"/>
          <w:kern w:val="0"/>
          <w:sz w:val="30"/>
          <w:szCs w:val="30"/>
          <w:shd w:val="clear" w:color="auto" w:fill="FFFFFF"/>
          <w:lang w:val="en-US" w:eastAsia="zh-CN"/>
          <w14:textFill>
            <w14:solidFill>
              <w14:schemeClr w14:val="tx1"/>
            </w14:solidFill>
          </w14:textFill>
        </w:rPr>
        <w:t>10629.99万元，其中一般公共预算资金10621.62万元，基金预算8.37万元</w:t>
      </w:r>
      <w:r>
        <w:rPr>
          <w:rFonts w:hint="eastAsia" w:ascii="仿宋_GB2312" w:hAnsi="宋体" w:cs="宋体"/>
          <w:color w:val="000000" w:themeColor="text1"/>
          <w:kern w:val="0"/>
          <w:szCs w:val="32"/>
          <w:shd w:val="clear" w:color="auto" w:fill="FFFFFF"/>
          <w:lang w:val="en-US" w:eastAsia="zh-CN"/>
          <w14:textFill>
            <w14:solidFill>
              <w14:schemeClr w14:val="tx1"/>
            </w14:solidFill>
          </w14:textFill>
        </w:rPr>
        <w:t>。</w:t>
      </w:r>
    </w:p>
    <w:p>
      <w:pPr>
        <w:keepNext w:val="0"/>
        <w:keepLines w:val="0"/>
        <w:pageBreakBefore w:val="0"/>
        <w:widowControl/>
        <w:numPr>
          <w:ilvl w:val="0"/>
          <w:numId w:val="4"/>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firstLine="320" w:firstLineChars="100"/>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keepNext w:val="0"/>
        <w:keepLines w:val="0"/>
        <w:pageBreakBefore w:val="0"/>
        <w:widowControl/>
        <w:numPr>
          <w:ilvl w:val="0"/>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firstLine="600" w:firstLineChars="200"/>
        <w:jc w:val="left"/>
        <w:textAlignment w:val="auto"/>
        <w:rPr>
          <w:rFonts w:hint="eastAsia" w:ascii="仿宋" w:hAnsi="仿宋" w:eastAsia="仿宋" w:cs="仿宋"/>
          <w:color w:val="auto"/>
          <w:kern w:val="0"/>
          <w:sz w:val="30"/>
          <w:szCs w:val="30"/>
          <w:shd w:val="clear" w:color="auto" w:fill="FFFFFF"/>
          <w:lang w:val="en-US" w:eastAsia="zh-CN"/>
        </w:rPr>
      </w:pPr>
      <w:r>
        <w:rPr>
          <w:rFonts w:hint="eastAsia" w:ascii="仿宋" w:hAnsi="仿宋" w:eastAsia="仿宋" w:cs="仿宋"/>
          <w:color w:val="000000"/>
          <w:kern w:val="0"/>
          <w:sz w:val="30"/>
          <w:szCs w:val="30"/>
          <w:shd w:val="clear" w:color="auto" w:fill="FFFFFF"/>
          <w:lang w:val="en-US" w:eastAsia="zh-CN"/>
        </w:rPr>
        <w:t>2022年我局本年财政拨款12930.05万元。</w:t>
      </w:r>
      <w:r>
        <w:rPr>
          <w:rFonts w:hint="eastAsia" w:ascii="仿宋" w:hAnsi="仿宋" w:eastAsia="仿宋" w:cs="仿宋"/>
          <w:color w:val="000000"/>
          <w:kern w:val="0"/>
          <w:sz w:val="30"/>
          <w:szCs w:val="30"/>
          <w:shd w:val="clear" w:color="auto" w:fill="FFFFFF"/>
          <w:lang w:val="zh-CN"/>
        </w:rPr>
        <w:t>基本支出</w:t>
      </w:r>
      <w:r>
        <w:rPr>
          <w:rFonts w:hint="eastAsia" w:ascii="仿宋" w:hAnsi="仿宋" w:eastAsia="仿宋" w:cs="仿宋"/>
          <w:color w:val="000000" w:themeColor="text1"/>
          <w:kern w:val="0"/>
          <w:sz w:val="30"/>
          <w:szCs w:val="30"/>
          <w:shd w:val="clear" w:color="auto" w:fill="FFFFFF"/>
          <w:lang w:val="en-US" w:eastAsia="zh-CN"/>
          <w14:textFill>
            <w14:solidFill>
              <w14:schemeClr w14:val="tx1"/>
            </w14:solidFill>
          </w14:textFill>
        </w:rPr>
        <w:t>2572.07万元，项目支出10357.98万元</w:t>
      </w:r>
      <w:r>
        <w:rPr>
          <w:rFonts w:hint="eastAsia" w:ascii="仿宋" w:hAnsi="仿宋" w:eastAsia="仿宋" w:cs="仿宋"/>
          <w:color w:val="000000"/>
          <w:kern w:val="0"/>
          <w:sz w:val="30"/>
          <w:szCs w:val="30"/>
          <w:shd w:val="clear" w:color="auto" w:fill="FFFFFF"/>
          <w:lang w:val="en-US" w:eastAsia="zh-CN"/>
        </w:rPr>
        <w:t>。其中项目</w:t>
      </w:r>
      <w:r>
        <w:rPr>
          <w:rFonts w:hint="eastAsia" w:ascii="仿宋" w:hAnsi="仿宋" w:eastAsia="仿宋" w:cs="仿宋"/>
          <w:color w:val="C00000"/>
          <w:kern w:val="0"/>
          <w:sz w:val="30"/>
          <w:szCs w:val="30"/>
          <w:shd w:val="clear" w:color="auto" w:fill="FFFFFF"/>
          <w:lang w:val="en-US" w:eastAsia="zh-CN"/>
        </w:rPr>
        <w:t>12</w:t>
      </w:r>
      <w:r>
        <w:rPr>
          <w:rFonts w:hint="eastAsia" w:ascii="仿宋" w:hAnsi="仿宋" w:eastAsia="仿宋" w:cs="仿宋"/>
          <w:color w:val="000000"/>
          <w:kern w:val="0"/>
          <w:sz w:val="30"/>
          <w:szCs w:val="30"/>
          <w:shd w:val="clear" w:color="auto" w:fill="FFFFFF"/>
          <w:lang w:val="en-US" w:eastAsia="zh-CN"/>
        </w:rPr>
        <w:t>个，具体支出为：</w:t>
      </w:r>
      <w:r>
        <w:rPr>
          <w:rFonts w:hint="eastAsia" w:ascii="仿宋" w:hAnsi="仿宋" w:eastAsia="仿宋" w:cs="仿宋"/>
          <w:color w:val="auto"/>
          <w:kern w:val="0"/>
          <w:sz w:val="30"/>
          <w:szCs w:val="30"/>
          <w:shd w:val="clear" w:color="auto" w:fill="FFFFFF"/>
          <w:lang w:val="en-US" w:eastAsia="zh-CN"/>
        </w:rPr>
        <w:t>一是2022年村级防疫员县级配套8万元;二是2022年重大动物免疫死亡、免疫反应经费0.2万元；三是农产品质量安全监管示范县运行经费27.55万元，四是岷江流域重点水域检测项目9.8万元，五是农村集体资产股份制改革系统5.21万元，六是农村基础设施建设支出8.37万元，七是农业生产发展1361万元，八是农业资源保护修复与利用16.24万元，九是农田建设316.29万元，十是其他农业农村支出2352.15万元，十一是巩固脱贫衔接乡村振兴6231.64万元，十二是其他目标价格补贴21.53万元。</w:t>
      </w:r>
    </w:p>
    <w:p>
      <w:pPr>
        <w:keepNext w:val="0"/>
        <w:keepLines w:val="0"/>
        <w:pageBreakBefore w:val="0"/>
        <w:widowControl/>
        <w:numPr>
          <w:ilvl w:val="0"/>
          <w:numId w:val="3"/>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left="320" w:leftChars="0" w:hanging="320" w:hangingChars="100"/>
        <w:jc w:val="both"/>
        <w:textAlignment w:val="auto"/>
        <w:rPr>
          <w:rFonts w:hint="eastAsia" w:ascii="仿宋" w:hAnsi="仿宋" w:eastAsia="仿宋" w:cs="仿宋"/>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部门财政资金结转结余情况。</w:t>
      </w:r>
    </w:p>
    <w:p>
      <w:pPr>
        <w:keepNext w:val="0"/>
        <w:keepLines w:val="0"/>
        <w:pageBreakBefore w:val="0"/>
        <w:widowControl/>
        <w:numPr>
          <w:ilvl w:val="0"/>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firstLine="640" w:firstLineChars="200"/>
        <w:jc w:val="both"/>
        <w:textAlignment w:val="auto"/>
        <w:rPr>
          <w:rFonts w:hint="eastAsia" w:ascii="仿宋" w:hAnsi="仿宋" w:eastAsia="仿宋" w:cs="仿宋"/>
          <w:color w:val="000000"/>
          <w:kern w:val="0"/>
          <w:szCs w:val="32"/>
          <w:shd w:val="clear" w:color="auto" w:fill="FFFFFF"/>
          <w:lang w:val="en-US" w:eastAsia="zh-CN"/>
        </w:rPr>
      </w:pPr>
      <w:r>
        <w:rPr>
          <w:rFonts w:hint="eastAsia" w:ascii="仿宋" w:hAnsi="仿宋" w:eastAsia="仿宋" w:cs="仿宋"/>
          <w:color w:val="000000"/>
          <w:kern w:val="0"/>
          <w:szCs w:val="32"/>
          <w:shd w:val="clear" w:color="auto" w:fill="FFFFFF"/>
          <w:lang w:val="en-US" w:eastAsia="zh-CN"/>
        </w:rPr>
        <w:t>2022年末，财政资金结转结金额为456.01万元，涉及项目有12 个，一是农村基础设施建设支出59.90万元。二是一般行政管理事务12.89万元。三是科技转化与推广服务支出135.37万元。四是病虫害防治支出19.99万元。五是执法监管支出3.62万元。六是防灾减灾支出15.09万元。七是农业生产发展支出5.35万元。八是农村合作经济支出89万元。九是农村社会事业支出24.8万元。十是农业资源保护修复与利用支出0.41万元。十一是农村道路建设支出10.20万元。十二是其他农业农村支出79.39万元。</w:t>
      </w:r>
    </w:p>
    <w:p>
      <w:pPr>
        <w:keepNext w:val="0"/>
        <w:keepLines w:val="0"/>
        <w:pageBreakBefore w:val="0"/>
        <w:widowControl/>
        <w:numPr>
          <w:ilvl w:val="0"/>
          <w:numId w:val="2"/>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left="0" w:leftChars="0" w:firstLine="640" w:firstLineChars="200"/>
        <w:jc w:val="both"/>
        <w:textAlignment w:val="auto"/>
        <w:rPr>
          <w:rFonts w:hint="eastAsia" w:ascii="仿宋" w:hAnsi="仿宋" w:eastAsia="仿宋" w:cs="仿宋"/>
          <w:color w:val="000000"/>
          <w:kern w:val="0"/>
          <w:sz w:val="30"/>
          <w:szCs w:val="30"/>
          <w:shd w:val="clear" w:color="auto" w:fill="FFFFFF"/>
          <w:lang w:val="zh-CN"/>
        </w:rPr>
      </w:pPr>
      <w:r>
        <w:rPr>
          <w:rFonts w:hint="eastAsia" w:ascii="黑体" w:hAnsi="黑体" w:eastAsia="黑体" w:cs="宋体"/>
          <w:color w:val="000000"/>
          <w:kern w:val="0"/>
          <w:szCs w:val="32"/>
          <w:shd w:val="clear" w:color="auto" w:fill="FFFFFF"/>
        </w:rPr>
        <w:t>部门整体绩效管理情况（根据自评体系进行描述）</w:t>
      </w:r>
    </w:p>
    <w:p>
      <w:pPr>
        <w:keepNext w:val="0"/>
        <w:keepLines w:val="0"/>
        <w:pageBreakBefore w:val="0"/>
        <w:widowControl/>
        <w:numPr>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firstLine="640" w:firstLineChars="200"/>
        <w:jc w:val="both"/>
        <w:textAlignment w:val="auto"/>
        <w:rPr>
          <w:rFonts w:hint="eastAsia" w:ascii="仿宋" w:hAnsi="仿宋" w:eastAsia="仿宋" w:cs="仿宋"/>
          <w:color w:val="000000"/>
          <w:kern w:val="0"/>
          <w:sz w:val="30"/>
          <w:szCs w:val="30"/>
          <w:shd w:val="clear" w:color="auto" w:fill="FFFFFF"/>
          <w:lang w:val="en-US" w:eastAsia="zh-CN"/>
        </w:rPr>
      </w:pPr>
      <w:r>
        <w:rPr>
          <w:rFonts w:hint="eastAsia" w:ascii="楷体_GB2312" w:hAnsi="宋体" w:eastAsia="楷体_GB2312" w:cs="宋体"/>
          <w:color w:val="000000"/>
          <w:kern w:val="0"/>
          <w:szCs w:val="32"/>
          <w:shd w:val="clear" w:color="auto" w:fill="FFFFFF"/>
          <w:lang w:val="zh-CN"/>
        </w:rPr>
        <w:t>（</w:t>
      </w:r>
      <w:r>
        <w:rPr>
          <w:rFonts w:hint="eastAsia" w:ascii="楷体_GB2312" w:hAnsi="宋体" w:eastAsia="楷体_GB2312" w:cs="宋体"/>
          <w:color w:val="000000"/>
          <w:kern w:val="0"/>
          <w:szCs w:val="32"/>
          <w:shd w:val="clear" w:color="auto" w:fill="FFFFFF"/>
          <w:lang w:val="en-US" w:eastAsia="zh-CN"/>
        </w:rPr>
        <w:t>一</w:t>
      </w:r>
      <w:r>
        <w:rPr>
          <w:rFonts w:hint="eastAsia" w:ascii="楷体_GB2312" w:hAnsi="宋体" w:eastAsia="楷体_GB2312" w:cs="宋体"/>
          <w:color w:val="000000"/>
          <w:kern w:val="0"/>
          <w:szCs w:val="32"/>
          <w:shd w:val="clear" w:color="auto" w:fill="FFFFFF"/>
          <w:lang w:val="zh-CN"/>
        </w:rPr>
        <w:t>）部门整体履职绩效分析。</w:t>
      </w:r>
    </w:p>
    <w:p>
      <w:pPr>
        <w:keepNext w:val="0"/>
        <w:keepLines w:val="0"/>
        <w:pageBreakBefore w:val="0"/>
        <w:widowControl/>
        <w:numPr>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firstLine="600" w:firstLineChars="200"/>
        <w:jc w:val="both"/>
        <w:textAlignment w:val="auto"/>
        <w:rPr>
          <w:rFonts w:hint="eastAsia" w:ascii="仿宋" w:hAnsi="仿宋" w:eastAsia="仿宋" w:cs="仿宋"/>
          <w:color w:val="000000"/>
          <w:kern w:val="0"/>
          <w:sz w:val="30"/>
          <w:szCs w:val="30"/>
          <w:shd w:val="clear" w:color="auto" w:fill="FFFFFF"/>
          <w:lang w:val="en-US" w:eastAsia="zh-CN"/>
        </w:rPr>
      </w:pPr>
      <w:r>
        <w:rPr>
          <w:rFonts w:hint="eastAsia" w:ascii="仿宋" w:hAnsi="仿宋" w:eastAsia="仿宋" w:cs="仿宋"/>
          <w:color w:val="000000"/>
          <w:kern w:val="0"/>
          <w:sz w:val="30"/>
          <w:szCs w:val="30"/>
          <w:shd w:val="clear" w:color="auto" w:fill="FFFFFF"/>
          <w:lang w:val="en-US" w:eastAsia="zh-CN"/>
        </w:rPr>
        <w:t>项目决策程序规范，项目绩效目标制定符合科学合理、规范完整、量化细化、预算匹配的要求，项目实际列支内容与项目绩效目标设置方向相符，申请项目预算调整是否程序规范，依据充分。</w:t>
      </w:r>
      <w:r>
        <w:rPr>
          <w:rFonts w:hint="eastAsia" w:ascii="仿宋_GB2312" w:hAnsi="仿宋_GB2312" w:eastAsia="仿宋_GB2312" w:cs="仿宋_GB2312"/>
          <w:b w:val="0"/>
          <w:bCs w:val="0"/>
          <w:color w:val="auto"/>
          <w:kern w:val="21"/>
          <w:sz w:val="32"/>
          <w:szCs w:val="32"/>
          <w:lang w:val="en-US" w:eastAsia="zh-CN"/>
        </w:rPr>
        <w:t>预算项目严格按照转移支付管理制度以及资金管理办法规定的范围和标准分配资金，严格按照国库集中支付制度有关规定拨付，严格按照下达预算的科目和本级预算安排的金额执行，没有出现截留、挤占、挪用或擅自调整等问题，在分解下达资金的同时，同步下达预算绩效目标，并开展绩效监控和绩效评价，足额安排资金履行本级支出责任</w:t>
      </w:r>
      <w:r>
        <w:rPr>
          <w:rFonts w:hint="eastAsia" w:ascii="仿宋" w:hAnsi="仿宋" w:eastAsia="仿宋" w:cs="仿宋"/>
          <w:color w:val="000000"/>
          <w:kern w:val="0"/>
          <w:sz w:val="30"/>
          <w:szCs w:val="30"/>
          <w:shd w:val="clear" w:color="auto" w:fill="FFFFFF"/>
          <w:lang w:val="en-US" w:eastAsia="zh-CN"/>
        </w:rPr>
        <w:t>。</w:t>
      </w:r>
    </w:p>
    <w:p>
      <w:pPr>
        <w:keepNext w:val="0"/>
        <w:keepLines w:val="0"/>
        <w:pageBreakBefore w:val="0"/>
        <w:widowControl/>
        <w:numPr>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firstLine="640" w:firstLineChars="200"/>
        <w:jc w:val="both"/>
        <w:textAlignment w:val="auto"/>
        <w:rPr>
          <w:rFonts w:ascii="仿宋_GB2312" w:hAnsi="宋体" w:eastAsia="仿宋_GB2312" w:cs="宋体"/>
          <w:color w:val="000000"/>
          <w:kern w:val="0"/>
          <w:szCs w:val="32"/>
          <w:shd w:val="clear" w:color="auto" w:fill="FFFFFF"/>
          <w:lang w:val="zh-CN"/>
        </w:rPr>
      </w:pPr>
      <w:bookmarkStart w:id="0" w:name="_GoBack"/>
      <w:bookmarkEnd w:id="0"/>
      <w:r>
        <w:rPr>
          <w:rFonts w:hint="eastAsia" w:ascii="楷体_GB2312" w:hAnsi="宋体" w:eastAsia="楷体_GB2312" w:cs="宋体"/>
          <w:color w:val="000000"/>
          <w:kern w:val="0"/>
          <w:szCs w:val="32"/>
          <w:shd w:val="clear" w:color="auto" w:fill="FFFFFF"/>
          <w:lang w:val="zh-CN"/>
        </w:rPr>
        <w:t>（</w:t>
      </w:r>
      <w:r>
        <w:rPr>
          <w:rFonts w:hint="eastAsia" w:ascii="楷体_GB2312" w:hAnsi="宋体" w:eastAsia="楷体_GB2312" w:cs="宋体"/>
          <w:color w:val="000000"/>
          <w:kern w:val="0"/>
          <w:szCs w:val="32"/>
          <w:shd w:val="clear" w:color="auto" w:fill="FFFFFF"/>
          <w:lang w:val="en-US" w:eastAsia="zh-CN"/>
        </w:rPr>
        <w:t>二</w:t>
      </w:r>
      <w:r>
        <w:rPr>
          <w:rFonts w:hint="eastAsia" w:ascii="楷体_GB2312" w:hAnsi="宋体" w:eastAsia="楷体_GB2312" w:cs="宋体"/>
          <w:color w:val="000000"/>
          <w:kern w:val="0"/>
          <w:szCs w:val="32"/>
          <w:shd w:val="clear" w:color="auto" w:fill="FFFFFF"/>
          <w:lang w:val="zh-CN"/>
        </w:rPr>
        <w:t>）特定目标类项目绩效分析。</w:t>
      </w:r>
    </w:p>
    <w:p>
      <w:pPr>
        <w:keepNext w:val="0"/>
        <w:keepLines w:val="0"/>
        <w:pageBreakBefore w:val="0"/>
        <w:widowControl/>
        <w:numPr>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firstLine="640" w:firstLineChars="200"/>
        <w:jc w:val="both"/>
        <w:textAlignment w:val="auto"/>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1.整体情况</w:t>
      </w:r>
    </w:p>
    <w:p>
      <w:pPr>
        <w:keepNext w:val="0"/>
        <w:keepLines w:val="0"/>
        <w:pageBreakBefore w:val="0"/>
        <w:widowControl/>
        <w:numPr>
          <w:numId w:val="0"/>
        </w:numPr>
        <w:pBdr>
          <w:top w:val="single" w:color="FFFFFF" w:sz="4" w:space="0"/>
          <w:left w:val="single" w:color="FFFFFF" w:sz="4" w:space="31"/>
          <w:bottom w:val="single" w:color="FFFFFF" w:sz="4" w:space="31"/>
          <w:right w:val="single" w:color="FFFFFF" w:sz="4" w:space="0"/>
        </w:pBdr>
        <w:kinsoku/>
        <w:wordWrap/>
        <w:overflowPunct/>
        <w:topLinePunct/>
        <w:autoSpaceDE w:val="0"/>
        <w:autoSpaceDN/>
        <w:bidi w:val="0"/>
        <w:adjustRightInd w:val="0"/>
        <w:snapToGrid w:val="0"/>
        <w:spacing w:line="560" w:lineRule="exact"/>
        <w:ind w:firstLine="600" w:firstLineChars="200"/>
        <w:jc w:val="both"/>
        <w:textAlignment w:val="auto"/>
        <w:rPr>
          <w:rFonts w:hint="default"/>
          <w:lang w:val="en-US"/>
        </w:rPr>
      </w:pPr>
      <w:r>
        <w:rPr>
          <w:rFonts w:hint="eastAsia" w:ascii="仿宋" w:hAnsi="仿宋" w:eastAsia="仿宋" w:cs="仿宋"/>
          <w:color w:val="000000"/>
          <w:kern w:val="0"/>
          <w:sz w:val="30"/>
          <w:szCs w:val="30"/>
          <w:shd w:val="clear" w:color="auto" w:fill="FFFFFF"/>
          <w:lang w:val="en-US" w:eastAsia="zh-CN"/>
        </w:rPr>
        <w:t>2022</w:t>
      </w:r>
      <w:r>
        <w:rPr>
          <w:rFonts w:hint="eastAsia" w:ascii="仿宋" w:hAnsi="仿宋" w:eastAsia="仿宋" w:cs="仿宋"/>
          <w:color w:val="000000"/>
          <w:kern w:val="0"/>
          <w:sz w:val="30"/>
          <w:szCs w:val="30"/>
          <w:shd w:val="clear" w:color="auto" w:fill="FFFFFF"/>
          <w:lang w:val="zh-CN"/>
        </w:rPr>
        <w:t>年部门</w:t>
      </w:r>
      <w:r>
        <w:rPr>
          <w:rFonts w:hint="eastAsia" w:ascii="仿宋" w:hAnsi="仿宋" w:eastAsia="仿宋" w:cs="仿宋"/>
          <w:color w:val="000000"/>
          <w:kern w:val="0"/>
          <w:sz w:val="30"/>
          <w:szCs w:val="30"/>
          <w:shd w:val="clear" w:color="auto" w:fill="FFFFFF"/>
          <w:lang w:val="en-US" w:eastAsia="zh-CN"/>
        </w:rPr>
        <w:t>整体绩效目标</w:t>
      </w:r>
      <w:r>
        <w:rPr>
          <w:rFonts w:hint="eastAsia" w:ascii="仿宋_GB2312" w:hAnsi="仿宋_GB2312" w:eastAsia="仿宋_GB2312" w:cs="仿宋_GB2312"/>
          <w:b w:val="0"/>
          <w:bCs w:val="0"/>
          <w:color w:val="auto"/>
          <w:kern w:val="21"/>
          <w:sz w:val="32"/>
          <w:szCs w:val="32"/>
          <w:lang w:val="en-US" w:eastAsia="zh-CN"/>
        </w:rPr>
        <w:t>总体目标为大力实施乡村振兴工作，稳定生猪生产保障市场供应，完成重大动物疫病防控及农产品质检测等，依托现代农业特色高效发展，建好现代农业产业园区，增加农民收入。2022年部门预算项目支出绩效目标编制个数为7个，项目总额为97.6万元，完成部门预算项目支出绩效目标项目个数为5个，中期调整项目个数1个，完成支出50.76万元，支出率为52%，较好地完成了全年目标任务，</w:t>
      </w:r>
      <w:r>
        <w:rPr>
          <w:rFonts w:hint="eastAsia" w:ascii="楷体_GB2312" w:hAnsi="楷体_GB2312" w:eastAsia="楷体_GB2312" w:cs="楷体_GB2312"/>
          <w:b w:val="0"/>
          <w:bCs w:val="0"/>
          <w:color w:val="auto"/>
          <w:kern w:val="21"/>
          <w:sz w:val="32"/>
          <w:szCs w:val="32"/>
          <w:lang w:val="en-US" w:eastAsia="zh-CN"/>
        </w:rPr>
        <w:t>推进农业产业健康发展，</w:t>
      </w:r>
      <w:r>
        <w:rPr>
          <w:rFonts w:hint="eastAsia" w:ascii="楷体_GB2312" w:hAnsi="楷体_GB2312" w:eastAsia="楷体_GB2312" w:cs="楷体_GB2312"/>
          <w:b w:val="0"/>
          <w:bCs w:val="0"/>
          <w:color w:val="auto"/>
          <w:kern w:val="0"/>
          <w:sz w:val="32"/>
          <w:szCs w:val="32"/>
          <w:lang w:val="en-US" w:eastAsia="zh-CN"/>
        </w:rPr>
        <w:t>持续推进乡村全面振兴，增加了农民收入，农民群众满意度达92%以上，无违规违纪记录。</w:t>
      </w:r>
    </w:p>
    <w:p>
      <w:pPr>
        <w:pStyle w:val="2"/>
        <w:numPr>
          <w:numId w:val="0"/>
        </w:numPr>
        <w:ind w:leftChars="200"/>
        <w:jc w:val="both"/>
        <w:rPr>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w:t>
      </w:r>
    </w:p>
    <w:p>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Cs w:val="32"/>
          <w:shd w:val="clear" w:color="auto" w:fill="FFFFFF"/>
          <w:lang w:val="en-US"/>
        </w:rPr>
      </w:pPr>
      <w:r>
        <w:rPr>
          <w:rFonts w:hint="eastAsia" w:ascii="仿宋_GB2312" w:hAnsi="仿宋_GB2312" w:eastAsia="仿宋_GB2312" w:cs="仿宋_GB2312"/>
          <w:b w:val="0"/>
          <w:bCs w:val="0"/>
          <w:color w:val="auto"/>
          <w:kern w:val="21"/>
          <w:sz w:val="32"/>
          <w:szCs w:val="32"/>
          <w:lang w:val="en-US" w:eastAsia="zh-CN"/>
        </w:rPr>
        <w:t>2022年部门预算项目支出绩效目标100万以上项目无。</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00" w:firstLineChars="200"/>
        <w:contextualSpacing/>
        <w:jc w:val="left"/>
        <w:rPr>
          <w:rFonts w:hint="eastAsia" w:ascii="仿宋" w:hAnsi="仿宋" w:eastAsia="仿宋" w:cs="仿宋"/>
          <w:color w:val="000000"/>
          <w:kern w:val="0"/>
          <w:sz w:val="30"/>
          <w:szCs w:val="30"/>
          <w:shd w:val="clear" w:color="auto" w:fill="FFFFFF"/>
          <w:lang w:val="zh-CN"/>
        </w:rPr>
      </w:pPr>
      <w:r>
        <w:rPr>
          <w:rFonts w:hint="eastAsia" w:ascii="仿宋" w:hAnsi="仿宋" w:eastAsia="仿宋" w:cs="仿宋"/>
          <w:color w:val="000000"/>
          <w:kern w:val="0"/>
          <w:sz w:val="30"/>
          <w:szCs w:val="30"/>
          <w:shd w:val="clear" w:color="auto" w:fill="FFFFFF"/>
          <w:lang w:val="en-US" w:eastAsia="zh-CN"/>
        </w:rPr>
        <w:t>2021</w:t>
      </w:r>
      <w:r>
        <w:rPr>
          <w:rFonts w:hint="eastAsia" w:ascii="仿宋" w:hAnsi="仿宋" w:eastAsia="仿宋" w:cs="仿宋"/>
          <w:color w:val="000000"/>
          <w:kern w:val="0"/>
          <w:sz w:val="30"/>
          <w:szCs w:val="30"/>
          <w:shd w:val="clear" w:color="auto" w:fill="FFFFFF"/>
          <w:lang w:val="zh-CN"/>
        </w:rPr>
        <w:t>年我局部门财政资金收入为</w:t>
      </w:r>
      <w:r>
        <w:rPr>
          <w:rFonts w:hint="eastAsia" w:ascii="仿宋" w:hAnsi="仿宋" w:eastAsia="仿宋" w:cs="仿宋"/>
          <w:color w:val="000000"/>
          <w:kern w:val="0"/>
          <w:sz w:val="30"/>
          <w:szCs w:val="30"/>
          <w:shd w:val="clear" w:color="auto" w:fill="FFFFFF"/>
          <w:lang w:val="en-US" w:eastAsia="zh-CN"/>
        </w:rPr>
        <w:t>10629.99</w:t>
      </w:r>
      <w:r>
        <w:rPr>
          <w:rFonts w:hint="eastAsia" w:ascii="仿宋" w:hAnsi="仿宋" w:eastAsia="仿宋" w:cs="仿宋"/>
          <w:color w:val="000000"/>
          <w:kern w:val="0"/>
          <w:sz w:val="30"/>
          <w:szCs w:val="30"/>
          <w:shd w:val="clear" w:color="auto" w:fill="FFFFFF"/>
          <w:lang w:val="zh-CN"/>
        </w:rPr>
        <w:t>万元，支出为</w:t>
      </w:r>
      <w:r>
        <w:rPr>
          <w:rFonts w:hint="eastAsia" w:ascii="仿宋" w:hAnsi="仿宋" w:eastAsia="仿宋" w:cs="仿宋"/>
          <w:color w:val="000000" w:themeColor="text1"/>
          <w:kern w:val="0"/>
          <w:sz w:val="30"/>
          <w:szCs w:val="30"/>
          <w:shd w:val="clear" w:color="auto" w:fill="FFFFFF"/>
          <w:lang w:val="en-US" w:eastAsia="zh-CN"/>
          <w14:textFill>
            <w14:solidFill>
              <w14:schemeClr w14:val="tx1"/>
            </w14:solidFill>
          </w14:textFill>
        </w:rPr>
        <w:t>10357.98</w:t>
      </w:r>
      <w:r>
        <w:rPr>
          <w:rFonts w:hint="eastAsia" w:ascii="仿宋" w:hAnsi="仿宋" w:eastAsia="仿宋" w:cs="仿宋"/>
          <w:color w:val="000000"/>
          <w:kern w:val="0"/>
          <w:sz w:val="30"/>
          <w:szCs w:val="30"/>
          <w:shd w:val="clear" w:color="auto" w:fill="FFFFFF"/>
          <w:lang w:val="zh-CN"/>
        </w:rPr>
        <w:t>万元，预算执行情况为</w:t>
      </w:r>
      <w:r>
        <w:rPr>
          <w:rFonts w:hint="eastAsia" w:ascii="仿宋" w:hAnsi="仿宋" w:eastAsia="仿宋" w:cs="仿宋"/>
          <w:color w:val="000000"/>
          <w:kern w:val="0"/>
          <w:sz w:val="30"/>
          <w:szCs w:val="30"/>
          <w:shd w:val="clear" w:color="auto" w:fill="FFFFFF"/>
          <w:lang w:val="en-US" w:eastAsia="zh-CN"/>
        </w:rPr>
        <w:t>97.44%</w:t>
      </w:r>
      <w:r>
        <w:rPr>
          <w:rFonts w:hint="eastAsia" w:ascii="仿宋" w:hAnsi="仿宋" w:eastAsia="仿宋" w:cs="仿宋"/>
          <w:color w:val="000000"/>
          <w:kern w:val="0"/>
          <w:sz w:val="30"/>
          <w:szCs w:val="30"/>
          <w:shd w:val="clear" w:color="auto" w:fill="FFFFFF"/>
          <w:lang w:val="zh-CN"/>
        </w:rPr>
        <w:t>，较好地完成了县委政府下达的目标任务，部门支出自评质量高，绩效目标及时公开，社会反映良好。</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00" w:firstLineChars="200"/>
        <w:contextualSpacing/>
        <w:jc w:val="left"/>
        <w:rPr>
          <w:rFonts w:hint="eastAsia"/>
          <w:lang w:val="zh-CN"/>
        </w:rPr>
      </w:pPr>
      <w:r>
        <w:rPr>
          <w:rFonts w:hint="eastAsia" w:ascii="仿宋" w:hAnsi="仿宋" w:eastAsia="仿宋" w:cs="仿宋"/>
          <w:color w:val="000000"/>
          <w:kern w:val="0"/>
          <w:sz w:val="30"/>
          <w:szCs w:val="30"/>
          <w:shd w:val="clear" w:color="auto" w:fill="FFFFFF"/>
          <w:lang w:val="zh-CN"/>
        </w:rPr>
        <w:t>根据《峨边彝族自治县财政局 关于开展20</w:t>
      </w:r>
      <w:r>
        <w:rPr>
          <w:rFonts w:hint="eastAsia" w:ascii="仿宋" w:hAnsi="仿宋" w:eastAsia="仿宋" w:cs="仿宋"/>
          <w:color w:val="000000"/>
          <w:kern w:val="0"/>
          <w:sz w:val="30"/>
          <w:szCs w:val="30"/>
          <w:shd w:val="clear" w:color="auto" w:fill="FFFFFF"/>
          <w:lang w:val="en-US" w:eastAsia="zh-CN"/>
        </w:rPr>
        <w:t>22</w:t>
      </w:r>
      <w:r>
        <w:rPr>
          <w:rFonts w:hint="eastAsia" w:ascii="仿宋" w:hAnsi="仿宋" w:eastAsia="仿宋" w:cs="仿宋"/>
          <w:color w:val="000000"/>
          <w:kern w:val="0"/>
          <w:sz w:val="30"/>
          <w:szCs w:val="30"/>
          <w:shd w:val="clear" w:color="auto" w:fill="FFFFFF"/>
          <w:lang w:val="zh-CN"/>
        </w:rPr>
        <w:t>年财政绩效评价工作的通知》文件精神，</w:t>
      </w:r>
      <w:r>
        <w:rPr>
          <w:rFonts w:hint="eastAsia" w:ascii="仿宋" w:hAnsi="仿宋" w:eastAsia="仿宋" w:cs="仿宋"/>
          <w:color w:val="000000"/>
          <w:kern w:val="0"/>
          <w:sz w:val="30"/>
          <w:szCs w:val="30"/>
          <w:shd w:val="clear" w:color="auto" w:fill="FFFFFF"/>
          <w:lang w:val="en-US" w:eastAsia="zh-CN"/>
        </w:rPr>
        <w:t>峨边彝族自治县农业农村局认真组织开展了部门整体支出绩效评价工作，绩效评价</w:t>
      </w:r>
      <w:r>
        <w:rPr>
          <w:rFonts w:hint="eastAsia" w:ascii="仿宋" w:hAnsi="仿宋" w:eastAsia="仿宋" w:cs="仿宋"/>
          <w:color w:val="000000"/>
          <w:kern w:val="0"/>
          <w:sz w:val="30"/>
          <w:szCs w:val="30"/>
          <w:shd w:val="clear" w:color="auto" w:fill="FFFFFF"/>
          <w:lang w:val="zh-CN"/>
        </w:rPr>
        <w:t>得分：</w:t>
      </w:r>
      <w:r>
        <w:rPr>
          <w:rFonts w:hint="eastAsia" w:ascii="仿宋" w:hAnsi="仿宋" w:eastAsia="仿宋" w:cs="仿宋"/>
          <w:color w:val="000000"/>
          <w:kern w:val="0"/>
          <w:sz w:val="30"/>
          <w:szCs w:val="30"/>
          <w:shd w:val="clear" w:color="auto" w:fill="FFFFFF"/>
          <w:lang w:val="en-US" w:eastAsia="zh-CN"/>
        </w:rPr>
        <w:t xml:space="preserve"> 94.5 </w:t>
      </w:r>
      <w:r>
        <w:rPr>
          <w:rFonts w:hint="eastAsia" w:ascii="仿宋" w:hAnsi="仿宋" w:eastAsia="仿宋" w:cs="仿宋"/>
          <w:color w:val="000000"/>
          <w:kern w:val="0"/>
          <w:sz w:val="30"/>
          <w:szCs w:val="30"/>
          <w:shd w:val="clear" w:color="auto" w:fill="FFFFFF"/>
          <w:lang w:val="zh-CN"/>
        </w:rPr>
        <w:t>分</w:t>
      </w:r>
    </w:p>
    <w:p>
      <w:pPr>
        <w:widowControl/>
        <w:numPr>
          <w:numId w:val="0"/>
        </w:numPr>
        <w:adjustRightInd w:val="0"/>
        <w:snapToGrid w:val="0"/>
        <w:spacing w:line="580" w:lineRule="exact"/>
        <w:ind w:firstLine="640" w:firstLineChars="200"/>
        <w:contextualSpacing/>
        <w:jc w:val="left"/>
        <w:rPr>
          <w:lang w:val="zh-CN"/>
        </w:rPr>
      </w:pPr>
      <w:r>
        <w:rPr>
          <w:rFonts w:hint="eastAsia" w:ascii="楷体_GB2312" w:hAnsi="宋体" w:eastAsia="楷体_GB2312" w:cs="宋体"/>
          <w:color w:val="000000"/>
          <w:kern w:val="0"/>
          <w:szCs w:val="32"/>
          <w:shd w:val="clear" w:color="auto" w:fill="FFFFFF"/>
          <w:lang w:val="zh-CN"/>
        </w:rPr>
        <w:t>（</w:t>
      </w:r>
      <w:r>
        <w:rPr>
          <w:rFonts w:hint="eastAsia" w:ascii="楷体_GB2312" w:hAnsi="宋体" w:eastAsia="楷体_GB2312" w:cs="宋体"/>
          <w:color w:val="000000"/>
          <w:kern w:val="0"/>
          <w:szCs w:val="32"/>
          <w:shd w:val="clear" w:color="auto" w:fill="FFFFFF"/>
          <w:lang w:val="en-US" w:eastAsia="zh-CN"/>
        </w:rPr>
        <w:t>二</w:t>
      </w:r>
      <w:r>
        <w:rPr>
          <w:rFonts w:hint="eastAsia" w:ascii="楷体_GB2312" w:hAnsi="宋体" w:eastAsia="楷体_GB2312" w:cs="宋体"/>
          <w:color w:val="000000"/>
          <w:kern w:val="0"/>
          <w:szCs w:val="32"/>
          <w:shd w:val="clear" w:color="auto" w:fill="FFFFFF"/>
          <w:lang w:val="zh-CN"/>
        </w:rPr>
        <w:t>）存在问题。</w:t>
      </w:r>
    </w:p>
    <w:p>
      <w:pPr>
        <w:widowControl/>
        <w:numPr>
          <w:numId w:val="0"/>
        </w:numPr>
        <w:adjustRightInd w:val="0"/>
        <w:snapToGrid w:val="0"/>
        <w:spacing w:line="580" w:lineRule="exact"/>
        <w:ind w:leftChars="200"/>
        <w:contextualSpacing/>
        <w:jc w:val="left"/>
        <w:rPr>
          <w:lang w:val="zh-CN"/>
        </w:rPr>
      </w:pPr>
      <w:r>
        <w:rPr>
          <w:rFonts w:hint="eastAsia" w:ascii="仿宋" w:hAnsi="仿宋" w:eastAsia="仿宋" w:cs="仿宋"/>
          <w:color w:val="000000"/>
          <w:kern w:val="0"/>
          <w:szCs w:val="32"/>
          <w:shd w:val="clear" w:color="auto" w:fill="FFFFFF"/>
          <w:lang w:val="zh-CN"/>
        </w:rPr>
        <w:t>在编制项目预算时，政府支出经济科目中期调整比较多。</w:t>
      </w:r>
    </w:p>
    <w:p>
      <w:pPr>
        <w:widowControl/>
        <w:numPr>
          <w:numId w:val="0"/>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w:t>
      </w:r>
      <w:r>
        <w:rPr>
          <w:rFonts w:hint="eastAsia" w:ascii="楷体_GB2312" w:hAnsi="宋体" w:eastAsia="楷体_GB2312" w:cs="宋体"/>
          <w:color w:val="000000"/>
          <w:kern w:val="0"/>
          <w:szCs w:val="32"/>
          <w:shd w:val="clear" w:color="auto" w:fill="FFFFFF"/>
          <w:lang w:val="en-US" w:eastAsia="zh-CN"/>
        </w:rPr>
        <w:t>三</w:t>
      </w:r>
      <w:r>
        <w:rPr>
          <w:rFonts w:hint="eastAsia" w:ascii="楷体_GB2312" w:hAnsi="宋体" w:eastAsia="楷体_GB2312" w:cs="宋体"/>
          <w:color w:val="000000"/>
          <w:kern w:val="0"/>
          <w:szCs w:val="32"/>
          <w:shd w:val="clear" w:color="auto" w:fill="FFFFFF"/>
          <w:lang w:val="zh-CN"/>
        </w:rPr>
        <w:t>）改进建议。</w:t>
      </w:r>
    </w:p>
    <w:p>
      <w:pPr>
        <w:widowControl/>
        <w:numPr>
          <w:numId w:val="0"/>
        </w:numPr>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加大对预算的科学化、精细化管理，进一步使项目支出更科学，更严谨。</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C7A3A2"/>
    <w:multiLevelType w:val="singleLevel"/>
    <w:tmpl w:val="AEC7A3A2"/>
    <w:lvl w:ilvl="0" w:tentative="0">
      <w:start w:val="2"/>
      <w:numFmt w:val="chineseCounting"/>
      <w:suff w:val="nothing"/>
      <w:lvlText w:val="%1、"/>
      <w:lvlJc w:val="left"/>
      <w:rPr>
        <w:rFonts w:hint="eastAsia"/>
      </w:rPr>
    </w:lvl>
  </w:abstractNum>
  <w:abstractNum w:abstractNumId="1">
    <w:nsid w:val="AFDCADFA"/>
    <w:multiLevelType w:val="singleLevel"/>
    <w:tmpl w:val="AFDCADFA"/>
    <w:lvl w:ilvl="0" w:tentative="0">
      <w:start w:val="1"/>
      <w:numFmt w:val="chineseCounting"/>
      <w:suff w:val="nothing"/>
      <w:lvlText w:val="（%1）"/>
      <w:lvlJc w:val="left"/>
      <w:rPr>
        <w:rFonts w:hint="eastAsia"/>
      </w:rPr>
    </w:lvl>
  </w:abstractNum>
  <w:abstractNum w:abstractNumId="2">
    <w:nsid w:val="C4643354"/>
    <w:multiLevelType w:val="singleLevel"/>
    <w:tmpl w:val="C4643354"/>
    <w:lvl w:ilvl="0" w:tentative="0">
      <w:start w:val="2"/>
      <w:numFmt w:val="chineseCounting"/>
      <w:lvlText w:val="(%1)"/>
      <w:lvlJc w:val="left"/>
      <w:pPr>
        <w:tabs>
          <w:tab w:val="left" w:pos="312"/>
        </w:tabs>
      </w:pPr>
      <w:rPr>
        <w:rFonts w:hint="eastAsia"/>
      </w:rPr>
    </w:lvl>
  </w:abstractNum>
  <w:abstractNum w:abstractNumId="3">
    <w:nsid w:val="F5D413DC"/>
    <w:multiLevelType w:val="singleLevel"/>
    <w:tmpl w:val="F5D413DC"/>
    <w:lvl w:ilvl="0" w:tentative="0">
      <w:start w:val="2"/>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iYjMyZDk3ODg0YWRkM2ZkOGM4NDZkOWFhZDFjYWI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ADB7BF0"/>
    <w:rsid w:val="0E582A9A"/>
    <w:rsid w:val="104D1088"/>
    <w:rsid w:val="18D17537"/>
    <w:rsid w:val="19927F78"/>
    <w:rsid w:val="21AE59D8"/>
    <w:rsid w:val="25DD0E81"/>
    <w:rsid w:val="26DA1226"/>
    <w:rsid w:val="286F56EA"/>
    <w:rsid w:val="2D527252"/>
    <w:rsid w:val="31DF3AD6"/>
    <w:rsid w:val="329102D6"/>
    <w:rsid w:val="36C00EA1"/>
    <w:rsid w:val="3A9520B3"/>
    <w:rsid w:val="3DE562B7"/>
    <w:rsid w:val="3E6507EA"/>
    <w:rsid w:val="40A740DE"/>
    <w:rsid w:val="419B493A"/>
    <w:rsid w:val="47550EBA"/>
    <w:rsid w:val="49FF6E63"/>
    <w:rsid w:val="4BE60F1D"/>
    <w:rsid w:val="50BB3388"/>
    <w:rsid w:val="55B41BDC"/>
    <w:rsid w:val="57D05855"/>
    <w:rsid w:val="57D54F4B"/>
    <w:rsid w:val="6636451A"/>
    <w:rsid w:val="67B41625"/>
    <w:rsid w:val="6AAC3D0B"/>
    <w:rsid w:val="6BE94116"/>
    <w:rsid w:val="729166B1"/>
    <w:rsid w:val="73EA4857"/>
    <w:rsid w:val="778A22A8"/>
    <w:rsid w:val="78916378"/>
    <w:rsid w:val="7BC20073"/>
    <w:rsid w:val="7C631402"/>
    <w:rsid w:val="7DCC0F6E"/>
    <w:rsid w:val="7E140770"/>
    <w:rsid w:val="7EC4142B"/>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locked/>
    <w:uiPriority w:val="0"/>
    <w:pPr>
      <w:spacing w:before="240" w:after="60"/>
      <w:jc w:val="center"/>
      <w:outlineLvl w:val="0"/>
    </w:pPr>
    <w:rPr>
      <w:rFonts w:ascii="Arial" w:hAnsi="Arial" w:eastAsia="宋体" w:cs="Arial"/>
      <w:b/>
      <w:bCs/>
      <w:sz w:val="32"/>
      <w:szCs w:val="32"/>
    </w:rPr>
  </w:style>
  <w:style w:type="paragraph" w:styleId="3">
    <w:name w:val="Document Map"/>
    <w:basedOn w:val="1"/>
    <w:link w:val="11"/>
    <w:qFormat/>
    <w:uiPriority w:val="99"/>
    <w:rPr>
      <w:rFonts w:ascii="宋体"/>
      <w:sz w:val="18"/>
      <w:szCs w:val="18"/>
    </w:rPr>
  </w:style>
  <w:style w:type="paragraph" w:styleId="4">
    <w:name w:val="Balloon Text"/>
    <w:basedOn w:val="1"/>
    <w:link w:val="12"/>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3"/>
    <w:qFormat/>
    <w:locked/>
    <w:uiPriority w:val="99"/>
    <w:rPr>
      <w:rFonts w:ascii="宋体" w:cs="Times New Roman"/>
      <w:kern w:val="2"/>
      <w:sz w:val="18"/>
      <w:szCs w:val="18"/>
    </w:rPr>
  </w:style>
  <w:style w:type="character" w:customStyle="1" w:styleId="12">
    <w:name w:val="批注框文本 Char"/>
    <w:link w:val="4"/>
    <w:semiHidden/>
    <w:qFormat/>
    <w:locked/>
    <w:uiPriority w:val="99"/>
    <w:rPr>
      <w:rFonts w:cs="Times New Roman"/>
      <w:sz w:val="2"/>
    </w:rPr>
  </w:style>
  <w:style w:type="character" w:customStyle="1" w:styleId="13">
    <w:name w:val="页脚 Char"/>
    <w:link w:val="5"/>
    <w:qFormat/>
    <w:locked/>
    <w:uiPriority w:val="99"/>
    <w:rPr>
      <w:rFonts w:cs="Times New Roman"/>
      <w:kern w:val="2"/>
      <w:sz w:val="18"/>
      <w:szCs w:val="18"/>
    </w:rPr>
  </w:style>
  <w:style w:type="character" w:customStyle="1" w:styleId="14">
    <w:name w:val="页眉 Char"/>
    <w:link w:val="6"/>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宋体"/>
      <w:color w:val="000000"/>
      <w:kern w:val="0"/>
      <w:sz w:val="28"/>
      <w:szCs w:val="21"/>
    </w:rPr>
  </w:style>
  <w:style w:type="character" w:customStyle="1" w:styleId="16">
    <w:name w:val="四号正文 Char"/>
    <w:link w:val="15"/>
    <w:qFormat/>
    <w:locked/>
    <w:uiPriority w:val="99"/>
    <w:rPr>
      <w:rFonts w:ascii="??" w:hAnsi="??" w:eastAsia="宋体" w:cs="宋体"/>
      <w:color w:val="000000"/>
      <w:sz w:val="21"/>
      <w:szCs w:val="21"/>
      <w:lang w:val="en-US" w:eastAsia="zh-CN" w:bidi="ar-SA"/>
    </w:rPr>
  </w:style>
  <w:style w:type="paragraph" w:customStyle="1" w:styleId="17">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373</Words>
  <Characters>394</Characters>
  <Lines>3</Lines>
  <Paragraphs>1</Paragraphs>
  <TotalTime>2</TotalTime>
  <ScaleCrop>false</ScaleCrop>
  <LinksUpToDate>false</LinksUpToDate>
  <CharactersWithSpaces>395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2023-07-18T02:31:51Z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1054B13826034AF58DDBA363BC8E1823_13</vt:lpwstr>
  </property>
</Properties>
</file>