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仿宋_GB2312" w:hAnsi="黑体" w:eastAsia="方正小标宋简体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峨边彝族自治县白沙河流域果蔬现代农     业园区</w:t>
      </w:r>
      <w:r>
        <w:rPr>
          <w:rFonts w:hint="eastAsia" w:ascii="方正小标宋简体" w:eastAsia="方正小标宋简体"/>
          <w:sz w:val="44"/>
          <w:szCs w:val="44"/>
        </w:rPr>
        <w:t>项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目</w:t>
      </w:r>
      <w:r>
        <w:rPr>
          <w:rFonts w:hint="eastAsia" w:ascii="方正小标宋简体" w:eastAsia="方正小标宋简体"/>
          <w:sz w:val="44"/>
          <w:szCs w:val="44"/>
        </w:rPr>
        <w:t>自评报告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hAnsi="黑体" w:eastAsia="黑体"/>
          <w:bCs/>
          <w:sz w:val="32"/>
          <w:szCs w:val="32"/>
          <w:lang w:val="en-US" w:eastAsia="zh-CN"/>
        </w:rPr>
      </w:pPr>
      <w:r>
        <w:rPr>
          <w:rFonts w:hint="eastAsia" w:hAnsi="黑体" w:eastAsia="黑体"/>
          <w:bCs/>
          <w:sz w:val="32"/>
          <w:szCs w:val="32"/>
        </w:rPr>
        <w:t>一、项目</w:t>
      </w:r>
      <w:r>
        <w:rPr>
          <w:rFonts w:hint="eastAsia" w:hAnsi="黑体" w:eastAsia="黑体"/>
          <w:bCs/>
          <w:sz w:val="32"/>
          <w:szCs w:val="32"/>
          <w:lang w:val="en-US" w:eastAsia="zh-CN"/>
        </w:rPr>
        <w:t>概况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</w:pPr>
      <w:r>
        <w:rPr>
          <w:rStyle w:val="13"/>
          <w:rFonts w:hint="eastAsia" w:ascii="楷体_GB2312" w:hAnsi="楷体_GB2312" w:eastAsia="楷体_GB2312" w:cs="楷体_GB2312"/>
          <w:kern w:val="0"/>
          <w:sz w:val="32"/>
          <w:szCs w:val="32"/>
          <w:lang w:val="en-US" w:eastAsia="zh-CN" w:bidi="ar-SA"/>
        </w:rPr>
        <w:t>（一）项目基本情况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Style w:val="13"/>
          <w:rFonts w:ascii="仿宋_GB2312" w:hAnsi="Tahoma" w:eastAsia="仿宋_GB2312"/>
          <w:kern w:val="0"/>
          <w:sz w:val="32"/>
          <w:szCs w:val="32"/>
          <w:lang w:val="en-US" w:eastAsia="zh-CN" w:bidi="ar-SA"/>
        </w:rPr>
        <w:t>白沙河流域果蔬现代农业园区地处县城东南部，傍依白沙河两岸，以</w:t>
      </w:r>
      <w:r>
        <w:rPr>
          <w:rStyle w:val="13"/>
          <w:rFonts w:ascii="仿宋_GB2312" w:hAnsi="Calibri" w:eastAsia="仿宋_GB2312"/>
          <w:color w:val="000000"/>
          <w:kern w:val="0"/>
          <w:sz w:val="32"/>
          <w:szCs w:val="32"/>
          <w:lang w:val="en-US" w:eastAsia="zh-CN" w:bidi="ar-SA"/>
        </w:rPr>
        <w:t>沙坪镇河沟村，新林镇楠木村、黄泥村、金星村建成</w:t>
      </w:r>
      <w:r>
        <w:rPr>
          <w:rStyle w:val="13"/>
          <w:rFonts w:ascii="仿宋_GB2312" w:hAnsi="仿宋_GB2312" w:eastAsia="仿宋_GB2312"/>
          <w:kern w:val="0"/>
          <w:sz w:val="32"/>
          <w:szCs w:val="32"/>
          <w:lang w:val="en-US" w:eastAsia="zh-CN" w:bidi="ar-SA"/>
        </w:rPr>
        <w:t>以桃、蔬菜为主导产业的</w:t>
      </w:r>
      <w:r>
        <w:rPr>
          <w:rStyle w:val="13"/>
          <w:rFonts w:ascii="仿宋_GB2312" w:hAnsi="Calibri" w:eastAsia="仿宋_GB2312"/>
          <w:color w:val="000000"/>
          <w:kern w:val="0"/>
          <w:sz w:val="32"/>
          <w:szCs w:val="32"/>
          <w:lang w:val="en-US" w:eastAsia="zh-CN" w:bidi="ar-SA"/>
        </w:rPr>
        <w:t>核心园区4019亩，带动周边5乡（镇）24村</w:t>
      </w:r>
      <w:r>
        <w:rPr>
          <w:rStyle w:val="13"/>
          <w:rFonts w:ascii="仿宋_GB2312" w:hAnsi="Tahoma" w:eastAsia="仿宋_GB2312"/>
          <w:kern w:val="0"/>
          <w:sz w:val="32"/>
          <w:szCs w:val="32"/>
          <w:lang w:val="en-US" w:eastAsia="zh-CN" w:bidi="ar-SA"/>
        </w:rPr>
        <w:t>，</w:t>
      </w:r>
      <w:r>
        <w:rPr>
          <w:rStyle w:val="13"/>
          <w:rFonts w:ascii="仿宋_GB2312" w:hAnsi="Calibri" w:eastAsia="仿宋_GB2312"/>
          <w:color w:val="000000"/>
          <w:kern w:val="0"/>
          <w:sz w:val="32"/>
          <w:szCs w:val="32"/>
          <w:lang w:val="en-US" w:eastAsia="zh-CN" w:bidi="ar-SA"/>
        </w:rPr>
        <w:t>发展果蔬产业20048亩，</w:t>
      </w:r>
      <w:r>
        <w:rPr>
          <w:rStyle w:val="13"/>
          <w:rFonts w:ascii="仿宋_GB2312" w:hAnsi="Tahoma" w:eastAsia="仿宋_GB2312"/>
          <w:kern w:val="0"/>
          <w:sz w:val="32"/>
          <w:szCs w:val="32"/>
          <w:lang w:val="en-US" w:eastAsia="zh-CN" w:bidi="ar-SA"/>
        </w:rPr>
        <w:t>受益群众15000人。</w:t>
      </w:r>
    </w:p>
    <w:p>
      <w:pPr>
        <w:spacing w:line="620" w:lineRule="exact"/>
        <w:ind w:firstLine="640" w:firstLineChars="200"/>
        <w:rPr>
          <w:rFonts w:hint="eastAsia" w:ascii="仿宋_GB2312" w:hAnsi="黑体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《峨边彝族自治县白沙河流域果蔬现代农业园区战略规划》《峨边彝族自治县白沙河流域果蔬现代化农业园区实施方案》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于2019年6月完成编制上报，于2019年8月通过市农业农村局、市财政局批复，为园区建设提供科学依据和支撑。</w:t>
      </w:r>
      <w:r>
        <w:rPr>
          <w:rFonts w:hint="eastAsia" w:ascii="仿宋_GB2312" w:hAnsi="Tahoma" w:eastAsia="仿宋_GB2312" w:cs="Tahoma"/>
          <w:kern w:val="0"/>
          <w:sz w:val="32"/>
          <w:szCs w:val="32"/>
          <w:lang w:val="en-US" w:eastAsia="zh-CN" w:bidi="ar-SA"/>
        </w:rPr>
        <w:t>园区紧扣“三区多园、三河三带”功能布局，总投入资金</w:t>
      </w:r>
      <w:r>
        <w:rPr>
          <w:rFonts w:hint="eastAsia" w:ascii="仿宋_GB2312" w:hAnsi="Tahoma" w:cs="Tahoma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</w:rPr>
        <w:t>19750.71</w:t>
      </w:r>
      <w:r>
        <w:rPr>
          <w:rFonts w:hint="eastAsia" w:ascii="仿宋_GB2312" w:hAnsi="Tahoma" w:eastAsia="仿宋_GB2312" w:cs="Tahoma"/>
          <w:kern w:val="0"/>
          <w:sz w:val="32"/>
          <w:szCs w:val="32"/>
          <w:lang w:val="en-US" w:eastAsia="zh-CN" w:bidi="ar-SA"/>
        </w:rPr>
        <w:t>万元，其中财政专项奖补资金1000万元，整合各级项目资金</w:t>
      </w:r>
      <w:r>
        <w:rPr>
          <w:rFonts w:hint="eastAsia" w:ascii="仿宋_GB2312" w:hAnsi="Tahoma" w:cs="Tahoma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</w:rPr>
        <w:t>3559.3</w:t>
      </w:r>
      <w:r>
        <w:rPr>
          <w:rFonts w:hint="eastAsia" w:ascii="仿宋_GB2312" w:hAnsi="Tahoma" w:eastAsia="仿宋_GB2312" w:cs="Tahoma"/>
          <w:kern w:val="0"/>
          <w:sz w:val="32"/>
          <w:szCs w:val="32"/>
          <w:lang w:val="en-US" w:eastAsia="zh-CN" w:bidi="ar-SA"/>
        </w:rPr>
        <w:t>万元，</w:t>
      </w:r>
      <w:r>
        <w:rPr>
          <w:rFonts w:hint="eastAsia" w:ascii="仿宋_GB2312" w:hAnsi="Tahoma" w:cs="Tahoma"/>
          <w:kern w:val="0"/>
          <w:sz w:val="32"/>
          <w:szCs w:val="32"/>
          <w:lang w:val="en-US" w:eastAsia="zh-CN" w:bidi="ar-SA"/>
        </w:rPr>
        <w:t>企业自筹1086万元，</w:t>
      </w:r>
      <w:r>
        <w:rPr>
          <w:rFonts w:hint="eastAsia" w:ascii="仿宋_GB2312" w:hAnsi="Tahoma" w:eastAsia="仿宋_GB2312" w:cs="Tahoma"/>
          <w:kern w:val="0"/>
          <w:sz w:val="32"/>
          <w:szCs w:val="32"/>
          <w:lang w:val="en-US" w:eastAsia="zh-CN" w:bidi="ar-SA"/>
        </w:rPr>
        <w:t>撬动资会资本</w:t>
      </w:r>
      <w:r>
        <w:rPr>
          <w:rFonts w:hint="eastAsia" w:ascii="仿宋_GB2312" w:hAnsi="Tahoma" w:cs="Tahoma"/>
          <w:b w:val="0"/>
          <w:bCs w:val="0"/>
          <w:color w:val="000000" w:themeColor="text1"/>
          <w:kern w:val="0"/>
          <w:sz w:val="32"/>
          <w:szCs w:val="32"/>
          <w:lang w:val="en-US" w:eastAsia="zh-CN" w:bidi="ar-SA"/>
        </w:rPr>
        <w:t>14105.41</w:t>
      </w:r>
      <w:r>
        <w:rPr>
          <w:rFonts w:hint="eastAsia" w:ascii="仿宋_GB2312" w:hAnsi="Tahoma" w:eastAsia="仿宋_GB2312" w:cs="Tahoma"/>
          <w:kern w:val="0"/>
          <w:sz w:val="32"/>
          <w:szCs w:val="32"/>
          <w:lang w:val="en-US" w:eastAsia="zh-CN" w:bidi="ar-SA"/>
        </w:rPr>
        <w:t>万元，创建任务涉及</w:t>
      </w:r>
      <w:r>
        <w:rPr>
          <w:rFonts w:hint="eastAsia" w:ascii="仿宋_GB2312" w:hAnsi="黑体"/>
          <w:bCs/>
          <w:sz w:val="32"/>
          <w:szCs w:val="32"/>
          <w:lang w:val="en-US" w:eastAsia="zh-CN"/>
        </w:rPr>
        <w:t>涉及基地建设、农产品加工物流、质量品牌、科技创新、主体培育5个方面9个项目。</w:t>
      </w:r>
      <w:r>
        <w:rPr>
          <w:rStyle w:val="13"/>
          <w:rFonts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 w:bidi="ar-SA"/>
        </w:rPr>
        <w:t>项目实施由县农业农村局负责具体实施，园区管委会牵头负责，县农投公司负责经营。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zh-CN" w:eastAsia="zh-CN" w:bidi="ar-SA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zh-CN"/>
        </w:rPr>
        <w:t>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atLeast"/>
        <w:ind w:firstLine="72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园区主要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建立1个农副产物及畜禽粪便无害化处理中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心、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冷链物流配送中心1个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博士工作站</w:t>
      </w:r>
      <w:r>
        <w:rPr>
          <w:rFonts w:hint="eastAsia" w:ascii="仿宋_GB2312" w:cs="仿宋_GB2312"/>
          <w:color w:val="000000"/>
          <w:sz w:val="32"/>
          <w:szCs w:val="32"/>
          <w:lang w:val="en-US" w:eastAsia="zh-CN"/>
        </w:rPr>
        <w:t>1个、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分级包装食品车间、农产品展示馆、中药材加工车间、化验质检车间、综合办公楼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配套必要的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设施设备；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新建新林镇卷木村、水井村至红花乡双桥村产业路环线10公里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大型蓄水池3口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楠木村、河沟村基地规划各建设三相电负荷8KW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认证有机农产品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个，依托“峨岭云边”品牌，构建品牌体系，实施公用品牌+园区品牌的双品牌战略，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注册园区商标“小黄妮”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仿宋_GB2312" w:hAnsi="宋体"/>
          <w:b w:val="0"/>
          <w:bCs w:val="0"/>
          <w:sz w:val="32"/>
          <w:szCs w:val="32"/>
          <w:lang w:val="zh-CN"/>
        </w:rPr>
        <w:t>申报内容与项目实施相符，申报目标合理可行。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（三）项目自评步骤及方法</w:t>
      </w:r>
    </w:p>
    <w:p>
      <w:pPr>
        <w:adjustRightInd w:val="0"/>
        <w:snapToGrid w:val="0"/>
        <w:spacing w:line="600" w:lineRule="exact"/>
        <w:ind w:firstLine="720"/>
        <w:rPr>
          <w:rStyle w:val="13"/>
          <w:rFonts w:hint="default" w:ascii="仿宋_GB2312" w:hAnsi="Tahoma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宋体"/>
          <w:sz w:val="32"/>
          <w:szCs w:val="32"/>
          <w:lang w:val="zh-CN"/>
        </w:rPr>
        <w:t>单位成立了绩效自评领导小组，领导小组办公室设在</w:t>
      </w:r>
      <w:r>
        <w:rPr>
          <w:rFonts w:hint="eastAsia" w:ascii="仿宋_GB2312" w:hAnsi="宋体"/>
          <w:sz w:val="32"/>
          <w:szCs w:val="32"/>
          <w:lang w:val="en-US" w:eastAsia="zh-CN"/>
        </w:rPr>
        <w:t>项目</w:t>
      </w:r>
      <w:r>
        <w:rPr>
          <w:rFonts w:hint="eastAsia" w:ascii="仿宋_GB2312" w:hAnsi="宋体"/>
          <w:sz w:val="32"/>
          <w:szCs w:val="32"/>
          <w:lang w:val="zh-CN"/>
        </w:rPr>
        <w:t>股，负责牵头开展项目绩效自评工作。自评小组依据专项资金绩效考评指标体系，对项目开展综合评分，全面考量项目实施程序的规范性、财务管理的合规性，以及项目执行率和目标绩效完成情况。</w:t>
      </w: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Ansi="黑体" w:eastAsia="黑体"/>
          <w:bCs/>
          <w:sz w:val="32"/>
          <w:szCs w:val="32"/>
        </w:rPr>
      </w:pP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hint="eastAsia" w:hAnsi="黑体" w:eastAsia="黑体"/>
          <w:bCs/>
          <w:sz w:val="32"/>
          <w:szCs w:val="32"/>
        </w:rPr>
        <w:t>二、资金到位及支出情况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（一）资金到位情况</w:t>
      </w:r>
    </w:p>
    <w:p>
      <w:pPr>
        <w:adjustRightInd w:val="0"/>
        <w:snapToGrid w:val="0"/>
        <w:spacing w:line="600" w:lineRule="exact"/>
        <w:ind w:firstLine="720"/>
        <w:rPr>
          <w:rStyle w:val="13"/>
          <w:rFonts w:hint="eastAsia" w:ascii="仿宋_GB2312" w:hAnsi="Tahoma" w:eastAsia="仿宋_GB2312"/>
          <w:color w:val="FF0000"/>
          <w:kern w:val="0"/>
          <w:sz w:val="32"/>
          <w:szCs w:val="32"/>
          <w:lang w:val="en-US" w:eastAsia="zh-CN" w:bidi="ar-SA"/>
        </w:rPr>
      </w:pP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>白沙河流域果蔬现代农业园区建设共有9个项目，预算总投入5645.3万元，</w:t>
      </w:r>
      <w:r>
        <w:rPr>
          <w:rStyle w:val="13"/>
          <w:rFonts w:hint="eastAsia" w:ascii="仿宋_GB2312" w:hAnsi="Tahoma"/>
          <w:color w:val="auto"/>
          <w:kern w:val="0"/>
          <w:sz w:val="32"/>
          <w:szCs w:val="32"/>
          <w:lang w:val="en-US" w:eastAsia="zh-CN" w:bidi="ar-SA"/>
        </w:rPr>
        <w:t>其中2020年到位5591.91万元，2022年到位53.39万元。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资金实际到位情况与资金计划符合，资金到位情况及时。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（二）投资完成情况</w:t>
      </w:r>
    </w:p>
    <w:p>
      <w:pPr>
        <w:adjustRightInd w:val="0"/>
        <w:snapToGrid w:val="0"/>
        <w:spacing w:line="600" w:lineRule="exact"/>
        <w:ind w:firstLine="720"/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实际支出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53.39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万元，支付情况按照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资金文件下达后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支付。支付依据、凭证等合规合法，资金支付与预算相符，在预算控制范围内。</w:t>
      </w: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</w:rPr>
        <w:t>（</w:t>
      </w: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楷体_GB2312" w:eastAsia="楷体_GB2312"/>
          <w:bCs/>
          <w:color w:val="000000"/>
          <w:sz w:val="32"/>
          <w:szCs w:val="32"/>
        </w:rPr>
        <w:t>）资金管理情况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default"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资金使用管理严格按照川财农〔2019〕45号关于印发《四川省乡村振兴转移支付资金管理办法》和峨边府办发[2018]25号关于印发彝族自治县统筹整合资金使用、财政涉农资金管理办法》执行，设立专户，做到财务报账资料审核严谨，会计核算规范的报账方式，无资金使用方面的违规违纪情况。 </w:t>
      </w:r>
    </w:p>
    <w:p>
      <w:pPr>
        <w:spacing w:line="620" w:lineRule="exact"/>
        <w:ind w:firstLine="640" w:firstLineChars="20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</w:t>
      </w:r>
      <w:r>
        <w:rPr>
          <w:rFonts w:ascii="黑体" w:hAnsi="黑体" w:eastAsia="黑体"/>
          <w:bCs/>
          <w:sz w:val="32"/>
          <w:szCs w:val="32"/>
        </w:rPr>
        <w:t>、</w:t>
      </w:r>
      <w:r>
        <w:rPr>
          <w:rFonts w:hint="eastAsia" w:ascii="黑体" w:hAnsi="黑体" w:eastAsia="黑体"/>
          <w:bCs/>
          <w:color w:val="000000"/>
          <w:sz w:val="32"/>
          <w:szCs w:val="32"/>
        </w:rPr>
        <w:t>项目</w:t>
      </w:r>
      <w:r>
        <w:rPr>
          <w:rFonts w:hint="eastAsia" w:ascii="黑体" w:hAnsi="黑体" w:eastAsia="黑体"/>
          <w:bCs/>
          <w:color w:val="000000"/>
          <w:sz w:val="32"/>
          <w:szCs w:val="32"/>
          <w:lang w:val="en-US" w:eastAsia="zh-CN"/>
        </w:rPr>
        <w:t>设施管理</w:t>
      </w:r>
      <w:r>
        <w:rPr>
          <w:rFonts w:hint="eastAsia" w:ascii="黑体" w:hAnsi="黑体" w:eastAsia="黑体"/>
          <w:bCs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</w:rPr>
      </w:pP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）</w:t>
      </w:r>
      <w:r>
        <w:rPr>
          <w:rFonts w:hint="eastAsia" w:ascii="楷体_GB2312" w:eastAsia="楷体_GB2312"/>
          <w:bCs/>
          <w:color w:val="000000"/>
          <w:sz w:val="32"/>
          <w:szCs w:val="32"/>
        </w:rPr>
        <w:t>监督管理情况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default" w:ascii="仿宋_GB2312" w:hAnsi="Tahoma" w:eastAsia="仿宋_GB2312"/>
          <w:kern w:val="0"/>
          <w:sz w:val="32"/>
          <w:szCs w:val="32"/>
          <w:lang w:val="en-US" w:eastAsia="zh-CN" w:bidi="ar-SA"/>
        </w:rPr>
      </w:pP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 xml:space="preserve">成立山区现代农业园区管委会工作机构，建立健全工作协调机制，分工明确，权责清晰，定期接受省市调度督导，接受县纪委巡视、巡查，接受县财政监督指导。我单位认真开展自查自纠，按时报送项目阶段性执行情况 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</w:pP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（</w:t>
      </w: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二</w:t>
      </w:r>
      <w:r>
        <w:rPr>
          <w:rFonts w:hint="eastAsia" w:ascii="楷体_GB2312" w:eastAsia="楷体_GB2312"/>
          <w:bCs/>
          <w:color w:val="000000"/>
          <w:sz w:val="32"/>
          <w:szCs w:val="32"/>
          <w:lang w:eastAsia="zh-CN"/>
        </w:rPr>
        <w:t>）项目推进情况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560" w:lineRule="exact"/>
        <w:ind w:firstLine="640" w:firstLineChars="200"/>
        <w:textAlignment w:val="auto"/>
        <w:rPr>
          <w:rStyle w:val="13"/>
          <w:rFonts w:hint="default" w:ascii="仿宋_GB2312" w:hAnsi="Tahoma"/>
          <w:kern w:val="0"/>
          <w:sz w:val="32"/>
          <w:szCs w:val="32"/>
          <w:lang w:val="en-US" w:eastAsia="zh-CN"/>
        </w:rPr>
      </w:pPr>
      <w:r>
        <w:rPr>
          <w:rStyle w:val="13"/>
          <w:rFonts w:hint="eastAsia" w:ascii="仿宋_GB2312" w:hAnsi="Tahoma" w:eastAsia="仿宋_GB2312"/>
          <w:kern w:val="0"/>
          <w:sz w:val="32"/>
          <w:szCs w:val="32"/>
          <w:lang w:val="en-US" w:eastAsia="zh-CN" w:bidi="ar-SA"/>
        </w:rPr>
        <w:t>园区项目建设有内容5个方面共9个项目</w:t>
      </w:r>
      <w:r>
        <w:rPr>
          <w:rStyle w:val="13"/>
          <w:rFonts w:hint="eastAsia" w:ascii="仿宋_GB2312" w:hAnsi="Tahoma"/>
          <w:kern w:val="0"/>
          <w:sz w:val="32"/>
          <w:szCs w:val="32"/>
          <w:lang w:val="en-US" w:eastAsia="zh-CN" w:bidi="ar-SA"/>
        </w:rPr>
        <w:t>已全部完成建设。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Cs/>
          <w:color w:val="000000"/>
          <w:sz w:val="32"/>
          <w:szCs w:val="32"/>
          <w:lang w:val="en-US" w:eastAsia="zh-CN"/>
        </w:rPr>
        <w:t>（三）项目材料报送情况</w:t>
      </w:r>
    </w:p>
    <w:p>
      <w:pPr>
        <w:spacing w:line="620" w:lineRule="exact"/>
        <w:ind w:firstLine="640" w:firstLineChars="200"/>
        <w:rPr>
          <w:rFonts w:hint="eastAsia" w:ascii="仿宋_GB2312" w:hAnsi="黑体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Cs/>
          <w:sz w:val="32"/>
          <w:szCs w:val="32"/>
          <w:lang w:val="en-US" w:eastAsia="zh-CN"/>
        </w:rPr>
        <w:t xml:space="preserve">日常工作推进监管到位，按时报送项目推进情况。定期开展绩效自评和总结工作。 </w:t>
      </w:r>
    </w:p>
    <w:p>
      <w:pPr>
        <w:spacing w:line="620" w:lineRule="exact"/>
        <w:ind w:firstLine="640" w:firstLineChars="200"/>
        <w:rPr>
          <w:rFonts w:hint="default" w:eastAsia="黑体"/>
          <w:bCs/>
          <w:sz w:val="32"/>
          <w:szCs w:val="32"/>
          <w:lang w:val="en-US" w:eastAsia="zh-CN"/>
        </w:rPr>
      </w:pPr>
      <w:r>
        <w:rPr>
          <w:rFonts w:hint="eastAsia" w:hAnsi="黑体" w:eastAsia="黑体"/>
          <w:bCs/>
          <w:sz w:val="32"/>
          <w:szCs w:val="32"/>
        </w:rPr>
        <w:t>四</w:t>
      </w:r>
      <w:r>
        <w:rPr>
          <w:rFonts w:hAnsi="黑体" w:eastAsia="黑体"/>
          <w:bCs/>
          <w:sz w:val="32"/>
          <w:szCs w:val="32"/>
        </w:rPr>
        <w:t>、</w:t>
      </w:r>
      <w:r>
        <w:rPr>
          <w:rFonts w:hint="eastAsia" w:hAnsi="黑体" w:eastAsia="黑体"/>
          <w:bCs/>
          <w:sz w:val="32"/>
          <w:szCs w:val="32"/>
          <w:lang w:val="en-US" w:eastAsia="zh-CN"/>
        </w:rPr>
        <w:t>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撬动作用明显。自园区2018年建园以来，累计投入财政资金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5581.1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万元，撬动各类社会资金和金融资本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14169.61万元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投入园区建设。产业优势凸显。实现资源高度聚集，各大发展板块紧密连接，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2019年园区内蔬菜产业产值达1.1万元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，占产业园总产值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93.22</w:t>
      </w:r>
      <w:r>
        <w:rPr>
          <w:rFonts w:hint="eastAsia" w:ascii="仿宋_GB2312" w:hAnsi="仿宋_GB2312" w:eastAsia="仿宋_GB2312" w:cs="仿宋_GB2312"/>
          <w:sz w:val="32"/>
          <w:szCs w:val="32"/>
        </w:rPr>
        <w:t>%。惠农成效彰显。2019年，园区内农民人均可支配收入可达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万元，高出全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</w:rPr>
        <w:t>平均水平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生态效益：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园区内果蔬各产业之间通过种养结合、生态循环、轮作倒茬、间作套种等方式相互联系，发展循环农业、生态农业。间作套种充分利用和延长作物生处处长季节，在有限的土地面积上增加种植收入。在园区内推行节水灌溉、果园清洁生产、病虫害绿色防控等技术，基本实现“一控两减三基本”目标，农业生态环境能得到有效治理和明显改善，生态系统功能将得到有效恢复和增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社会效益：</w:t>
      </w:r>
      <w:bookmarkStart w:id="0" w:name="_Toc1140064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园区建设，一是扩大了峨”字号农产品知晓度，拓展了农产品市场；二是增添更多的就业岗位，解决农村剩余劳动力就近务工增收；三是改变山区群众产业发展落后观念，让更多的人民参与到现代农业发展中来，为实施乡村振兴打牢基础。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可持续效益：现代农业园区是传统农业向现代农业过度的重要基础，是实现乡村振兴产业兴旺的重要保障，在决战决胜脱贫攻坚、大力实施乡村振兴的重要时刻，发展农业园区前景光明。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（一）评价结论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color w:val="FF0000"/>
          <w:sz w:val="32"/>
          <w:szCs w:val="32"/>
          <w:bdr w:val="single" w:color="auto" w:sz="4" w:space="0"/>
          <w:lang w:val="zh-CN"/>
        </w:rPr>
      </w:pPr>
      <w:r>
        <w:rPr>
          <w:rFonts w:hint="eastAsia" w:ascii="仿宋_GB2312" w:hAnsi="宋体"/>
          <w:color w:val="auto"/>
          <w:sz w:val="32"/>
          <w:szCs w:val="32"/>
          <w:lang w:val="zh-CN"/>
        </w:rPr>
        <w:t>通过综合评价，一是严格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资料审核</w:t>
      </w:r>
      <w:r>
        <w:rPr>
          <w:rFonts w:hint="eastAsia" w:ascii="仿宋_GB2312" w:hAnsi="宋体"/>
          <w:color w:val="auto"/>
          <w:sz w:val="32"/>
          <w:szCs w:val="32"/>
          <w:lang w:val="zh-CN"/>
        </w:rPr>
        <w:t>，强化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企业</w:t>
      </w:r>
      <w:r>
        <w:rPr>
          <w:rFonts w:hint="eastAsia" w:ascii="仿宋_GB2312" w:hAnsi="宋体"/>
          <w:color w:val="auto"/>
          <w:sz w:val="32"/>
          <w:szCs w:val="32"/>
          <w:lang w:val="zh-CN"/>
        </w:rPr>
        <w:t>监管，使该项目得到有序推进，确保了项目任务按时、保质、保量完成。</w:t>
      </w:r>
      <w:r>
        <w:rPr>
          <w:rFonts w:hint="eastAsia" w:ascii="仿宋_GB2312" w:hAnsi="宋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宋体"/>
          <w:color w:val="auto"/>
          <w:sz w:val="32"/>
          <w:szCs w:val="32"/>
          <w:lang w:val="zh-CN"/>
        </w:rPr>
        <w:t>是在项目绩效方面实现了项目预期目的，保障了各项工作正常开展，达成了预期指标。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（二）存在的问题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（三）相关</w:t>
      </w:r>
      <w:bookmarkStart w:id="1" w:name="_GoBack"/>
      <w:bookmarkEnd w:id="1"/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建议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无</w:t>
      </w:r>
    </w:p>
    <w:p>
      <w:pPr>
        <w:spacing w:line="620" w:lineRule="exact"/>
        <w:ind w:firstLine="640" w:firstLineChars="200"/>
        <w:rPr>
          <w:rFonts w:hint="default" w:ascii="仿宋_GB2312" w:hAnsi="黑体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bCs/>
          <w:sz w:val="32"/>
          <w:szCs w:val="32"/>
          <w:lang w:val="en-US"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Q1MGFlMGFhOTc4M2FlNmIwYjc1N2JiMzc1NWFmOWIifQ=="/>
  </w:docVars>
  <w:rsids>
    <w:rsidRoot w:val="00F57F82"/>
    <w:rsid w:val="000101E1"/>
    <w:rsid w:val="00013704"/>
    <w:rsid w:val="00035C97"/>
    <w:rsid w:val="000732DA"/>
    <w:rsid w:val="00075CDC"/>
    <w:rsid w:val="000B1E8F"/>
    <w:rsid w:val="000B44DD"/>
    <w:rsid w:val="000B6964"/>
    <w:rsid w:val="000D70A6"/>
    <w:rsid w:val="00103D16"/>
    <w:rsid w:val="00111638"/>
    <w:rsid w:val="00111928"/>
    <w:rsid w:val="0012041C"/>
    <w:rsid w:val="00136AFD"/>
    <w:rsid w:val="00164D84"/>
    <w:rsid w:val="00172D91"/>
    <w:rsid w:val="00173016"/>
    <w:rsid w:val="0017509C"/>
    <w:rsid w:val="001808CA"/>
    <w:rsid w:val="001A4E46"/>
    <w:rsid w:val="001E03FE"/>
    <w:rsid w:val="002123E8"/>
    <w:rsid w:val="00250053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5E65C6"/>
    <w:rsid w:val="00615B16"/>
    <w:rsid w:val="006218A1"/>
    <w:rsid w:val="006229E2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67353"/>
    <w:rsid w:val="007D7E6E"/>
    <w:rsid w:val="00806713"/>
    <w:rsid w:val="00850797"/>
    <w:rsid w:val="00853FC4"/>
    <w:rsid w:val="00862EE9"/>
    <w:rsid w:val="008720F1"/>
    <w:rsid w:val="00882EFA"/>
    <w:rsid w:val="008B2F56"/>
    <w:rsid w:val="008F0996"/>
    <w:rsid w:val="00903791"/>
    <w:rsid w:val="009326CA"/>
    <w:rsid w:val="009600BD"/>
    <w:rsid w:val="00961C83"/>
    <w:rsid w:val="009922BC"/>
    <w:rsid w:val="009C7C42"/>
    <w:rsid w:val="009E0D8C"/>
    <w:rsid w:val="00A02AF3"/>
    <w:rsid w:val="00A0396B"/>
    <w:rsid w:val="00A25077"/>
    <w:rsid w:val="00A608E8"/>
    <w:rsid w:val="00A610CC"/>
    <w:rsid w:val="00A67963"/>
    <w:rsid w:val="00A76F8D"/>
    <w:rsid w:val="00A8737E"/>
    <w:rsid w:val="00AA19AF"/>
    <w:rsid w:val="00B7000A"/>
    <w:rsid w:val="00BC6882"/>
    <w:rsid w:val="00BD3FE0"/>
    <w:rsid w:val="00BE58CF"/>
    <w:rsid w:val="00C366CD"/>
    <w:rsid w:val="00C5043D"/>
    <w:rsid w:val="00CA5578"/>
    <w:rsid w:val="00CA7DAA"/>
    <w:rsid w:val="00D04826"/>
    <w:rsid w:val="00D2182A"/>
    <w:rsid w:val="00D61F12"/>
    <w:rsid w:val="00D63908"/>
    <w:rsid w:val="00D8718A"/>
    <w:rsid w:val="00D93453"/>
    <w:rsid w:val="00DA477A"/>
    <w:rsid w:val="00DC524D"/>
    <w:rsid w:val="00DD01DC"/>
    <w:rsid w:val="00E071D6"/>
    <w:rsid w:val="00E13047"/>
    <w:rsid w:val="00ED160B"/>
    <w:rsid w:val="00ED3E0F"/>
    <w:rsid w:val="00F015E4"/>
    <w:rsid w:val="00F57F82"/>
    <w:rsid w:val="00F75224"/>
    <w:rsid w:val="00F91EAE"/>
    <w:rsid w:val="00FA086C"/>
    <w:rsid w:val="00FA2093"/>
    <w:rsid w:val="00FA357A"/>
    <w:rsid w:val="0334330A"/>
    <w:rsid w:val="037D0BC8"/>
    <w:rsid w:val="06320582"/>
    <w:rsid w:val="0845082D"/>
    <w:rsid w:val="09E965F2"/>
    <w:rsid w:val="11484C4E"/>
    <w:rsid w:val="139840D3"/>
    <w:rsid w:val="143E091F"/>
    <w:rsid w:val="14862157"/>
    <w:rsid w:val="14865FC8"/>
    <w:rsid w:val="150C2DB0"/>
    <w:rsid w:val="161D764A"/>
    <w:rsid w:val="1E761F05"/>
    <w:rsid w:val="1FC7205C"/>
    <w:rsid w:val="1FFA555D"/>
    <w:rsid w:val="20843600"/>
    <w:rsid w:val="228B3D05"/>
    <w:rsid w:val="264F3EA2"/>
    <w:rsid w:val="284E74F8"/>
    <w:rsid w:val="2ADB48E8"/>
    <w:rsid w:val="2DAA7B46"/>
    <w:rsid w:val="319F43F4"/>
    <w:rsid w:val="360B72A8"/>
    <w:rsid w:val="36687282"/>
    <w:rsid w:val="369C4857"/>
    <w:rsid w:val="38EF7AD8"/>
    <w:rsid w:val="3E1672E6"/>
    <w:rsid w:val="415F08D8"/>
    <w:rsid w:val="44E2230F"/>
    <w:rsid w:val="454F2A78"/>
    <w:rsid w:val="47FA2801"/>
    <w:rsid w:val="48B51347"/>
    <w:rsid w:val="491B45FA"/>
    <w:rsid w:val="4A2039D6"/>
    <w:rsid w:val="4A55216A"/>
    <w:rsid w:val="4C3909BA"/>
    <w:rsid w:val="4EBA2C16"/>
    <w:rsid w:val="4EFA6BD8"/>
    <w:rsid w:val="4F500A4E"/>
    <w:rsid w:val="4FE0696A"/>
    <w:rsid w:val="514F3156"/>
    <w:rsid w:val="55673508"/>
    <w:rsid w:val="58296195"/>
    <w:rsid w:val="59584FCA"/>
    <w:rsid w:val="59595A6F"/>
    <w:rsid w:val="599330CA"/>
    <w:rsid w:val="5F4D2B8B"/>
    <w:rsid w:val="60D5009F"/>
    <w:rsid w:val="64AC2E11"/>
    <w:rsid w:val="65290ABB"/>
    <w:rsid w:val="655E3398"/>
    <w:rsid w:val="660721C9"/>
    <w:rsid w:val="661E6C75"/>
    <w:rsid w:val="67F75FF5"/>
    <w:rsid w:val="681D4831"/>
    <w:rsid w:val="692E4B19"/>
    <w:rsid w:val="69513EF7"/>
    <w:rsid w:val="6A7F3FCF"/>
    <w:rsid w:val="6BF3256F"/>
    <w:rsid w:val="6CE7018A"/>
    <w:rsid w:val="6D116533"/>
    <w:rsid w:val="6D5035F2"/>
    <w:rsid w:val="6E3E3F2D"/>
    <w:rsid w:val="70C0427B"/>
    <w:rsid w:val="715B2F02"/>
    <w:rsid w:val="76A548F2"/>
    <w:rsid w:val="7765772E"/>
    <w:rsid w:val="77867685"/>
    <w:rsid w:val="781F36B6"/>
    <w:rsid w:val="790627AD"/>
    <w:rsid w:val="7ADC59FA"/>
    <w:rsid w:val="7DDD79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3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kern w:val="2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szCs w:val="32"/>
    </w:rPr>
  </w:style>
  <w:style w:type="paragraph" w:customStyle="1" w:styleId="9">
    <w:name w:val="BodyText"/>
    <w:basedOn w:val="1"/>
    <w:qFormat/>
    <w:uiPriority w:val="0"/>
    <w:pPr>
      <w:spacing w:after="120"/>
      <w:jc w:val="both"/>
      <w:textAlignment w:val="baseline"/>
    </w:pPr>
    <w:rPr>
      <w:rFonts w:ascii="Calibri" w:hAnsi="Calibri"/>
      <w:kern w:val="0"/>
      <w:sz w:val="20"/>
      <w:szCs w:val="20"/>
      <w:lang w:val="en-US" w:eastAsia="zh-CN" w:bidi="ar-SA"/>
    </w:rPr>
  </w:style>
  <w:style w:type="character" w:customStyle="1" w:styleId="10">
    <w:name w:val="页脚 Char"/>
    <w:basedOn w:val="8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1">
    <w:name w:val="页眉 Char"/>
    <w:basedOn w:val="8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NormalCharacter"/>
    <w:link w:val="1"/>
    <w:semiHidden/>
    <w:qFormat/>
    <w:uiPriority w:val="0"/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B4B45-5FA1-439B-B6A5-176CD8ED44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430</Characters>
  <Lines>3</Lines>
  <Paragraphs>1</Paragraphs>
  <TotalTime>2</TotalTime>
  <ScaleCrop>false</ScaleCrop>
  <LinksUpToDate>false</LinksUpToDate>
  <CharactersWithSpaces>504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2019-02-12T06:26:00Z</dcterms:created>
  <dc:creator>lhn</dc:creator>
  <cp:lastModifiedBy>Administrator</cp:lastModifiedBy>
  <cp:lastPrinted>2020-03-26T09:32:00Z</cp:lastPrinted>
  <dcterms:modified xsi:type="dcterms:W3CDTF">2023-11-10T03:04:08Z</dcterms:modified>
  <dc:title>财政支出绩效评价报告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BDD5EF98B27E4AB18C47DCC46FFADBBE_12</vt:lpwstr>
  </property>
</Properties>
</file>