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特色农业产业生猪养殖项目\内生动力（（支持藏区彝区内生动力提升）项目项目支出绩效</w:t>
      </w:r>
    </w:p>
    <w:p>
      <w:pPr>
        <w:pStyle w:val="8"/>
        <w:spacing w:line="600" w:lineRule="exact"/>
        <w:jc w:val="center"/>
        <w:rPr>
          <w:rFonts w:ascii="仿宋_GB2312" w:hAnsi="宋体" w:eastAsia="仿宋_GB2312"/>
          <w:color w:val="auto"/>
          <w:kern w:val="2"/>
          <w:sz w:val="32"/>
          <w:szCs w:val="32"/>
        </w:rPr>
      </w:pPr>
      <w:r>
        <w:rPr>
          <w:rFonts w:hint="eastAsia" w:ascii="方正小标宋简体" w:hAnsi="宋体" w:eastAsia="方正小标宋简体"/>
          <w:sz w:val="44"/>
          <w:szCs w:val="44"/>
        </w:rPr>
        <w:t>自评报告</w:t>
      </w:r>
    </w:p>
    <w:p>
      <w:pPr>
        <w:pStyle w:val="8"/>
        <w:spacing w:line="600" w:lineRule="exact"/>
        <w:ind w:firstLine="640"/>
        <w:jc w:val="center"/>
        <w:rPr>
          <w:rFonts w:ascii="宋体" w:hAnsi="宋体"/>
          <w:color w:val="auto"/>
          <w:kern w:val="2"/>
          <w:sz w:val="32"/>
          <w:szCs w:val="32"/>
        </w:rPr>
      </w:pPr>
      <w:bookmarkStart w:id="0" w:name="_GoBack"/>
      <w:bookmarkEnd w:id="0"/>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峨边县农业农村局作为主管部门对养殖场建设布局合理性进行了指导，审核了规划、设计，对项目技术措施落实情况进行监督。</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根据《四川省脱贫攻坚领导小组办公室关于审查同意</w:t>
      </w:r>
      <w:r>
        <w:rPr>
          <w:rFonts w:hint="eastAsia" w:ascii="仿宋_GB2312" w:hAnsi="宋体"/>
          <w:lang w:val="en-US" w:eastAsia="zh-CN"/>
        </w:rPr>
        <w:t>2019年省级财政脱贫攻坚资金支持彝区藏区脱贫攻坚（提升内生动力）项目实施方案的通知</w:t>
      </w:r>
      <w:r>
        <w:rPr>
          <w:rFonts w:hint="eastAsia" w:ascii="仿宋_GB2312" w:hAnsi="宋体"/>
          <w:lang w:val="zh-CN"/>
        </w:rPr>
        <w:t>》（川脱贫办</w:t>
      </w:r>
      <w:r>
        <w:rPr>
          <w:rFonts w:hint="eastAsia" w:ascii="仿宋_GB2312" w:hAnsi="仿宋_GB2312" w:eastAsia="仿宋_GB2312" w:cs="仿宋_GB2312"/>
          <w:lang w:val="zh-CN"/>
        </w:rPr>
        <w:t>〔</w:t>
      </w:r>
      <w:r>
        <w:rPr>
          <w:rFonts w:hint="eastAsia" w:ascii="仿宋_GB2312" w:hAnsi="仿宋_GB2312" w:cs="仿宋_GB2312"/>
          <w:lang w:val="en-US" w:eastAsia="zh-CN"/>
        </w:rPr>
        <w:t>2020</w:t>
      </w:r>
      <w:r>
        <w:rPr>
          <w:rFonts w:hint="eastAsia" w:ascii="仿宋_GB2312" w:hAnsi="仿宋_GB2312" w:eastAsia="仿宋_GB2312" w:cs="仿宋_GB2312"/>
          <w:lang w:val="zh-CN"/>
        </w:rPr>
        <w:t>〕</w:t>
      </w:r>
      <w:r>
        <w:rPr>
          <w:rFonts w:hint="eastAsia" w:ascii="仿宋_GB2312" w:hAnsi="仿宋_GB2312" w:cs="仿宋_GB2312"/>
          <w:lang w:val="en-US" w:eastAsia="zh-CN"/>
        </w:rPr>
        <w:t>15号</w:t>
      </w:r>
      <w:r>
        <w:rPr>
          <w:rFonts w:hint="eastAsia" w:ascii="仿宋_GB2312" w:hAnsi="宋体"/>
          <w:lang w:val="zh-CN"/>
        </w:rPr>
        <w:t>）精神，实施了峨边康润农业有限公司、峨边天缘农业科技开发有限公司两个公司的生猪养殖项目，结合峨边县实际情况，项目资金量化到两个公司后，</w:t>
      </w:r>
      <w:r>
        <w:rPr>
          <w:rFonts w:hint="eastAsia" w:ascii="仿宋_GB2312" w:hAnsi="仿宋_GB2312" w:eastAsia="仿宋_GB2312" w:cs="仿宋_GB2312"/>
          <w:kern w:val="2"/>
          <w:sz w:val="32"/>
          <w:szCs w:val="32"/>
        </w:rPr>
        <w:t>按固定保底5%的模式进行分红，当效益好时，可协商适当提高分红比例。产生的收益作为受益村的村集体经济，根据村集体经济管理办法进行使用。</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（二）项目绩效目标完成情况。</w:t>
      </w:r>
    </w:p>
    <w:p>
      <w:pPr>
        <w:adjustRightInd w:val="0"/>
        <w:snapToGrid w:val="0"/>
        <w:spacing w:line="600" w:lineRule="exact"/>
        <w:ind w:firstLine="720"/>
        <w:rPr>
          <w:rFonts w:hint="eastAsia" w:ascii="仿宋_GB2312" w:hAnsi="宋体"/>
          <w:sz w:val="32"/>
          <w:szCs w:val="32"/>
          <w:lang w:val="en-US" w:eastAsia="zh-CN"/>
        </w:rPr>
      </w:pPr>
      <w:r>
        <w:rPr>
          <w:rFonts w:hint="eastAsia" w:ascii="仿宋_GB2312" w:hAnsi="宋体"/>
          <w:lang w:val="zh-CN"/>
        </w:rPr>
        <w:t>根据项目实施方案中项目实施进度以及验收情况，项目完成验收后分红实施情况等方面进行自评工作。</w:t>
      </w:r>
    </w:p>
    <w:p>
      <w:pPr>
        <w:ind w:firstLine="640" w:firstLineChars="200"/>
        <w:rPr>
          <w:rFonts w:hint="eastAsia" w:ascii="仿宋_GB2312" w:eastAsia="仿宋"/>
          <w:sz w:val="32"/>
          <w:szCs w:val="32"/>
          <w:lang w:eastAsia="zh-CN"/>
        </w:rPr>
      </w:pPr>
      <w:r>
        <w:rPr>
          <w:rFonts w:hint="eastAsia" w:ascii="仿宋_GB2312" w:hAnsi="宋体"/>
          <w:sz w:val="32"/>
          <w:szCs w:val="32"/>
          <w:lang w:val="en-US" w:eastAsia="zh-CN"/>
        </w:rPr>
        <w:t>1.</w:t>
      </w:r>
      <w:r>
        <w:rPr>
          <w:rFonts w:hint="eastAsia" w:ascii="仿宋_GB2312" w:hAnsi="宋体" w:eastAsia="仿宋_GB2312"/>
          <w:sz w:val="32"/>
          <w:szCs w:val="32"/>
        </w:rPr>
        <w:t>峨边天缘壮大特色农业产业商品猪养殖项目</w:t>
      </w:r>
      <w:r>
        <w:rPr>
          <w:rFonts w:hint="eastAsia" w:ascii="仿宋_GB2312" w:hAnsi="宋体"/>
          <w:sz w:val="32"/>
          <w:szCs w:val="32"/>
          <w:lang w:eastAsia="zh-CN"/>
        </w:rPr>
        <w:t>：</w:t>
      </w:r>
      <w:r>
        <w:rPr>
          <w:rFonts w:hint="eastAsia" w:ascii="仿宋_GB2312" w:eastAsia="仿宋_GB2312" w:hAnsiTheme="majorEastAsia" w:cstheme="majorEastAsia"/>
          <w:sz w:val="32"/>
          <w:szCs w:val="32"/>
        </w:rPr>
        <w:t>建设商品猪养殖场6800平方米，</w:t>
      </w:r>
      <w:r>
        <w:rPr>
          <w:rFonts w:hint="eastAsia" w:ascii="仿宋_GB2312" w:eastAsia="仿宋_GB2312" w:hAnsiTheme="majorEastAsia" w:cstheme="majorEastAsia"/>
          <w:color w:val="000000"/>
          <w:sz w:val="32"/>
          <w:szCs w:val="32"/>
        </w:rPr>
        <w:t>建设钢结构楼式猪舍3层4栋，新建工作办公用房、防疫和消毒用房、料塔及饲料库房、场地道路、水池等。购置保温通风设备、自动供料设备、环保设备设施、防疫设施设备、消毒设施设备，</w:t>
      </w:r>
      <w:r>
        <w:rPr>
          <w:rFonts w:hint="eastAsia" w:ascii="仿宋_GB2312" w:eastAsia="仿宋_GB2312" w:hAnsiTheme="majorEastAsia" w:cstheme="majorEastAsia"/>
          <w:sz w:val="32"/>
          <w:szCs w:val="32"/>
        </w:rPr>
        <w:t>安装建设水电设施等</w:t>
      </w:r>
      <w:r>
        <w:rPr>
          <w:rFonts w:hint="eastAsia" w:ascii="仿宋_GB2312" w:eastAsia="仿宋_GB2312" w:hAnsiTheme="majorEastAsia" w:cstheme="majorEastAsia"/>
          <w:color w:val="000000"/>
          <w:sz w:val="32"/>
          <w:szCs w:val="32"/>
        </w:rPr>
        <w:t>。</w:t>
      </w:r>
      <w:r>
        <w:rPr>
          <w:rFonts w:hint="eastAsia" w:ascii="仿宋" w:hAnsi="仿宋" w:eastAsia="仿宋"/>
          <w:sz w:val="32"/>
          <w:szCs w:val="32"/>
        </w:rPr>
        <w:t>项目总投资</w:t>
      </w:r>
      <w:r>
        <w:rPr>
          <w:rFonts w:ascii="仿宋" w:hAnsi="仿宋" w:eastAsia="仿宋" w:cs="仿宋_GB2312"/>
          <w:sz w:val="32"/>
          <w:szCs w:val="32"/>
        </w:rPr>
        <w:t>13</w:t>
      </w:r>
      <w:r>
        <w:rPr>
          <w:rFonts w:hint="eastAsia" w:ascii="仿宋" w:hAnsi="仿宋" w:eastAsia="仿宋" w:cs="仿宋_GB2312"/>
          <w:sz w:val="32"/>
          <w:szCs w:val="32"/>
        </w:rPr>
        <w:t>80.60万元、其中省级财政脱贫攻坚资金</w:t>
      </w:r>
      <w:r>
        <w:rPr>
          <w:rFonts w:ascii="仿宋" w:hAnsi="仿宋" w:eastAsia="仿宋" w:cs="仿宋_GB2312"/>
          <w:sz w:val="32"/>
          <w:szCs w:val="32"/>
        </w:rPr>
        <w:t>666.00</w:t>
      </w:r>
      <w:r>
        <w:rPr>
          <w:rFonts w:hint="eastAsia" w:ascii="仿宋" w:hAnsi="仿宋" w:eastAsia="仿宋" w:cs="仿宋_GB2312"/>
          <w:sz w:val="32"/>
          <w:szCs w:val="32"/>
        </w:rPr>
        <w:t>万元；业主自筹714.60万元</w:t>
      </w:r>
      <w:r>
        <w:rPr>
          <w:rFonts w:hint="eastAsia" w:ascii="仿宋" w:hAnsi="仿宋" w:eastAsia="仿宋" w:cs="仿宋_GB2312"/>
          <w:sz w:val="32"/>
          <w:szCs w:val="32"/>
          <w:lang w:eastAsia="zh-CN"/>
        </w:rPr>
        <w:t>。建设进度：</w:t>
      </w:r>
      <w:r>
        <w:rPr>
          <w:rFonts w:ascii="仿宋" w:hAnsi="仿宋" w:eastAsia="仿宋" w:cs="仿宋_GB2312"/>
          <w:sz w:val="32"/>
          <w:szCs w:val="32"/>
        </w:rPr>
        <w:t>20</w:t>
      </w:r>
      <w:r>
        <w:rPr>
          <w:rFonts w:hint="eastAsia" w:ascii="仿宋" w:hAnsi="仿宋" w:eastAsia="仿宋" w:cs="仿宋_GB2312"/>
          <w:sz w:val="32"/>
          <w:szCs w:val="32"/>
        </w:rPr>
        <w:t>20</w:t>
      </w:r>
      <w:r>
        <w:rPr>
          <w:rFonts w:hint="eastAsia" w:ascii="仿宋" w:hAnsi="仿宋" w:eastAsia="仿宋"/>
          <w:sz w:val="32"/>
          <w:szCs w:val="32"/>
        </w:rPr>
        <w:t>年</w:t>
      </w:r>
      <w:r>
        <w:rPr>
          <w:rFonts w:hint="eastAsia" w:ascii="仿宋" w:hAnsi="仿宋" w:eastAsia="仿宋" w:cs="仿宋_GB2312"/>
          <w:sz w:val="32"/>
          <w:szCs w:val="32"/>
        </w:rPr>
        <w:t>8</w:t>
      </w:r>
      <w:r>
        <w:rPr>
          <w:rFonts w:hint="eastAsia" w:ascii="仿宋" w:hAnsi="仿宋" w:eastAsia="仿宋"/>
          <w:sz w:val="32"/>
          <w:szCs w:val="32"/>
        </w:rPr>
        <w:t>月</w:t>
      </w:r>
      <w:r>
        <w:rPr>
          <w:rFonts w:ascii="仿宋" w:hAnsi="仿宋" w:eastAsia="仿宋"/>
          <w:sz w:val="32"/>
          <w:szCs w:val="32"/>
        </w:rPr>
        <w:t>—</w:t>
      </w:r>
      <w:r>
        <w:rPr>
          <w:rFonts w:ascii="仿宋" w:hAnsi="仿宋" w:eastAsia="仿宋" w:cs="仿宋_GB2312"/>
          <w:sz w:val="32"/>
          <w:szCs w:val="32"/>
        </w:rPr>
        <w:t>202</w:t>
      </w:r>
      <w:r>
        <w:rPr>
          <w:rFonts w:hint="eastAsia" w:ascii="仿宋" w:hAnsi="仿宋" w:eastAsia="仿宋" w:cs="仿宋_GB2312"/>
          <w:sz w:val="32"/>
          <w:szCs w:val="32"/>
        </w:rPr>
        <w:t>1</w:t>
      </w:r>
      <w:r>
        <w:rPr>
          <w:rFonts w:hint="eastAsia" w:ascii="仿宋" w:hAnsi="仿宋" w:eastAsia="仿宋"/>
          <w:sz w:val="32"/>
          <w:szCs w:val="32"/>
        </w:rPr>
        <w:t>年9月</w:t>
      </w:r>
      <w:r>
        <w:rPr>
          <w:rFonts w:hint="eastAsia" w:ascii="仿宋" w:hAnsi="仿宋" w:eastAsia="仿宋"/>
          <w:sz w:val="32"/>
          <w:szCs w:val="32"/>
          <w:lang w:eastAsia="zh-CN"/>
        </w:rPr>
        <w:t>。</w:t>
      </w:r>
      <w:r>
        <w:rPr>
          <w:rFonts w:hint="eastAsia" w:ascii="仿宋" w:hAnsi="仿宋" w:eastAsia="仿宋"/>
          <w:sz w:val="32"/>
          <w:szCs w:val="32"/>
        </w:rPr>
        <w:t>项目新增直接吸纳的就业人数</w:t>
      </w:r>
      <w:r>
        <w:rPr>
          <w:rFonts w:ascii="仿宋" w:hAnsi="仿宋" w:eastAsia="仿宋"/>
          <w:sz w:val="32"/>
          <w:szCs w:val="32"/>
        </w:rPr>
        <w:t>40</w:t>
      </w:r>
      <w:r>
        <w:rPr>
          <w:rFonts w:hint="eastAsia" w:ascii="仿宋" w:hAnsi="仿宋" w:eastAsia="仿宋"/>
          <w:sz w:val="32"/>
          <w:szCs w:val="32"/>
        </w:rPr>
        <w:t>人</w:t>
      </w:r>
      <w:r>
        <w:rPr>
          <w:rFonts w:hint="eastAsia" w:ascii="仿宋" w:hAnsi="仿宋" w:eastAsia="仿宋"/>
          <w:sz w:val="32"/>
          <w:szCs w:val="32"/>
          <w:lang w:eastAsia="zh-CN"/>
        </w:rPr>
        <w:t>，</w:t>
      </w:r>
      <w:r>
        <w:rPr>
          <w:rFonts w:hint="eastAsia" w:ascii="仿宋" w:hAnsi="仿宋" w:eastAsia="仿宋"/>
          <w:sz w:val="32"/>
          <w:szCs w:val="32"/>
        </w:rPr>
        <w:t>覆盖行政村</w:t>
      </w:r>
      <w:r>
        <w:rPr>
          <w:rFonts w:ascii="仿宋" w:hAnsi="仿宋" w:eastAsia="仿宋"/>
          <w:sz w:val="32"/>
          <w:szCs w:val="32"/>
        </w:rPr>
        <w:t>25</w:t>
      </w:r>
      <w:r>
        <w:rPr>
          <w:rFonts w:hint="eastAsia" w:ascii="仿宋" w:hAnsi="仿宋" w:eastAsia="仿宋"/>
          <w:sz w:val="32"/>
          <w:szCs w:val="32"/>
        </w:rPr>
        <w:t>个村</w:t>
      </w:r>
      <w:r>
        <w:rPr>
          <w:rFonts w:hint="eastAsia" w:ascii="仿宋" w:hAnsi="仿宋" w:eastAsia="仿宋"/>
          <w:sz w:val="32"/>
          <w:szCs w:val="32"/>
          <w:lang w:eastAsia="zh-CN"/>
        </w:rPr>
        <w:t>，</w:t>
      </w:r>
      <w:r>
        <w:rPr>
          <w:rFonts w:hint="eastAsia" w:ascii="仿宋" w:hAnsi="仿宋" w:eastAsia="仿宋"/>
          <w:sz w:val="32"/>
          <w:szCs w:val="32"/>
        </w:rPr>
        <w:t>项目直接带动受益农户</w:t>
      </w:r>
      <w:r>
        <w:rPr>
          <w:rFonts w:ascii="仿宋" w:hAnsi="仿宋" w:eastAsia="仿宋"/>
          <w:sz w:val="32"/>
          <w:szCs w:val="32"/>
        </w:rPr>
        <w:t>1264</w:t>
      </w:r>
      <w:r>
        <w:rPr>
          <w:rFonts w:hint="eastAsia" w:ascii="仿宋" w:hAnsi="仿宋" w:eastAsia="仿宋"/>
          <w:sz w:val="32"/>
          <w:szCs w:val="32"/>
        </w:rPr>
        <w:t>户</w:t>
      </w:r>
      <w:r>
        <w:rPr>
          <w:rFonts w:ascii="仿宋" w:hAnsi="仿宋" w:eastAsia="仿宋"/>
          <w:sz w:val="32"/>
          <w:szCs w:val="32"/>
        </w:rPr>
        <w:t>4273</w:t>
      </w:r>
      <w:r>
        <w:rPr>
          <w:rFonts w:hint="eastAsia" w:ascii="仿宋" w:hAnsi="仿宋" w:eastAsia="仿宋"/>
          <w:sz w:val="32"/>
          <w:szCs w:val="32"/>
        </w:rPr>
        <w:t>人</w:t>
      </w:r>
      <w:r>
        <w:rPr>
          <w:rFonts w:hint="eastAsia" w:ascii="仿宋" w:hAnsi="仿宋" w:eastAsia="仿宋"/>
          <w:sz w:val="32"/>
          <w:szCs w:val="32"/>
          <w:lang w:eastAsia="zh-CN"/>
        </w:rPr>
        <w:t>。</w:t>
      </w:r>
    </w:p>
    <w:p>
      <w:pPr>
        <w:adjustRightInd w:val="0"/>
        <w:snapToGrid w:val="0"/>
        <w:spacing w:line="600" w:lineRule="exact"/>
        <w:ind w:firstLine="720"/>
        <w:rPr>
          <w:rFonts w:ascii="楷体_GB2312" w:hAnsi="宋体" w:eastAsia="楷体_GB2312"/>
          <w:b/>
          <w:lang w:val="zh-CN"/>
        </w:rPr>
      </w:pPr>
      <w:r>
        <w:rPr>
          <w:rFonts w:hint="eastAsia" w:ascii="仿宋_GB2312" w:hAnsi="宋体"/>
          <w:lang w:val="en-US" w:eastAsia="zh-CN"/>
        </w:rPr>
        <w:t>2.</w:t>
      </w:r>
      <w:r>
        <w:rPr>
          <w:rFonts w:hint="eastAsia" w:ascii="仿宋_GB2312" w:eastAsia="仿宋_GB2312" w:cs="仿宋_GB2312"/>
          <w:szCs w:val="32"/>
        </w:rPr>
        <w:t>峨边壮大优势特色农业产业生猪养殖项目</w:t>
      </w:r>
      <w:r>
        <w:rPr>
          <w:rFonts w:hint="eastAsia" w:ascii="仿宋_GB2312" w:cs="仿宋_GB2312"/>
          <w:szCs w:val="32"/>
          <w:lang w:eastAsia="zh-CN"/>
        </w:rPr>
        <w:t>：</w:t>
      </w:r>
      <w:r>
        <w:rPr>
          <w:rFonts w:hint="eastAsia" w:ascii="仿宋_GB2312" w:eastAsia="仿宋_GB2312" w:cs="仿宋_GB2312"/>
          <w:szCs w:val="32"/>
        </w:rPr>
        <w:t>建设养殖圈舍，购置安装保温通风设施设备，购置安装自动供料系统，建设环保设施，购置防疫设施设备，安装建设水电设施，兴建工作用房等。项目总投资</w:t>
      </w:r>
      <w:r>
        <w:rPr>
          <w:rFonts w:ascii="仿宋_GB2312" w:eastAsia="仿宋_GB2312" w:cs="仿宋_GB2312"/>
          <w:szCs w:val="32"/>
        </w:rPr>
        <w:t>2640</w:t>
      </w:r>
      <w:r>
        <w:rPr>
          <w:rFonts w:hint="eastAsia" w:ascii="仿宋_GB2312" w:eastAsia="仿宋_GB2312" w:cs="仿宋_GB2312"/>
          <w:szCs w:val="32"/>
        </w:rPr>
        <w:t>万元，其中省级财政脱贫攻坚资金600万元（主要用于基础设施建设），业主自筹</w:t>
      </w:r>
      <w:r>
        <w:rPr>
          <w:rFonts w:ascii="仿宋_GB2312" w:eastAsia="仿宋_GB2312" w:cs="仿宋_GB2312"/>
          <w:szCs w:val="32"/>
        </w:rPr>
        <w:t>2040</w:t>
      </w:r>
      <w:r>
        <w:rPr>
          <w:rFonts w:hint="eastAsia" w:ascii="仿宋_GB2312" w:eastAsia="仿宋_GB2312" w:cs="仿宋_GB2312"/>
          <w:szCs w:val="32"/>
        </w:rPr>
        <w:t>万元</w:t>
      </w:r>
      <w:r>
        <w:rPr>
          <w:rFonts w:hint="eastAsia" w:ascii="仿宋_GB2312" w:cs="仿宋_GB2312"/>
          <w:szCs w:val="32"/>
          <w:lang w:eastAsia="zh-CN"/>
        </w:rPr>
        <w:t>。</w:t>
      </w:r>
      <w:r>
        <w:rPr>
          <w:rFonts w:hint="eastAsia" w:ascii="仿宋" w:hAnsi="仿宋" w:eastAsia="仿宋" w:cs="仿宋_GB2312"/>
          <w:sz w:val="32"/>
          <w:szCs w:val="32"/>
          <w:lang w:eastAsia="zh-CN"/>
        </w:rPr>
        <w:t>建设进度：</w:t>
      </w:r>
      <w:r>
        <w:rPr>
          <w:rFonts w:ascii="仿宋" w:hAnsi="仿宋" w:eastAsia="仿宋" w:cs="仿宋_GB2312"/>
          <w:sz w:val="32"/>
          <w:szCs w:val="32"/>
        </w:rPr>
        <w:t>20</w:t>
      </w:r>
      <w:r>
        <w:rPr>
          <w:rFonts w:hint="eastAsia" w:ascii="仿宋" w:hAnsi="仿宋" w:eastAsia="仿宋" w:cs="仿宋_GB2312"/>
          <w:sz w:val="32"/>
          <w:szCs w:val="32"/>
        </w:rPr>
        <w:t>20</w:t>
      </w:r>
      <w:r>
        <w:rPr>
          <w:rFonts w:hint="eastAsia" w:ascii="仿宋" w:hAnsi="仿宋" w:eastAsia="仿宋"/>
          <w:sz w:val="32"/>
          <w:szCs w:val="32"/>
        </w:rPr>
        <w:t>年</w:t>
      </w:r>
      <w:r>
        <w:rPr>
          <w:rFonts w:hint="eastAsia" w:ascii="仿宋" w:hAnsi="仿宋" w:eastAsia="仿宋" w:cs="仿宋_GB2312"/>
          <w:sz w:val="32"/>
          <w:szCs w:val="32"/>
        </w:rPr>
        <w:t>8</w:t>
      </w:r>
      <w:r>
        <w:rPr>
          <w:rFonts w:hint="eastAsia" w:ascii="仿宋" w:hAnsi="仿宋" w:eastAsia="仿宋"/>
          <w:sz w:val="32"/>
          <w:szCs w:val="32"/>
        </w:rPr>
        <w:t>月</w:t>
      </w:r>
      <w:r>
        <w:rPr>
          <w:rFonts w:ascii="仿宋" w:hAnsi="仿宋" w:eastAsia="仿宋"/>
          <w:sz w:val="32"/>
          <w:szCs w:val="32"/>
        </w:rPr>
        <w:t>—</w:t>
      </w:r>
      <w:r>
        <w:rPr>
          <w:rFonts w:ascii="仿宋" w:hAnsi="仿宋" w:eastAsia="仿宋" w:cs="仿宋_GB2312"/>
          <w:sz w:val="32"/>
          <w:szCs w:val="32"/>
        </w:rPr>
        <w:t>202</w:t>
      </w:r>
      <w:r>
        <w:rPr>
          <w:rFonts w:hint="eastAsia" w:ascii="仿宋" w:hAnsi="仿宋" w:eastAsia="仿宋" w:cs="仿宋_GB2312"/>
          <w:sz w:val="32"/>
          <w:szCs w:val="32"/>
        </w:rPr>
        <w:t>1</w:t>
      </w:r>
      <w:r>
        <w:rPr>
          <w:rFonts w:hint="eastAsia" w:ascii="仿宋" w:hAnsi="仿宋" w:eastAsia="仿宋"/>
          <w:sz w:val="32"/>
          <w:szCs w:val="32"/>
        </w:rPr>
        <w:t>年</w:t>
      </w:r>
      <w:r>
        <w:rPr>
          <w:rFonts w:hint="eastAsia" w:ascii="仿宋" w:hAnsi="仿宋" w:eastAsia="仿宋"/>
          <w:sz w:val="32"/>
          <w:szCs w:val="32"/>
          <w:lang w:val="en-US" w:eastAsia="zh-CN"/>
        </w:rPr>
        <w:t>6</w:t>
      </w:r>
      <w:r>
        <w:rPr>
          <w:rFonts w:hint="eastAsia" w:ascii="仿宋" w:hAnsi="仿宋" w:eastAsia="仿宋"/>
          <w:sz w:val="32"/>
          <w:szCs w:val="32"/>
        </w:rPr>
        <w:t>月</w:t>
      </w:r>
      <w:r>
        <w:rPr>
          <w:rFonts w:hint="eastAsia" w:ascii="仿宋" w:hAnsi="仿宋" w:eastAsia="仿宋"/>
          <w:sz w:val="32"/>
          <w:szCs w:val="32"/>
          <w:lang w:eastAsia="zh-CN"/>
        </w:rPr>
        <w:t>。</w:t>
      </w:r>
      <w:r>
        <w:rPr>
          <w:rFonts w:hint="eastAsia" w:ascii="仿宋_GB2312" w:eastAsia="仿宋_GB2312" w:cs="仿宋_GB2312"/>
          <w:szCs w:val="32"/>
        </w:rPr>
        <w:t>项目新增直接吸纳的就业人数50人</w:t>
      </w:r>
      <w:r>
        <w:rPr>
          <w:rFonts w:hint="eastAsia" w:ascii="仿宋_GB2312" w:cs="仿宋_GB2312"/>
          <w:szCs w:val="32"/>
          <w:lang w:eastAsia="zh-CN"/>
        </w:rPr>
        <w:t>，</w:t>
      </w:r>
      <w:r>
        <w:rPr>
          <w:rFonts w:hint="eastAsia" w:ascii="仿宋_GB2312" w:eastAsia="仿宋_GB2312" w:cs="仿宋_GB2312"/>
          <w:szCs w:val="32"/>
        </w:rPr>
        <w:t>项目覆盖村1</w:t>
      </w:r>
      <w:r>
        <w:rPr>
          <w:rFonts w:hint="eastAsia" w:ascii="仿宋_GB2312" w:cs="仿宋_GB2312"/>
          <w:szCs w:val="32"/>
          <w:lang w:val="en-US" w:eastAsia="zh-CN"/>
        </w:rPr>
        <w:t>5</w:t>
      </w:r>
      <w:r>
        <w:rPr>
          <w:rFonts w:hint="eastAsia" w:ascii="仿宋_GB2312" w:eastAsia="仿宋_GB2312" w:cs="仿宋_GB2312"/>
          <w:szCs w:val="32"/>
        </w:rPr>
        <w:t>个</w:t>
      </w:r>
      <w:r>
        <w:rPr>
          <w:rFonts w:hint="eastAsia" w:ascii="仿宋_GB2312" w:cs="仿宋_GB2312"/>
          <w:szCs w:val="32"/>
          <w:lang w:eastAsia="zh-CN"/>
        </w:rPr>
        <w:t>。</w:t>
      </w:r>
    </w:p>
    <w:p>
      <w:pPr>
        <w:adjustRightInd w:val="0"/>
        <w:snapToGrid w:val="0"/>
        <w:spacing w:line="600" w:lineRule="exact"/>
        <w:ind w:firstLine="720"/>
        <w:rPr>
          <w:rFonts w:ascii="黑体" w:hAnsi="宋体" w:eastAsia="黑体"/>
        </w:rPr>
      </w:pPr>
      <w:r>
        <w:rPr>
          <w:rFonts w:hint="eastAsia" w:ascii="黑体" w:hAnsi="宋体" w:eastAsia="黑体"/>
        </w:rPr>
        <w:t>二、项目资金</w:t>
      </w:r>
      <w:r>
        <w:rPr>
          <w:rFonts w:hint="eastAsia" w:ascii="黑体" w:hAnsi="宋体" w:eastAsia="黑体"/>
          <w:lang w:eastAsia="zh-CN"/>
        </w:rPr>
        <w:t>使用</w:t>
      </w:r>
      <w:r>
        <w:rPr>
          <w:rFonts w:hint="eastAsia" w:ascii="黑体" w:hAnsi="宋体" w:eastAsia="黑体"/>
        </w:rPr>
        <w:t>情况</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en-US" w:eastAsia="zh-CN"/>
        </w:rPr>
        <w:t>2019年11月，四川省财政厅、四川省扶贫开发局下达我县2019年省级财政脱贫攻坚资金（支持藏区彝区内生动力提升）项目资金2266万元。由县脱贫办牵头，会同农业等部门编制形成实施方案。2020年6-8月因选址和市场行情变化等因素影响，实施业主提出项目实施变更申请，分别于2020年7月、9月同意了项目变更，分别于2021年6月和9月按照实施方案完成项目实施后，对项目进行验收。</w:t>
      </w:r>
    </w:p>
    <w:p>
      <w:pPr>
        <w:pStyle w:val="2"/>
        <w:rPr>
          <w:rFonts w:hint="eastAsia" w:ascii="仿宋_GB2312" w:hAnsi="宋体"/>
          <w:lang w:val="en-US" w:eastAsia="zh-CN"/>
        </w:rPr>
      </w:pPr>
    </w:p>
    <w:p>
      <w:pPr>
        <w:pStyle w:val="2"/>
        <w:rPr>
          <w:rFonts w:hint="eastAsia" w:ascii="仿宋_GB2312" w:hAnsi="宋体"/>
          <w:lang w:val="en-US" w:eastAsia="zh-CN"/>
        </w:rPr>
      </w:pPr>
    </w:p>
    <w:p>
      <w:pPr>
        <w:pStyle w:val="2"/>
        <w:jc w:val="center"/>
        <w:rPr>
          <w:rFonts w:hint="eastAsia" w:ascii="仿宋_GB2312" w:hAnsi="宋体"/>
          <w:lang w:val="en-US" w:eastAsia="zh-CN"/>
        </w:rPr>
      </w:pPr>
      <w:r>
        <w:rPr>
          <w:rFonts w:hint="eastAsia" w:ascii="仿宋_GB2312" w:hAnsi="宋体" w:eastAsia="仿宋_GB2312"/>
          <w:sz w:val="32"/>
          <w:szCs w:val="32"/>
        </w:rPr>
        <w:t>峨边天缘壮大特色农业产业商品猪养殖项目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696"/>
        <w:gridCol w:w="1276"/>
        <w:gridCol w:w="1417"/>
        <w:gridCol w:w="1276"/>
        <w:gridCol w:w="1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843" w:type="dxa"/>
            <w:vMerge w:val="restart"/>
            <w:vAlign w:val="center"/>
          </w:tcPr>
          <w:p>
            <w:pPr>
              <w:widowControl w:val="0"/>
              <w:spacing w:after="0" w:line="240" w:lineRule="auto"/>
              <w:rPr>
                <w:rFonts w:ascii="仿宋" w:hAnsi="仿宋" w:eastAsia="仿宋"/>
                <w:sz w:val="24"/>
                <w:szCs w:val="24"/>
              </w:rPr>
            </w:pPr>
            <w:r>
              <w:rPr>
                <w:rFonts w:hint="eastAsia" w:ascii="仿宋" w:hAnsi="仿宋" w:eastAsia="仿宋"/>
                <w:sz w:val="24"/>
                <w:szCs w:val="24"/>
              </w:rPr>
              <w:t>序号</w:t>
            </w:r>
          </w:p>
        </w:tc>
        <w:tc>
          <w:tcPr>
            <w:tcW w:w="2696" w:type="dxa"/>
            <w:vMerge w:val="restart"/>
            <w:vAlign w:val="center"/>
          </w:tcPr>
          <w:p>
            <w:pPr>
              <w:widowControl w:val="0"/>
              <w:spacing w:after="0" w:line="240" w:lineRule="auto"/>
              <w:jc w:val="center"/>
              <w:rPr>
                <w:rFonts w:ascii="仿宋" w:hAnsi="仿宋" w:eastAsia="仿宋"/>
                <w:sz w:val="24"/>
                <w:szCs w:val="24"/>
              </w:rPr>
            </w:pPr>
            <w:r>
              <w:rPr>
                <w:rFonts w:hint="eastAsia" w:ascii="仿宋" w:hAnsi="仿宋" w:eastAsia="仿宋"/>
                <w:sz w:val="24"/>
                <w:szCs w:val="24"/>
              </w:rPr>
              <w:t>建设内容</w:t>
            </w:r>
          </w:p>
        </w:tc>
        <w:tc>
          <w:tcPr>
            <w:tcW w:w="1276" w:type="dxa"/>
            <w:vMerge w:val="restart"/>
            <w:vAlign w:val="center"/>
          </w:tcPr>
          <w:p>
            <w:pPr>
              <w:widowControl w:val="0"/>
              <w:spacing w:after="0" w:line="240" w:lineRule="auto"/>
              <w:jc w:val="center"/>
              <w:rPr>
                <w:rFonts w:ascii="仿宋" w:hAnsi="仿宋" w:eastAsia="仿宋"/>
                <w:sz w:val="24"/>
                <w:szCs w:val="24"/>
              </w:rPr>
            </w:pPr>
            <w:r>
              <w:rPr>
                <w:rFonts w:hint="eastAsia" w:ascii="仿宋" w:hAnsi="仿宋" w:eastAsia="仿宋"/>
                <w:sz w:val="24"/>
                <w:szCs w:val="24"/>
              </w:rPr>
              <w:t>投资额</w:t>
            </w:r>
          </w:p>
          <w:p>
            <w:pPr>
              <w:widowControl w:val="0"/>
              <w:spacing w:after="0" w:line="240" w:lineRule="auto"/>
              <w:jc w:val="center"/>
              <w:rPr>
                <w:rFonts w:ascii="仿宋" w:hAnsi="仿宋" w:eastAsia="仿宋"/>
                <w:sz w:val="24"/>
                <w:szCs w:val="24"/>
              </w:rPr>
            </w:pPr>
            <w:r>
              <w:rPr>
                <w:rFonts w:hint="eastAsia" w:ascii="仿宋" w:hAnsi="仿宋" w:eastAsia="仿宋"/>
                <w:sz w:val="24"/>
                <w:szCs w:val="24"/>
              </w:rPr>
              <w:t>（万元）</w:t>
            </w:r>
          </w:p>
        </w:tc>
        <w:tc>
          <w:tcPr>
            <w:tcW w:w="3740" w:type="dxa"/>
            <w:gridSpan w:val="3"/>
            <w:vAlign w:val="center"/>
          </w:tcPr>
          <w:p>
            <w:pPr>
              <w:widowControl w:val="0"/>
              <w:spacing w:after="0" w:line="240" w:lineRule="auto"/>
              <w:jc w:val="center"/>
              <w:rPr>
                <w:rFonts w:ascii="仿宋" w:hAnsi="仿宋" w:eastAsia="仿宋"/>
                <w:sz w:val="24"/>
                <w:szCs w:val="24"/>
              </w:rPr>
            </w:pPr>
            <w:r>
              <w:rPr>
                <w:rFonts w:hint="eastAsia" w:ascii="仿宋" w:hAnsi="仿宋" w:eastAsia="仿宋"/>
                <w:sz w:val="24"/>
                <w:szCs w:val="24"/>
              </w:rPr>
              <w:t>补助金额（万元）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843" w:type="dxa"/>
            <w:vMerge w:val="continue"/>
            <w:vAlign w:val="center"/>
          </w:tcPr>
          <w:p>
            <w:pPr>
              <w:widowControl w:val="0"/>
              <w:spacing w:after="0" w:line="240" w:lineRule="auto"/>
              <w:rPr>
                <w:rFonts w:ascii="仿宋" w:hAnsi="仿宋" w:eastAsia="仿宋"/>
                <w:sz w:val="24"/>
                <w:szCs w:val="24"/>
              </w:rPr>
            </w:pPr>
          </w:p>
        </w:tc>
        <w:tc>
          <w:tcPr>
            <w:tcW w:w="2696" w:type="dxa"/>
            <w:vMerge w:val="continue"/>
            <w:vAlign w:val="center"/>
          </w:tcPr>
          <w:p>
            <w:pPr>
              <w:widowControl w:val="0"/>
              <w:spacing w:after="0" w:line="240" w:lineRule="auto"/>
              <w:rPr>
                <w:rFonts w:ascii="仿宋" w:hAnsi="仿宋" w:eastAsia="仿宋"/>
                <w:sz w:val="24"/>
                <w:szCs w:val="24"/>
              </w:rPr>
            </w:pPr>
          </w:p>
        </w:tc>
        <w:tc>
          <w:tcPr>
            <w:tcW w:w="1276" w:type="dxa"/>
            <w:vMerge w:val="continue"/>
            <w:vAlign w:val="center"/>
          </w:tcPr>
          <w:p>
            <w:pPr>
              <w:widowControl w:val="0"/>
              <w:spacing w:after="0" w:line="240" w:lineRule="auto"/>
              <w:rPr>
                <w:rFonts w:ascii="仿宋" w:hAnsi="仿宋" w:eastAsia="仿宋"/>
                <w:sz w:val="24"/>
                <w:szCs w:val="24"/>
              </w:rPr>
            </w:pPr>
          </w:p>
        </w:tc>
        <w:tc>
          <w:tcPr>
            <w:tcW w:w="1417" w:type="dxa"/>
            <w:vAlign w:val="center"/>
          </w:tcPr>
          <w:p>
            <w:pPr>
              <w:widowControl w:val="0"/>
              <w:spacing w:after="0" w:line="240" w:lineRule="auto"/>
              <w:rPr>
                <w:rFonts w:ascii="仿宋" w:hAnsi="仿宋" w:eastAsia="仿宋"/>
                <w:sz w:val="24"/>
                <w:szCs w:val="24"/>
              </w:rPr>
            </w:pPr>
            <w:r>
              <w:rPr>
                <w:rFonts w:hint="eastAsia" w:ascii="仿宋" w:hAnsi="仿宋" w:eastAsia="仿宋"/>
                <w:sz w:val="24"/>
                <w:szCs w:val="24"/>
              </w:rPr>
              <w:t>省级财政脱贫攻坚资金</w:t>
            </w:r>
          </w:p>
        </w:tc>
        <w:tc>
          <w:tcPr>
            <w:tcW w:w="1276" w:type="dxa"/>
            <w:vAlign w:val="center"/>
          </w:tcPr>
          <w:p>
            <w:pPr>
              <w:widowControl w:val="0"/>
              <w:spacing w:after="0" w:line="240" w:lineRule="auto"/>
              <w:rPr>
                <w:rFonts w:ascii="仿宋" w:hAnsi="仿宋" w:eastAsia="仿宋"/>
                <w:sz w:val="24"/>
                <w:szCs w:val="24"/>
              </w:rPr>
            </w:pPr>
            <w:r>
              <w:rPr>
                <w:rFonts w:hint="eastAsia" w:ascii="仿宋" w:hAnsi="仿宋" w:eastAsia="仿宋"/>
                <w:sz w:val="24"/>
                <w:szCs w:val="24"/>
              </w:rPr>
              <w:t>市县两级财政投入</w:t>
            </w:r>
          </w:p>
        </w:tc>
        <w:tc>
          <w:tcPr>
            <w:tcW w:w="1047" w:type="dxa"/>
            <w:vAlign w:val="center"/>
          </w:tcPr>
          <w:p>
            <w:pPr>
              <w:widowControl w:val="0"/>
              <w:spacing w:after="0" w:line="240" w:lineRule="auto"/>
              <w:rPr>
                <w:rFonts w:ascii="仿宋" w:hAnsi="仿宋" w:eastAsia="仿宋"/>
                <w:sz w:val="24"/>
                <w:szCs w:val="24"/>
              </w:rPr>
            </w:pPr>
            <w:r>
              <w:rPr>
                <w:rFonts w:hint="eastAsia" w:ascii="仿宋" w:hAnsi="仿宋" w:eastAsia="仿宋"/>
                <w:sz w:val="24"/>
                <w:szCs w:val="24"/>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843" w:type="dxa"/>
          </w:tcPr>
          <w:p>
            <w:pPr>
              <w:widowControl w:val="0"/>
              <w:spacing w:after="0" w:line="240" w:lineRule="auto"/>
              <w:rPr>
                <w:rFonts w:ascii="仿宋" w:hAnsi="仿宋" w:eastAsia="仿宋"/>
                <w:sz w:val="24"/>
                <w:szCs w:val="24"/>
              </w:rPr>
            </w:pPr>
            <w:r>
              <w:rPr>
                <w:rFonts w:hint="eastAsia" w:ascii="仿宋" w:hAnsi="仿宋" w:eastAsia="仿宋"/>
                <w:sz w:val="24"/>
                <w:szCs w:val="24"/>
              </w:rPr>
              <w:t>一</w:t>
            </w:r>
          </w:p>
        </w:tc>
        <w:tc>
          <w:tcPr>
            <w:tcW w:w="2696" w:type="dxa"/>
          </w:tcPr>
          <w:p>
            <w:pPr>
              <w:widowControl w:val="0"/>
              <w:spacing w:after="0" w:line="240" w:lineRule="auto"/>
              <w:rPr>
                <w:rFonts w:ascii="仿宋" w:hAnsi="仿宋" w:eastAsia="仿宋"/>
                <w:sz w:val="24"/>
                <w:szCs w:val="24"/>
              </w:rPr>
            </w:pPr>
            <w:r>
              <w:rPr>
                <w:rFonts w:hint="eastAsia" w:ascii="仿宋" w:hAnsi="仿宋" w:eastAsia="仿宋"/>
                <w:sz w:val="24"/>
                <w:szCs w:val="24"/>
              </w:rPr>
              <w:t>设施建设</w:t>
            </w:r>
          </w:p>
        </w:tc>
        <w:tc>
          <w:tcPr>
            <w:tcW w:w="1276" w:type="dxa"/>
          </w:tcPr>
          <w:p>
            <w:pPr>
              <w:widowControl w:val="0"/>
              <w:spacing w:after="0" w:line="240" w:lineRule="auto"/>
              <w:rPr>
                <w:rFonts w:ascii="仿宋" w:hAnsi="仿宋" w:eastAsia="仿宋"/>
                <w:sz w:val="24"/>
                <w:szCs w:val="24"/>
              </w:rPr>
            </w:pPr>
            <w:r>
              <w:rPr>
                <w:rFonts w:hint="eastAsia" w:ascii="仿宋" w:hAnsi="仿宋" w:eastAsia="仿宋"/>
                <w:sz w:val="24"/>
                <w:szCs w:val="24"/>
              </w:rPr>
              <w:t>993.72</w:t>
            </w:r>
          </w:p>
        </w:tc>
        <w:tc>
          <w:tcPr>
            <w:tcW w:w="1417" w:type="dxa"/>
          </w:tcPr>
          <w:p>
            <w:pPr>
              <w:widowControl w:val="0"/>
              <w:spacing w:after="0" w:line="240" w:lineRule="auto"/>
              <w:rPr>
                <w:rFonts w:ascii="仿宋" w:hAnsi="仿宋" w:eastAsia="仿宋"/>
                <w:sz w:val="24"/>
                <w:szCs w:val="24"/>
              </w:rPr>
            </w:pPr>
            <w:r>
              <w:rPr>
                <w:rFonts w:hint="eastAsia" w:ascii="仿宋" w:hAnsi="仿宋" w:eastAsia="仿宋"/>
                <w:sz w:val="24"/>
                <w:szCs w:val="24"/>
              </w:rPr>
              <w:t>534.51</w:t>
            </w:r>
          </w:p>
        </w:tc>
        <w:tc>
          <w:tcPr>
            <w:tcW w:w="1276" w:type="dxa"/>
          </w:tcPr>
          <w:p>
            <w:pPr>
              <w:widowControl w:val="0"/>
              <w:spacing w:after="0" w:line="240" w:lineRule="auto"/>
              <w:rPr>
                <w:rFonts w:ascii="仿宋" w:hAnsi="仿宋" w:eastAsia="仿宋"/>
                <w:sz w:val="24"/>
                <w:szCs w:val="24"/>
              </w:rPr>
            </w:pPr>
          </w:p>
        </w:tc>
        <w:tc>
          <w:tcPr>
            <w:tcW w:w="1047" w:type="dxa"/>
          </w:tcPr>
          <w:p>
            <w:pPr>
              <w:widowControl w:val="0"/>
              <w:spacing w:after="0" w:line="240" w:lineRule="auto"/>
              <w:rPr>
                <w:rFonts w:ascii="仿宋" w:hAnsi="仿宋" w:eastAsia="仿宋"/>
                <w:sz w:val="24"/>
                <w:szCs w:val="24"/>
              </w:rPr>
            </w:pPr>
            <w:r>
              <w:rPr>
                <w:rFonts w:hint="eastAsia" w:ascii="仿宋" w:hAnsi="仿宋" w:eastAsia="仿宋"/>
                <w:sz w:val="24"/>
                <w:szCs w:val="24"/>
              </w:rPr>
              <w:t>459.21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843" w:type="dxa"/>
          </w:tcPr>
          <w:p>
            <w:pPr>
              <w:widowControl w:val="0"/>
              <w:spacing w:after="0" w:line="240" w:lineRule="auto"/>
              <w:rPr>
                <w:rFonts w:ascii="仿宋" w:hAnsi="仿宋" w:eastAsia="仿宋"/>
                <w:sz w:val="24"/>
                <w:szCs w:val="24"/>
              </w:rPr>
            </w:pPr>
            <w:r>
              <w:rPr>
                <w:rFonts w:hint="eastAsia" w:ascii="仿宋" w:hAnsi="仿宋" w:eastAsia="仿宋"/>
                <w:sz w:val="24"/>
                <w:szCs w:val="24"/>
              </w:rPr>
              <w:t>二</w:t>
            </w:r>
          </w:p>
        </w:tc>
        <w:tc>
          <w:tcPr>
            <w:tcW w:w="2696" w:type="dxa"/>
          </w:tcPr>
          <w:p>
            <w:pPr>
              <w:widowControl w:val="0"/>
              <w:spacing w:after="0" w:line="240" w:lineRule="auto"/>
              <w:rPr>
                <w:rFonts w:ascii="仿宋" w:hAnsi="仿宋" w:eastAsia="仿宋"/>
                <w:sz w:val="24"/>
                <w:szCs w:val="24"/>
              </w:rPr>
            </w:pPr>
            <w:r>
              <w:rPr>
                <w:rFonts w:hint="eastAsia" w:ascii="仿宋" w:hAnsi="仿宋" w:eastAsia="仿宋"/>
                <w:sz w:val="24"/>
                <w:szCs w:val="24"/>
              </w:rPr>
              <w:t>设备购置及安装</w:t>
            </w:r>
          </w:p>
        </w:tc>
        <w:tc>
          <w:tcPr>
            <w:tcW w:w="1276" w:type="dxa"/>
          </w:tcPr>
          <w:p>
            <w:pPr>
              <w:widowControl w:val="0"/>
              <w:spacing w:after="0" w:line="240" w:lineRule="auto"/>
              <w:rPr>
                <w:rFonts w:ascii="仿宋" w:hAnsi="仿宋" w:eastAsia="仿宋"/>
                <w:sz w:val="24"/>
                <w:szCs w:val="24"/>
              </w:rPr>
            </w:pPr>
            <w:r>
              <w:rPr>
                <w:rFonts w:hint="eastAsia" w:ascii="仿宋" w:hAnsi="仿宋" w:eastAsia="仿宋"/>
                <w:sz w:val="24"/>
                <w:szCs w:val="24"/>
              </w:rPr>
              <w:t>295.6</w:t>
            </w:r>
          </w:p>
        </w:tc>
        <w:tc>
          <w:tcPr>
            <w:tcW w:w="1417" w:type="dxa"/>
          </w:tcPr>
          <w:p>
            <w:pPr>
              <w:widowControl w:val="0"/>
              <w:spacing w:after="0" w:line="240" w:lineRule="auto"/>
              <w:rPr>
                <w:rFonts w:ascii="仿宋" w:hAnsi="仿宋" w:eastAsia="仿宋"/>
                <w:sz w:val="24"/>
                <w:szCs w:val="24"/>
              </w:rPr>
            </w:pPr>
            <w:r>
              <w:rPr>
                <w:rFonts w:hint="eastAsia" w:ascii="仿宋" w:hAnsi="仿宋" w:eastAsia="仿宋"/>
                <w:sz w:val="24"/>
                <w:szCs w:val="24"/>
              </w:rPr>
              <w:t>131.49</w:t>
            </w:r>
          </w:p>
        </w:tc>
        <w:tc>
          <w:tcPr>
            <w:tcW w:w="1276" w:type="dxa"/>
          </w:tcPr>
          <w:p>
            <w:pPr>
              <w:widowControl w:val="0"/>
              <w:spacing w:after="0" w:line="240" w:lineRule="auto"/>
              <w:rPr>
                <w:rFonts w:ascii="仿宋" w:hAnsi="仿宋" w:eastAsia="仿宋"/>
                <w:sz w:val="24"/>
                <w:szCs w:val="24"/>
              </w:rPr>
            </w:pPr>
          </w:p>
        </w:tc>
        <w:tc>
          <w:tcPr>
            <w:tcW w:w="1047" w:type="dxa"/>
          </w:tcPr>
          <w:p>
            <w:pPr>
              <w:widowControl w:val="0"/>
              <w:spacing w:after="0" w:line="240" w:lineRule="auto"/>
              <w:rPr>
                <w:rFonts w:ascii="仿宋" w:hAnsi="仿宋" w:eastAsia="仿宋"/>
                <w:sz w:val="24"/>
                <w:szCs w:val="24"/>
              </w:rPr>
            </w:pPr>
            <w:r>
              <w:rPr>
                <w:rFonts w:hint="eastAsia" w:ascii="仿宋" w:hAnsi="仿宋" w:eastAsia="仿宋"/>
                <w:sz w:val="24"/>
                <w:szCs w:val="24"/>
              </w:rPr>
              <w:t>164.11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843" w:type="dxa"/>
          </w:tcPr>
          <w:p>
            <w:pPr>
              <w:widowControl w:val="0"/>
              <w:spacing w:after="0" w:line="240" w:lineRule="auto"/>
              <w:rPr>
                <w:rFonts w:ascii="仿宋" w:hAnsi="仿宋" w:eastAsia="仿宋"/>
                <w:sz w:val="24"/>
                <w:szCs w:val="24"/>
              </w:rPr>
            </w:pPr>
            <w:r>
              <w:rPr>
                <w:rFonts w:hint="eastAsia" w:ascii="仿宋" w:hAnsi="仿宋" w:eastAsia="仿宋"/>
                <w:sz w:val="24"/>
                <w:szCs w:val="24"/>
              </w:rPr>
              <w:t>三</w:t>
            </w:r>
          </w:p>
        </w:tc>
        <w:tc>
          <w:tcPr>
            <w:tcW w:w="2696" w:type="dxa"/>
          </w:tcPr>
          <w:p>
            <w:pPr>
              <w:widowControl w:val="0"/>
              <w:spacing w:after="0" w:line="240" w:lineRule="auto"/>
              <w:rPr>
                <w:rFonts w:ascii="仿宋" w:hAnsi="仿宋" w:eastAsia="仿宋"/>
                <w:sz w:val="24"/>
                <w:szCs w:val="24"/>
              </w:rPr>
            </w:pPr>
            <w:r>
              <w:rPr>
                <w:rFonts w:hint="eastAsia" w:ascii="仿宋" w:hAnsi="仿宋" w:eastAsia="仿宋"/>
                <w:sz w:val="24"/>
                <w:szCs w:val="24"/>
              </w:rPr>
              <w:t>配套设施建设</w:t>
            </w:r>
          </w:p>
        </w:tc>
        <w:tc>
          <w:tcPr>
            <w:tcW w:w="1276" w:type="dxa"/>
          </w:tcPr>
          <w:p>
            <w:pPr>
              <w:widowControl w:val="0"/>
              <w:spacing w:after="0" w:line="240" w:lineRule="auto"/>
              <w:rPr>
                <w:rFonts w:ascii="仿宋" w:hAnsi="仿宋" w:eastAsia="仿宋"/>
                <w:sz w:val="24"/>
                <w:szCs w:val="24"/>
              </w:rPr>
            </w:pPr>
            <w:r>
              <w:rPr>
                <w:rFonts w:hint="eastAsia" w:ascii="仿宋" w:hAnsi="仿宋" w:eastAsia="仿宋"/>
                <w:sz w:val="24"/>
                <w:szCs w:val="24"/>
              </w:rPr>
              <w:t>91.28</w:t>
            </w:r>
          </w:p>
        </w:tc>
        <w:tc>
          <w:tcPr>
            <w:tcW w:w="1417" w:type="dxa"/>
          </w:tcPr>
          <w:p>
            <w:pPr>
              <w:widowControl w:val="0"/>
              <w:spacing w:after="0" w:line="240" w:lineRule="auto"/>
              <w:rPr>
                <w:rFonts w:ascii="仿宋" w:hAnsi="仿宋" w:eastAsia="仿宋"/>
                <w:sz w:val="24"/>
                <w:szCs w:val="24"/>
              </w:rPr>
            </w:pPr>
          </w:p>
        </w:tc>
        <w:tc>
          <w:tcPr>
            <w:tcW w:w="1276" w:type="dxa"/>
          </w:tcPr>
          <w:p>
            <w:pPr>
              <w:widowControl w:val="0"/>
              <w:spacing w:after="0" w:line="240" w:lineRule="auto"/>
              <w:rPr>
                <w:rFonts w:ascii="仿宋" w:hAnsi="仿宋" w:eastAsia="仿宋"/>
                <w:sz w:val="24"/>
                <w:szCs w:val="24"/>
              </w:rPr>
            </w:pPr>
          </w:p>
        </w:tc>
        <w:tc>
          <w:tcPr>
            <w:tcW w:w="1047" w:type="dxa"/>
          </w:tcPr>
          <w:p>
            <w:pPr>
              <w:widowControl w:val="0"/>
              <w:spacing w:after="0" w:line="240" w:lineRule="auto"/>
              <w:rPr>
                <w:rFonts w:ascii="仿宋" w:hAnsi="仿宋" w:eastAsia="仿宋"/>
                <w:sz w:val="24"/>
                <w:szCs w:val="24"/>
              </w:rPr>
            </w:pPr>
            <w:r>
              <w:rPr>
                <w:rFonts w:hint="eastAsia" w:ascii="仿宋" w:hAnsi="仿宋" w:eastAsia="仿宋"/>
                <w:sz w:val="24"/>
                <w:szCs w:val="24"/>
              </w:rPr>
              <w:t>91.28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843" w:type="dxa"/>
          </w:tcPr>
          <w:p>
            <w:pPr>
              <w:widowControl w:val="0"/>
              <w:spacing w:after="0" w:line="240" w:lineRule="auto"/>
              <w:rPr>
                <w:rFonts w:ascii="仿宋" w:hAnsi="仿宋" w:eastAsia="仿宋"/>
                <w:sz w:val="24"/>
                <w:szCs w:val="24"/>
              </w:rPr>
            </w:pPr>
            <w:r>
              <w:rPr>
                <w:rFonts w:hint="eastAsia" w:ascii="仿宋" w:hAnsi="仿宋" w:eastAsia="仿宋"/>
                <w:sz w:val="24"/>
                <w:szCs w:val="24"/>
              </w:rPr>
              <w:t>合计</w:t>
            </w:r>
          </w:p>
        </w:tc>
        <w:tc>
          <w:tcPr>
            <w:tcW w:w="2696" w:type="dxa"/>
          </w:tcPr>
          <w:p>
            <w:pPr>
              <w:widowControl w:val="0"/>
              <w:spacing w:after="0" w:line="240" w:lineRule="auto"/>
              <w:rPr>
                <w:rFonts w:ascii="仿宋" w:hAnsi="仿宋" w:eastAsia="仿宋"/>
                <w:sz w:val="24"/>
                <w:szCs w:val="24"/>
              </w:rPr>
            </w:pPr>
          </w:p>
        </w:tc>
        <w:tc>
          <w:tcPr>
            <w:tcW w:w="1276" w:type="dxa"/>
          </w:tcPr>
          <w:p>
            <w:pPr>
              <w:widowControl w:val="0"/>
              <w:spacing w:after="0" w:line="240" w:lineRule="auto"/>
              <w:rPr>
                <w:rFonts w:ascii="仿宋" w:hAnsi="仿宋" w:eastAsia="仿宋"/>
                <w:sz w:val="24"/>
                <w:szCs w:val="24"/>
              </w:rPr>
            </w:pPr>
            <w:r>
              <w:rPr>
                <w:rFonts w:hint="eastAsia" w:ascii="仿宋" w:hAnsi="仿宋" w:eastAsia="仿宋"/>
                <w:sz w:val="24"/>
                <w:szCs w:val="24"/>
              </w:rPr>
              <w:t>1380.6</w:t>
            </w:r>
          </w:p>
        </w:tc>
        <w:tc>
          <w:tcPr>
            <w:tcW w:w="1417" w:type="dxa"/>
          </w:tcPr>
          <w:p>
            <w:pPr>
              <w:widowControl w:val="0"/>
              <w:spacing w:after="0" w:line="240" w:lineRule="auto"/>
              <w:rPr>
                <w:rFonts w:ascii="仿宋" w:hAnsi="仿宋" w:eastAsia="仿宋"/>
                <w:sz w:val="24"/>
                <w:szCs w:val="24"/>
              </w:rPr>
            </w:pPr>
            <w:r>
              <w:rPr>
                <w:rFonts w:hint="eastAsia" w:ascii="仿宋" w:hAnsi="仿宋" w:eastAsia="仿宋"/>
                <w:sz w:val="24"/>
                <w:szCs w:val="24"/>
              </w:rPr>
              <w:t>666.00</w:t>
            </w:r>
          </w:p>
        </w:tc>
        <w:tc>
          <w:tcPr>
            <w:tcW w:w="1276" w:type="dxa"/>
          </w:tcPr>
          <w:p>
            <w:pPr>
              <w:widowControl w:val="0"/>
              <w:spacing w:after="0" w:line="240" w:lineRule="auto"/>
              <w:rPr>
                <w:rFonts w:ascii="仿宋" w:hAnsi="仿宋" w:eastAsia="仿宋"/>
                <w:sz w:val="24"/>
                <w:szCs w:val="24"/>
              </w:rPr>
            </w:pPr>
          </w:p>
        </w:tc>
        <w:tc>
          <w:tcPr>
            <w:tcW w:w="1047" w:type="dxa"/>
          </w:tcPr>
          <w:p>
            <w:pPr>
              <w:widowControl w:val="0"/>
              <w:spacing w:after="0" w:line="240" w:lineRule="auto"/>
              <w:rPr>
                <w:rFonts w:ascii="仿宋" w:hAnsi="仿宋" w:eastAsia="仿宋"/>
                <w:sz w:val="24"/>
                <w:szCs w:val="24"/>
              </w:rPr>
            </w:pPr>
            <w:r>
              <w:rPr>
                <w:rFonts w:hint="eastAsia" w:ascii="仿宋" w:hAnsi="仿宋" w:eastAsia="仿宋"/>
                <w:sz w:val="24"/>
                <w:szCs w:val="24"/>
              </w:rPr>
              <w:t>714.60</w:t>
            </w:r>
          </w:p>
        </w:tc>
      </w:tr>
    </w:tbl>
    <w:p>
      <w:pPr>
        <w:pStyle w:val="2"/>
        <w:rPr>
          <w:rFonts w:hint="eastAsia" w:ascii="仿宋_GB2312" w:hAnsi="宋体"/>
          <w:lang w:val="en-US" w:eastAsia="zh-CN"/>
        </w:rPr>
      </w:pPr>
    </w:p>
    <w:p>
      <w:pPr>
        <w:pStyle w:val="2"/>
        <w:jc w:val="center"/>
        <w:rPr>
          <w:rFonts w:hint="eastAsia" w:ascii="仿宋_GB2312" w:hAnsi="宋体"/>
          <w:lang w:val="en-US" w:eastAsia="zh-CN"/>
        </w:rPr>
      </w:pPr>
      <w:r>
        <w:rPr>
          <w:rFonts w:hint="eastAsia" w:ascii="仿宋_GB2312" w:eastAsia="仿宋_GB2312" w:cs="仿宋_GB2312"/>
          <w:szCs w:val="32"/>
        </w:rPr>
        <w:t>峨边壮大优势特色农业产业生猪养殖项目</w:t>
      </w:r>
    </w:p>
    <w:tbl>
      <w:tblPr>
        <w:tblStyle w:val="6"/>
        <w:tblW w:w="497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2180"/>
        <w:gridCol w:w="1080"/>
        <w:gridCol w:w="1675"/>
        <w:gridCol w:w="1748"/>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358"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eastAsia="仿宋_GB2312" w:cs="仿宋_GB2312"/>
                <w:sz w:val="24"/>
                <w:szCs w:val="24"/>
              </w:rPr>
            </w:pPr>
            <w:r>
              <w:rPr>
                <w:rFonts w:hint="eastAsia" w:ascii="仿宋_GB2312" w:eastAsia="仿宋_GB2312" w:cs="仿宋_GB2312"/>
                <w:sz w:val="24"/>
                <w:szCs w:val="24"/>
              </w:rPr>
              <w:t>序号</w:t>
            </w:r>
          </w:p>
        </w:tc>
        <w:tc>
          <w:tcPr>
            <w:tcW w:w="1238"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eastAsia="仿宋_GB2312" w:cs="仿宋_GB2312"/>
                <w:sz w:val="24"/>
                <w:szCs w:val="24"/>
              </w:rPr>
            </w:pPr>
            <w:r>
              <w:rPr>
                <w:rFonts w:hint="eastAsia" w:ascii="仿宋_GB2312" w:eastAsia="仿宋_GB2312" w:cs="仿宋_GB2312"/>
                <w:sz w:val="24"/>
                <w:szCs w:val="24"/>
              </w:rPr>
              <w:t>建设内容</w:t>
            </w:r>
          </w:p>
        </w:tc>
        <w:tc>
          <w:tcPr>
            <w:tcW w:w="613" w:type="pct"/>
            <w:vMerge w:val="restar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eastAsia="仿宋_GB2312" w:cs="仿宋_GB2312"/>
                <w:sz w:val="24"/>
                <w:szCs w:val="24"/>
              </w:rPr>
            </w:pPr>
            <w:r>
              <w:rPr>
                <w:rFonts w:hint="eastAsia" w:ascii="仿宋_GB2312" w:eastAsia="仿宋_GB2312" w:cs="仿宋_GB2312"/>
                <w:sz w:val="24"/>
                <w:szCs w:val="24"/>
              </w:rPr>
              <w:t>投资额</w:t>
            </w:r>
          </w:p>
          <w:p>
            <w:pPr>
              <w:widowControl w:val="0"/>
              <w:spacing w:after="0" w:line="240" w:lineRule="auto"/>
              <w:jc w:val="center"/>
              <w:rPr>
                <w:rFonts w:ascii="仿宋_GB2312" w:eastAsia="仿宋_GB2312" w:cs="仿宋_GB2312"/>
                <w:sz w:val="24"/>
                <w:szCs w:val="24"/>
              </w:rPr>
            </w:pPr>
            <w:r>
              <w:rPr>
                <w:rFonts w:hint="eastAsia" w:ascii="仿宋_GB2312" w:eastAsia="仿宋_GB2312" w:cs="仿宋_GB2312"/>
                <w:sz w:val="24"/>
                <w:szCs w:val="24"/>
              </w:rPr>
              <w:t>（万元）</w:t>
            </w:r>
          </w:p>
        </w:tc>
        <w:tc>
          <w:tcPr>
            <w:tcW w:w="2791" w:type="pct"/>
            <w:gridSpan w:val="3"/>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eastAsia="仿宋_GB2312" w:cs="仿宋_GB2312"/>
                <w:sz w:val="24"/>
                <w:szCs w:val="24"/>
              </w:rPr>
            </w:pPr>
            <w:r>
              <w:rPr>
                <w:rFonts w:hint="eastAsia" w:ascii="仿宋_GB2312" w:eastAsia="仿宋_GB2312" w:cs="仿宋_GB2312"/>
                <w:sz w:val="24"/>
                <w:szCs w:val="24"/>
              </w:rPr>
              <w:t>补助金额（万元）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358"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tc>
        <w:tc>
          <w:tcPr>
            <w:tcW w:w="1238"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tc>
        <w:tc>
          <w:tcPr>
            <w:tcW w:w="613" w:type="pct"/>
            <w:vMerge w:val="continue"/>
            <w:tcBorders>
              <w:top w:val="single" w:color="auto" w:sz="4" w:space="0"/>
              <w:left w:val="single" w:color="auto" w:sz="4" w:space="0"/>
              <w:bottom w:val="single" w:color="auto" w:sz="4" w:space="0"/>
              <w:right w:val="single" w:color="auto" w:sz="4" w:space="0"/>
              <w:tl2br w:val="nil"/>
              <w:tr2bl w:val="nil"/>
            </w:tcBorders>
            <w:noWrap/>
            <w:vAlign w:val="center"/>
          </w:tcPr>
          <w:p/>
        </w:tc>
        <w:tc>
          <w:tcPr>
            <w:tcW w:w="951"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0" w:lineRule="atLeast"/>
              <w:jc w:val="center"/>
              <w:rPr>
                <w:rFonts w:ascii="仿宋_GB2312" w:eastAsia="仿宋_GB2312" w:cs="仿宋_GB2312"/>
                <w:sz w:val="24"/>
                <w:szCs w:val="24"/>
              </w:rPr>
            </w:pPr>
            <w:r>
              <w:rPr>
                <w:rFonts w:hint="eastAsia" w:ascii="仿宋_GB2312" w:eastAsia="仿宋_GB2312" w:cs="仿宋_GB2312"/>
                <w:sz w:val="24"/>
                <w:szCs w:val="24"/>
              </w:rPr>
              <w:t>省级财政脱贫攻坚资金</w:t>
            </w:r>
          </w:p>
        </w:tc>
        <w:tc>
          <w:tcPr>
            <w:tcW w:w="99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0" w:lineRule="atLeast"/>
              <w:jc w:val="center"/>
              <w:rPr>
                <w:rFonts w:ascii="仿宋_GB2312" w:eastAsia="仿宋_GB2312" w:cs="仿宋_GB2312"/>
                <w:sz w:val="24"/>
                <w:szCs w:val="24"/>
              </w:rPr>
            </w:pPr>
            <w:r>
              <w:rPr>
                <w:rFonts w:hint="eastAsia" w:ascii="仿宋_GB2312" w:eastAsia="仿宋_GB2312" w:cs="仿宋_GB2312"/>
                <w:sz w:val="24"/>
                <w:szCs w:val="24"/>
              </w:rPr>
              <w:t>市县两级财政投入</w:t>
            </w:r>
          </w:p>
        </w:tc>
        <w:tc>
          <w:tcPr>
            <w:tcW w:w="847"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eastAsia="仿宋_GB2312" w:cs="仿宋_GB2312"/>
                <w:sz w:val="24"/>
                <w:szCs w:val="24"/>
              </w:rPr>
            </w:pPr>
            <w:r>
              <w:rPr>
                <w:rFonts w:hint="eastAsia" w:ascii="仿宋_GB2312" w:eastAsia="仿宋_GB2312" w:cs="仿宋_GB2312"/>
                <w:sz w:val="24"/>
                <w:szCs w:val="24"/>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35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一</w:t>
            </w:r>
          </w:p>
        </w:tc>
        <w:tc>
          <w:tcPr>
            <w:tcW w:w="123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基础设施</w:t>
            </w:r>
          </w:p>
        </w:tc>
        <w:tc>
          <w:tcPr>
            <w:tcW w:w="61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1340</w:t>
            </w:r>
          </w:p>
        </w:tc>
        <w:tc>
          <w:tcPr>
            <w:tcW w:w="951"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600</w:t>
            </w:r>
          </w:p>
        </w:tc>
        <w:tc>
          <w:tcPr>
            <w:tcW w:w="99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p>
        </w:tc>
        <w:tc>
          <w:tcPr>
            <w:tcW w:w="847"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35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23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建筑工程及安装</w:t>
            </w:r>
          </w:p>
        </w:tc>
        <w:tc>
          <w:tcPr>
            <w:tcW w:w="61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695</w:t>
            </w:r>
          </w:p>
        </w:tc>
        <w:tc>
          <w:tcPr>
            <w:tcW w:w="951"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200</w:t>
            </w:r>
          </w:p>
        </w:tc>
        <w:tc>
          <w:tcPr>
            <w:tcW w:w="99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p>
        </w:tc>
        <w:tc>
          <w:tcPr>
            <w:tcW w:w="847"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35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238" w:type="pct"/>
            <w:tcBorders>
              <w:top w:val="single" w:color="auto" w:sz="4" w:space="0"/>
              <w:left w:val="single" w:color="auto" w:sz="4" w:space="0"/>
              <w:bottom w:val="single" w:color="auto" w:sz="4" w:space="0"/>
              <w:right w:val="single" w:color="auto" w:sz="4" w:space="0"/>
              <w:tl2br w:val="nil"/>
              <w:tr2bl w:val="nil"/>
            </w:tcBorders>
            <w:noWrap/>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钢结构工程</w:t>
            </w:r>
          </w:p>
        </w:tc>
        <w:tc>
          <w:tcPr>
            <w:tcW w:w="61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260</w:t>
            </w:r>
          </w:p>
        </w:tc>
        <w:tc>
          <w:tcPr>
            <w:tcW w:w="951"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100</w:t>
            </w:r>
          </w:p>
        </w:tc>
        <w:tc>
          <w:tcPr>
            <w:tcW w:w="99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p>
        </w:tc>
        <w:tc>
          <w:tcPr>
            <w:tcW w:w="847"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35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123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环保工程</w:t>
            </w:r>
          </w:p>
        </w:tc>
        <w:tc>
          <w:tcPr>
            <w:tcW w:w="61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190</w:t>
            </w:r>
          </w:p>
        </w:tc>
        <w:tc>
          <w:tcPr>
            <w:tcW w:w="951"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150</w:t>
            </w:r>
          </w:p>
        </w:tc>
        <w:tc>
          <w:tcPr>
            <w:tcW w:w="99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p>
        </w:tc>
        <w:tc>
          <w:tcPr>
            <w:tcW w:w="847"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35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123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设备工程</w:t>
            </w:r>
          </w:p>
        </w:tc>
        <w:tc>
          <w:tcPr>
            <w:tcW w:w="61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195</w:t>
            </w:r>
          </w:p>
        </w:tc>
        <w:tc>
          <w:tcPr>
            <w:tcW w:w="951"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150</w:t>
            </w:r>
          </w:p>
        </w:tc>
        <w:tc>
          <w:tcPr>
            <w:tcW w:w="99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p>
        </w:tc>
        <w:tc>
          <w:tcPr>
            <w:tcW w:w="847"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35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二</w:t>
            </w:r>
          </w:p>
        </w:tc>
        <w:tc>
          <w:tcPr>
            <w:tcW w:w="1238"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猪苗5000头及饲料</w:t>
            </w:r>
          </w:p>
        </w:tc>
        <w:tc>
          <w:tcPr>
            <w:tcW w:w="613" w:type="pct"/>
            <w:tcBorders>
              <w:top w:val="single" w:color="auto" w:sz="4" w:space="0"/>
              <w:left w:val="single" w:color="auto" w:sz="4" w:space="0"/>
              <w:bottom w:val="single" w:color="auto" w:sz="4" w:space="0"/>
              <w:right w:val="single" w:color="auto" w:sz="4" w:space="0"/>
              <w:tl2br w:val="nil"/>
              <w:tr2bl w:val="nil"/>
            </w:tcBorders>
            <w:noWrap/>
            <w:vAlign w:val="center"/>
          </w:tcPr>
          <w:p>
            <w:pPr>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1300</w:t>
            </w:r>
          </w:p>
        </w:tc>
        <w:tc>
          <w:tcPr>
            <w:tcW w:w="951" w:type="pct"/>
            <w:tcBorders>
              <w:top w:val="single" w:color="auto" w:sz="4" w:space="0"/>
              <w:left w:val="single" w:color="auto" w:sz="4" w:space="0"/>
              <w:bottom w:val="single" w:color="auto" w:sz="4" w:space="0"/>
              <w:right w:val="single" w:color="auto" w:sz="4" w:space="0"/>
              <w:tl2br w:val="nil"/>
              <w:tr2bl w:val="nil"/>
            </w:tcBorders>
            <w:noWrap/>
            <w:vAlign w:val="center"/>
          </w:tcPr>
          <w:p>
            <w:pPr>
              <w:jc w:val="center"/>
              <w:rPr>
                <w:rFonts w:ascii="仿宋_GB2312" w:hAnsi="仿宋_GB2312" w:eastAsia="仿宋_GB2312" w:cs="仿宋_GB2312"/>
                <w:sz w:val="24"/>
                <w:szCs w:val="24"/>
              </w:rPr>
            </w:pPr>
          </w:p>
        </w:tc>
        <w:tc>
          <w:tcPr>
            <w:tcW w:w="99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p>
        </w:tc>
        <w:tc>
          <w:tcPr>
            <w:tcW w:w="847" w:type="pct"/>
            <w:tcBorders>
              <w:top w:val="single" w:color="auto" w:sz="4" w:space="0"/>
              <w:left w:val="single" w:color="auto" w:sz="4" w:space="0"/>
              <w:bottom w:val="single" w:color="auto" w:sz="4" w:space="0"/>
              <w:right w:val="single" w:color="auto" w:sz="4" w:space="0"/>
              <w:tl2br w:val="nil"/>
              <w:tr2bl w:val="nil"/>
            </w:tcBorders>
            <w:noWrap/>
            <w:vAlign w:val="center"/>
          </w:tcPr>
          <w:p>
            <w:pPr>
              <w:pStyle w:val="5"/>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596" w:type="pct"/>
            <w:gridSpan w:val="2"/>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总投资</w:t>
            </w:r>
          </w:p>
        </w:tc>
        <w:tc>
          <w:tcPr>
            <w:tcW w:w="61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2640</w:t>
            </w:r>
          </w:p>
        </w:tc>
        <w:tc>
          <w:tcPr>
            <w:tcW w:w="951"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600</w:t>
            </w:r>
          </w:p>
        </w:tc>
        <w:tc>
          <w:tcPr>
            <w:tcW w:w="993" w:type="pct"/>
            <w:tcBorders>
              <w:top w:val="single" w:color="auto" w:sz="4" w:space="0"/>
              <w:left w:val="single" w:color="auto" w:sz="4" w:space="0"/>
              <w:bottom w:val="single" w:color="auto" w:sz="4" w:space="0"/>
              <w:right w:val="single" w:color="auto" w:sz="4" w:space="0"/>
              <w:tl2br w:val="nil"/>
              <w:tr2bl w:val="nil"/>
            </w:tcBorders>
            <w:noWrap/>
            <w:vAlign w:val="center"/>
          </w:tcPr>
          <w:p>
            <w:pPr>
              <w:widowControl w:val="0"/>
              <w:spacing w:after="0" w:line="240" w:lineRule="auto"/>
              <w:jc w:val="center"/>
              <w:rPr>
                <w:rFonts w:ascii="仿宋_GB2312" w:hAnsi="仿宋_GB2312" w:eastAsia="仿宋_GB2312" w:cs="仿宋_GB2312"/>
                <w:sz w:val="24"/>
                <w:szCs w:val="24"/>
              </w:rPr>
            </w:pPr>
          </w:p>
        </w:tc>
        <w:tc>
          <w:tcPr>
            <w:tcW w:w="847" w:type="pct"/>
            <w:tcBorders>
              <w:top w:val="single" w:color="auto" w:sz="4" w:space="0"/>
              <w:left w:val="single" w:color="auto" w:sz="4" w:space="0"/>
              <w:bottom w:val="single" w:color="auto" w:sz="4" w:space="0"/>
              <w:right w:val="single" w:color="auto" w:sz="4" w:space="0"/>
              <w:tl2br w:val="nil"/>
              <w:tr2bl w:val="nil"/>
            </w:tcBorders>
            <w:noWrap/>
            <w:vAlign w:val="center"/>
          </w:tcPr>
          <w:p>
            <w:pPr>
              <w:pStyle w:val="5"/>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2040</w:t>
            </w:r>
          </w:p>
        </w:tc>
      </w:tr>
    </w:tbl>
    <w:p>
      <w:pPr>
        <w:pStyle w:val="2"/>
        <w:rPr>
          <w:lang w:val="zh-CN"/>
        </w:rPr>
      </w:pPr>
    </w:p>
    <w:p>
      <w:pPr>
        <w:adjustRightInd w:val="0"/>
        <w:snapToGrid w:val="0"/>
        <w:spacing w:line="600" w:lineRule="exact"/>
        <w:ind w:firstLine="720"/>
        <w:rPr>
          <w:rFonts w:hint="eastAsia" w:ascii="仿宋_GB2312" w:hAnsi="宋体"/>
          <w:lang w:val="zh-CN"/>
        </w:rPr>
      </w:pPr>
      <w:r>
        <w:rPr>
          <w:rFonts w:hint="eastAsia" w:ascii="黑体" w:hAnsi="宋体" w:eastAsia="黑体"/>
        </w:rPr>
        <w:t>三、项目实施及管理情况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项目由县乡村振兴局、县财政局、农业农村局牵头成立项目领导小组，环保部门参加负责项目监督管理，资金使用监督、环境影响评估、项目验收工作。项目业主负责规划、设计、建设。项目的规划、设计需报县农业农村局审核通过后由业主组织施工建设。业主需成立技术小组，负责项目技术保障，并做好带动农户的技术培训指导和服务;农业农村局负责技术措施落实情况的监督工作。</w:t>
      </w:r>
    </w:p>
    <w:p>
      <w:pPr>
        <w:adjustRightInd w:val="0"/>
        <w:snapToGrid w:val="0"/>
        <w:spacing w:line="600" w:lineRule="exact"/>
        <w:ind w:firstLine="720"/>
        <w:rPr>
          <w:rFonts w:hint="eastAsia" w:ascii="仿宋_GB2312" w:hAnsi="宋体"/>
          <w:lang w:val="zh-CN"/>
        </w:rPr>
      </w:pPr>
      <w:r>
        <w:rPr>
          <w:rFonts w:hint="eastAsia" w:ascii="仿宋_GB2312" w:hAnsi="宋体"/>
          <w:lang w:val="en-US" w:eastAsia="zh-CN"/>
        </w:rPr>
        <w:t>1.</w:t>
      </w:r>
      <w:r>
        <w:rPr>
          <w:rFonts w:hint="eastAsia" w:ascii="仿宋_GB2312" w:hAnsi="宋体"/>
          <w:lang w:val="zh-CN"/>
        </w:rPr>
        <w:t>项目建设间管理:项目建设必须按项目方案设计规定的质量要求组织和采购安装，并做好维护工作。</w:t>
      </w:r>
    </w:p>
    <w:p>
      <w:pPr>
        <w:adjustRightInd w:val="0"/>
        <w:snapToGrid w:val="0"/>
        <w:spacing w:line="600" w:lineRule="exact"/>
        <w:ind w:firstLine="720"/>
        <w:rPr>
          <w:rFonts w:hint="eastAsia" w:ascii="仿宋_GB2312" w:hAnsi="宋体"/>
          <w:lang w:val="zh-CN"/>
        </w:rPr>
      </w:pPr>
      <w:r>
        <w:rPr>
          <w:rFonts w:hint="eastAsia" w:ascii="仿宋_GB2312" w:hAnsi="宋体"/>
          <w:lang w:val="en-US" w:eastAsia="zh-CN"/>
        </w:rPr>
        <w:t>2.</w:t>
      </w:r>
      <w:r>
        <w:rPr>
          <w:rFonts w:hint="eastAsia" w:ascii="仿宋_GB2312" w:hAnsi="宋体"/>
          <w:lang w:val="zh-CN"/>
        </w:rPr>
        <w:t>项目绩效管理:县对业主实行工期目标管理，按时完成建设目标，及时拔付项目资金，延期完成工期，扣项目资金2%。</w:t>
      </w:r>
    </w:p>
    <w:p>
      <w:pPr>
        <w:adjustRightInd w:val="0"/>
        <w:snapToGrid w:val="0"/>
        <w:spacing w:line="600" w:lineRule="exact"/>
        <w:ind w:firstLine="720"/>
        <w:rPr>
          <w:rFonts w:hint="eastAsia" w:ascii="仿宋_GB2312" w:hAnsi="宋体"/>
          <w:lang w:val="zh-CN"/>
        </w:rPr>
      </w:pPr>
      <w:r>
        <w:rPr>
          <w:rFonts w:hint="eastAsia" w:ascii="仿宋_GB2312" w:hAnsi="宋体"/>
          <w:lang w:val="en-US" w:eastAsia="zh-CN"/>
        </w:rPr>
        <w:t>3.</w:t>
      </w:r>
      <w:r>
        <w:rPr>
          <w:rFonts w:hint="eastAsia" w:ascii="仿宋_GB2312" w:hAnsi="宋体"/>
          <w:lang w:val="zh-CN"/>
        </w:rPr>
        <w:t>项目竣工后管理:业主对养殖场实行规模、料肉比、死亡率总控目标管理，兑现报酬。</w:t>
      </w:r>
    </w:p>
    <w:p>
      <w:pPr>
        <w:adjustRightInd w:val="0"/>
        <w:snapToGrid w:val="0"/>
        <w:spacing w:line="600" w:lineRule="exact"/>
        <w:ind w:firstLine="720"/>
        <w:rPr>
          <w:rFonts w:hint="eastAsia" w:ascii="仿宋_GB2312" w:hAnsi="宋体"/>
          <w:lang w:val="zh-CN"/>
        </w:rPr>
      </w:pPr>
      <w:r>
        <w:rPr>
          <w:rFonts w:hint="eastAsia" w:ascii="仿宋_GB2312" w:hAnsi="宋体"/>
          <w:lang w:val="en-US" w:eastAsia="zh-CN"/>
        </w:rPr>
        <w:t>4.</w:t>
      </w:r>
      <w:r>
        <w:rPr>
          <w:rFonts w:hint="eastAsia" w:ascii="仿宋_GB2312" w:hAnsi="宋体"/>
          <w:lang w:val="zh-CN"/>
        </w:rPr>
        <w:t>项目营运管理:公司实行猪苗、饲料、药品统供、产品统销;对养殖场实行场长负责制，对养殖人员实行绩效工资制管理;技术人员实行驻场制，重点考核料肉比、总死亡率绩效。</w:t>
      </w:r>
    </w:p>
    <w:p>
      <w:pPr>
        <w:adjustRightInd w:val="0"/>
        <w:snapToGrid w:val="0"/>
        <w:spacing w:line="600" w:lineRule="exact"/>
        <w:ind w:firstLine="720"/>
        <w:rPr>
          <w:rFonts w:hint="eastAsia" w:ascii="黑体" w:hAnsi="宋体" w:eastAsia="黑体"/>
          <w:lang w:val="zh-CN"/>
        </w:rPr>
      </w:pPr>
      <w:r>
        <w:rPr>
          <w:rFonts w:hint="eastAsia" w:ascii="黑体" w:hAnsi="宋体" w:eastAsia="黑体"/>
          <w:lang w:val="zh-CN"/>
        </w:rPr>
        <w:t>四、项目后续管理安排</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项目实行封闭管理，人员、物资进场经过洗消检验。保障生物安全。</w:t>
      </w:r>
    </w:p>
    <w:p>
      <w:pPr>
        <w:adjustRightInd w:val="0"/>
        <w:snapToGrid w:val="0"/>
        <w:spacing w:line="600" w:lineRule="exact"/>
        <w:ind w:firstLine="720"/>
        <w:rPr>
          <w:rFonts w:hint="eastAsia" w:ascii="仿宋_GB2312" w:hAnsi="宋体"/>
          <w:lang w:val="zh-CN"/>
        </w:rPr>
      </w:pPr>
      <w:r>
        <w:rPr>
          <w:rFonts w:hint="eastAsia" w:ascii="仿宋_GB2312" w:hAnsi="宋体"/>
          <w:lang w:val="en-US" w:eastAsia="zh-CN"/>
        </w:rPr>
        <w:t>1.</w:t>
      </w:r>
      <w:r>
        <w:rPr>
          <w:rFonts w:hint="eastAsia" w:ascii="仿宋_GB2312" w:hAnsi="宋体"/>
          <w:lang w:val="zh-CN"/>
        </w:rPr>
        <w:t>项目后续资金的安排，改公司后续资金用于购买饲料和人工工资等项目。</w:t>
      </w:r>
    </w:p>
    <w:p>
      <w:pPr>
        <w:adjustRightInd w:val="0"/>
        <w:snapToGrid w:val="0"/>
        <w:spacing w:line="600" w:lineRule="exact"/>
        <w:ind w:firstLine="720"/>
        <w:rPr>
          <w:rFonts w:hint="eastAsia" w:ascii="仿宋_GB2312" w:hAnsi="宋体"/>
          <w:lang w:val="zh-CN"/>
        </w:rPr>
      </w:pPr>
      <w:r>
        <w:rPr>
          <w:rFonts w:hint="eastAsia" w:ascii="仿宋_GB2312" w:hAnsi="宋体"/>
          <w:lang w:val="zh-CN"/>
        </w:rPr>
        <w:t>2</w:t>
      </w:r>
      <w:r>
        <w:rPr>
          <w:rFonts w:hint="eastAsia" w:ascii="仿宋_GB2312" w:hAnsi="宋体"/>
          <w:lang w:val="en-US" w:eastAsia="zh-CN"/>
        </w:rPr>
        <w:t>.</w:t>
      </w:r>
      <w:r>
        <w:rPr>
          <w:rFonts w:hint="eastAsia" w:ascii="仿宋_GB2312" w:hAnsi="宋体"/>
          <w:lang w:val="zh-CN"/>
        </w:rPr>
        <w:t>建立后续管理制度，公司制定了猪场卫生防疫制度，消毒制度，猪场生产例会与技能培训制度，猪只疾病治疗与用药制度，病死猪无害化处理制度，安全生产制度，重大疫情应急预案。</w:t>
      </w:r>
    </w:p>
    <w:p>
      <w:pPr>
        <w:pStyle w:val="2"/>
        <w:ind w:firstLine="640" w:firstLineChars="200"/>
        <w:rPr>
          <w:rFonts w:hint="default"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3.及时监督企业运转情况，保障固定保底5%的分红正常发放。</w:t>
      </w:r>
    </w:p>
    <w:p>
      <w:pPr>
        <w:adjustRightInd w:val="0"/>
        <w:snapToGrid w:val="0"/>
        <w:spacing w:line="600" w:lineRule="exact"/>
        <w:ind w:firstLine="720"/>
        <w:rPr>
          <w:rFonts w:hint="eastAsia" w:ascii="黑体" w:hAnsi="宋体" w:eastAsia="黑体"/>
          <w:lang w:eastAsia="zh-CN"/>
        </w:rPr>
      </w:pPr>
      <w:r>
        <w:rPr>
          <w:rFonts w:hint="eastAsia" w:ascii="黑体" w:hAnsi="宋体" w:eastAsia="黑体"/>
        </w:rPr>
        <w:t>五、</w:t>
      </w:r>
      <w:r>
        <w:rPr>
          <w:rFonts w:hint="eastAsia" w:ascii="黑体" w:hAnsi="宋体" w:eastAsia="黑体"/>
          <w:lang w:eastAsia="zh-CN"/>
        </w:rPr>
        <w:t>存在的问题及整改情况</w:t>
      </w:r>
    </w:p>
    <w:p>
      <w:pPr>
        <w:ind w:firstLine="640" w:firstLineChars="200"/>
        <w:rPr>
          <w:rFonts w:hint="eastAsia" w:eastAsia="仿宋_GB2312"/>
          <w:lang w:eastAsia="zh-CN"/>
        </w:rPr>
      </w:pPr>
      <w:r>
        <w:rPr>
          <w:rFonts w:hint="eastAsia" w:ascii="仿宋_GB2312" w:hAnsi="宋体"/>
          <w:lang w:val="zh-CN"/>
        </w:rPr>
        <w:t>峨边康润农业有限公司因土地问题为完全解决，经有关部门积极协调后项目改在了毛坪镇新华村，峨边天缘农业科技开发有限公司因市场行情影响项目由肉鸽养殖变更为商品猪养殖，设计及环评手续重新办理等，耽误了项目实施时间。已按照程序进行了调整后，按时完成了项目建设。</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iYjMyZDk3ODg0YWRkM2ZkOGM4NDZkOWFhZDFjYWIifQ=="/>
  </w:docVars>
  <w:rsids>
    <w:rsidRoot w:val="291C455A"/>
    <w:rsid w:val="001B1813"/>
    <w:rsid w:val="002A5E78"/>
    <w:rsid w:val="003315AE"/>
    <w:rsid w:val="0049716B"/>
    <w:rsid w:val="006F6CE7"/>
    <w:rsid w:val="00C073E9"/>
    <w:rsid w:val="00E42B1E"/>
    <w:rsid w:val="0D466608"/>
    <w:rsid w:val="0D850CC5"/>
    <w:rsid w:val="19B536B9"/>
    <w:rsid w:val="291C455A"/>
    <w:rsid w:val="2A502512"/>
    <w:rsid w:val="36926D0C"/>
    <w:rsid w:val="414A628B"/>
    <w:rsid w:val="43616F83"/>
    <w:rsid w:val="521A750D"/>
    <w:rsid w:val="673E27F9"/>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0"/>
    <w:rPr>
      <w:rFonts w:ascii="Courier New" w:hAnsi="Courier New" w:eastAsia="宋体"/>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itle"/>
    <w:basedOn w:val="1"/>
    <w:next w:val="1"/>
    <w:qFormat/>
    <w:uiPriority w:val="0"/>
    <w:pPr>
      <w:spacing w:after="0" w:line="240" w:lineRule="auto"/>
      <w:contextualSpacing/>
    </w:pPr>
    <w:rPr>
      <w:rFonts w:ascii="Calibri Light" w:hAnsi="Calibri Light" w:eastAsia="宋体" w:cs="Times New Roman"/>
      <w:color w:val="2E75B5"/>
      <w:spacing w:val="-7"/>
      <w:sz w:val="80"/>
      <w:szCs w:val="80"/>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19</TotalTime>
  <ScaleCrop>false</ScaleCrop>
  <LinksUpToDate>false</LinksUpToDate>
  <CharactersWithSpaces>1342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2023-11-15T09:50:55Z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5DCEE05F913E44F19D444ABF27B7B03E_13</vt:lpwstr>
  </property>
</Properties>
</file>