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宋体" w:hAnsi="宋体" w:eastAsia="宋体"/>
          <w:sz w:val="30"/>
          <w:szCs w:val="30"/>
        </w:rPr>
      </w:pPr>
      <w:bookmarkStart w:id="0" w:name="_GoBack"/>
      <w:bookmarkEnd w:id="0"/>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pStyle w:val="6"/>
        <w:spacing w:line="600" w:lineRule="exact"/>
        <w:ind w:firstLine="883"/>
        <w:jc w:val="center"/>
        <w:rPr>
          <w:rFonts w:ascii="仿宋_GB2312" w:hAnsi="宋体" w:eastAsia="仿宋_GB2312"/>
          <w:color w:val="auto"/>
          <w:kern w:val="2"/>
          <w:sz w:val="32"/>
          <w:szCs w:val="32"/>
        </w:rPr>
      </w:pPr>
      <w:r>
        <w:rPr>
          <w:rFonts w:hint="eastAsia" w:ascii="方正小标宋简体" w:hAnsi="宋体" w:eastAsia="方正小标宋简体"/>
          <w:sz w:val="44"/>
          <w:szCs w:val="44"/>
          <w:lang w:val="en-US" w:eastAsia="zh-CN"/>
        </w:rPr>
        <w:t>峨边彝族自治县农业农村局关于《峨边彝族自治县岷江流域重点水域监测项目（2021至2022年度）》</w:t>
      </w:r>
      <w:r>
        <w:rPr>
          <w:rFonts w:hint="eastAsia" w:ascii="方正小标宋简体" w:hAnsi="宋体" w:eastAsia="方正小标宋简体"/>
          <w:sz w:val="44"/>
          <w:szCs w:val="44"/>
        </w:rPr>
        <w:t>支出绩效自评报告</w:t>
      </w:r>
    </w:p>
    <w:p>
      <w:pPr>
        <w:pStyle w:val="6"/>
        <w:spacing w:line="600" w:lineRule="exact"/>
        <w:ind w:firstLine="640"/>
        <w:jc w:val="center"/>
        <w:rPr>
          <w:rFonts w:ascii="宋体" w:hAnsi="宋体"/>
          <w:color w:val="auto"/>
          <w:kern w:val="2"/>
          <w:sz w:val="32"/>
          <w:szCs w:val="32"/>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adjustRightInd w:val="0"/>
        <w:snapToGrid w:val="0"/>
        <w:spacing w:line="600" w:lineRule="exact"/>
        <w:ind w:firstLine="720"/>
        <w:rPr>
          <w:rFonts w:hint="default" w:ascii="仿宋_GB2312" w:hAnsi="宋体" w:eastAsia="仿宋_GB2312"/>
          <w:lang w:val="en-US" w:eastAsia="zh-CN"/>
        </w:rPr>
      </w:pPr>
      <w:r>
        <w:rPr>
          <w:rFonts w:hint="eastAsia" w:ascii="仿宋_GB2312" w:hAnsi="宋体"/>
          <w:lang w:val="zh-CN"/>
        </w:rPr>
        <w:t>1．</w:t>
      </w:r>
      <w:r>
        <w:rPr>
          <w:rFonts w:hint="eastAsia" w:ascii="仿宋_GB2312" w:hAnsi="宋体"/>
          <w:lang w:val="en-US" w:eastAsia="zh-CN"/>
        </w:rPr>
        <w:t>峨边彝族自治县农业农村局</w:t>
      </w:r>
      <w:r>
        <w:rPr>
          <w:rFonts w:hint="eastAsia" w:ascii="仿宋_GB2312" w:hAnsi="宋体"/>
          <w:lang w:val="zh-CN"/>
        </w:rPr>
        <w:t>在该项目管理中的职能：</w:t>
      </w:r>
      <w:r>
        <w:rPr>
          <w:rFonts w:hint="eastAsia" w:ascii="仿宋_GB2312" w:hAnsi="宋体"/>
          <w:lang w:val="en-US" w:eastAsia="zh-CN"/>
        </w:rPr>
        <w:t>（1）负责监督项目具体实施单位进行特许捕捞、水生生物采样等。（2）负责协调、组织</w:t>
      </w:r>
      <w:r>
        <w:rPr>
          <w:rFonts w:hint="eastAsia" w:ascii="仿宋_GB2312" w:hAnsi="仿宋_GB2312" w:eastAsia="仿宋_GB2312" w:cs="仿宋_GB2312"/>
          <w:sz w:val="30"/>
          <w:szCs w:val="30"/>
        </w:rPr>
        <w:t>《岷江流域乐山市峨边</w:t>
      </w:r>
      <w:r>
        <w:rPr>
          <w:rFonts w:hint="eastAsia" w:ascii="仿宋_GB2312" w:hAnsi="仿宋_GB2312" w:eastAsia="仿宋_GB2312" w:cs="仿宋_GB2312"/>
          <w:sz w:val="30"/>
          <w:szCs w:val="30"/>
          <w:lang w:val="en-US" w:eastAsia="zh-CN"/>
        </w:rPr>
        <w:t>彝族自治县</w:t>
      </w:r>
      <w:r>
        <w:rPr>
          <w:rFonts w:hint="eastAsia" w:ascii="仿宋_GB2312" w:hAnsi="仿宋_GB2312" w:eastAsia="仿宋_GB2312" w:cs="仿宋_GB2312"/>
          <w:sz w:val="30"/>
          <w:szCs w:val="30"/>
        </w:rPr>
        <w:t>10年禁捕效果评估监测报告》</w:t>
      </w:r>
      <w:r>
        <w:rPr>
          <w:rFonts w:hint="eastAsia" w:ascii="仿宋_GB2312" w:hAnsi="仿宋_GB2312" w:cs="仿宋_GB2312"/>
          <w:sz w:val="30"/>
          <w:szCs w:val="30"/>
          <w:lang w:val="en-US" w:eastAsia="zh-CN"/>
        </w:rPr>
        <w:t>专家审查</w:t>
      </w:r>
      <w:r>
        <w:rPr>
          <w:rFonts w:hint="eastAsia" w:ascii="仿宋_GB2312" w:hAnsi="宋体"/>
          <w:lang w:val="zh-CN"/>
        </w:rPr>
        <w:t>。（</w:t>
      </w:r>
      <w:r>
        <w:rPr>
          <w:rFonts w:hint="eastAsia" w:ascii="仿宋_GB2312" w:hAnsi="宋体"/>
          <w:lang w:val="en-US" w:eastAsia="zh-CN"/>
        </w:rPr>
        <w:t>3</w:t>
      </w:r>
      <w:r>
        <w:rPr>
          <w:rFonts w:hint="eastAsia" w:ascii="仿宋_GB2312" w:hAnsi="宋体"/>
          <w:lang w:val="zh-CN"/>
        </w:rPr>
        <w:t>）</w:t>
      </w:r>
      <w:r>
        <w:rPr>
          <w:rFonts w:hint="eastAsia" w:ascii="仿宋_GB2312" w:hAnsi="宋体"/>
          <w:lang w:val="en-US" w:eastAsia="zh-CN"/>
        </w:rPr>
        <w:t>负责申请、管理、支付项目经费。</w:t>
      </w:r>
    </w:p>
    <w:p>
      <w:pPr>
        <w:numPr>
          <w:ilvl w:val="0"/>
          <w:numId w:val="0"/>
        </w:numPr>
        <w:ind w:firstLine="640" w:firstLineChars="200"/>
        <w:jc w:val="left"/>
        <w:rPr>
          <w:rFonts w:hint="eastAsia" w:ascii="仿宋" w:hAnsi="仿宋" w:eastAsia="仿宋" w:cs="仿宋"/>
          <w:sz w:val="32"/>
          <w:szCs w:val="32"/>
          <w:lang w:val="en-US" w:eastAsia="zh-CN"/>
        </w:rPr>
      </w:pPr>
      <w:r>
        <w:rPr>
          <w:rFonts w:hint="eastAsia" w:ascii="仿宋_GB2312" w:hAnsi="宋体"/>
          <w:lang w:val="zh-CN"/>
        </w:rPr>
        <w:t>2．项目立项、资金申报的依据：</w:t>
      </w:r>
      <w:r>
        <w:rPr>
          <w:rFonts w:hint="eastAsia" w:ascii="仿宋" w:hAnsi="仿宋" w:eastAsia="仿宋" w:cs="仿宋"/>
          <w:sz w:val="32"/>
          <w:szCs w:val="32"/>
          <w:lang w:val="en-US" w:eastAsia="zh-CN"/>
        </w:rPr>
        <w:t>（1）农长渔发〔2021〕1 号 农业农村部 发展改革委 公安部 财政部 交通运输部 市场监管总局关于完善长江流域禁捕执法长效机制的意见；（2）农办长渔【2021】2号 农业农村部办公厅《关于加强和规范长江流域水生生物监测调查工作的通知；（3）川农函（2021）417号关于加强和规范四川省长江流域水生生物监测调查工作的通知。（4）乐农函〔2021〕328号关于印发《乐山市岷江流域重点水域禁捕效果评估实施方案》的通知及《乐山市岷江流域重点水域禁捕效果评估实施方案》。</w:t>
      </w:r>
    </w:p>
    <w:p>
      <w:pPr>
        <w:spacing w:line="600" w:lineRule="exact"/>
        <w:ind w:firstLine="640" w:firstLineChars="200"/>
        <w:rPr>
          <w:rFonts w:ascii="仿宋_GB2312" w:hAnsi="宋体"/>
          <w:lang w:val="zh-CN"/>
        </w:rPr>
      </w:pPr>
      <w:r>
        <w:rPr>
          <w:rFonts w:hint="eastAsia" w:ascii="仿宋_GB2312" w:hAnsi="宋体"/>
          <w:lang w:val="zh-CN"/>
        </w:rPr>
        <w:t>3．资金管理办法制定情况，资金支持具体项目的条件、范围与支持方式概况：</w:t>
      </w:r>
      <w:r>
        <w:rPr>
          <w:rFonts w:hint="eastAsia" w:ascii="仿宋_GB2312" w:hAnsi="仿宋_GB2312" w:eastAsia="仿宋_GB2312" w:cs="仿宋_GB2312"/>
          <w:color w:val="auto"/>
          <w:sz w:val="30"/>
          <w:szCs w:val="30"/>
        </w:rPr>
        <w:t>合同签订</w:t>
      </w:r>
      <w:r>
        <w:rPr>
          <w:rFonts w:hint="eastAsia" w:ascii="仿宋_GB2312" w:hAnsi="仿宋_GB2312" w:eastAsia="仿宋_GB2312" w:cs="仿宋_GB2312"/>
          <w:color w:val="auto"/>
          <w:sz w:val="30"/>
          <w:szCs w:val="30"/>
          <w:lang w:val="en-US" w:eastAsia="zh-CN"/>
        </w:rPr>
        <w:t>之日起</w:t>
      </w:r>
      <w:r>
        <w:rPr>
          <w:rFonts w:hint="eastAsia" w:ascii="仿宋_GB2312" w:hAnsi="仿宋_GB2312" w:eastAsia="仿宋_GB2312" w:cs="仿宋_GB2312"/>
          <w:b/>
          <w:bCs/>
          <w:color w:val="auto"/>
          <w:sz w:val="30"/>
          <w:szCs w:val="30"/>
          <w:lang w:val="en-US" w:eastAsia="zh-CN"/>
        </w:rPr>
        <w:t>3</w:t>
      </w:r>
      <w:r>
        <w:rPr>
          <w:rFonts w:hint="eastAsia" w:ascii="仿宋_GB2312" w:hAnsi="仿宋_GB2312" w:eastAsia="仿宋_GB2312" w:cs="仿宋_GB2312"/>
          <w:color w:val="auto"/>
          <w:sz w:val="30"/>
          <w:szCs w:val="30"/>
        </w:rPr>
        <w:t>个月内，向</w:t>
      </w:r>
      <w:r>
        <w:rPr>
          <w:rFonts w:hint="eastAsia" w:ascii="仿宋_GB2312" w:hAnsi="仿宋_GB2312" w:cs="仿宋_GB2312"/>
          <w:color w:val="auto"/>
          <w:sz w:val="30"/>
          <w:szCs w:val="30"/>
          <w:lang w:val="en-US" w:eastAsia="zh-CN"/>
        </w:rPr>
        <w:t>项目实施</w:t>
      </w:r>
      <w:r>
        <w:rPr>
          <w:rFonts w:hint="eastAsia" w:ascii="仿宋_GB2312" w:hAnsi="仿宋_GB2312" w:eastAsia="仿宋_GB2312" w:cs="仿宋_GB2312"/>
          <w:color w:val="auto"/>
          <w:sz w:val="30"/>
          <w:szCs w:val="30"/>
        </w:rPr>
        <w:t>方支付人民币合同总金额的</w:t>
      </w:r>
      <w:r>
        <w:rPr>
          <w:rFonts w:hint="eastAsia" w:ascii="仿宋_GB2312" w:hAnsi="仿宋_GB2312" w:cs="仿宋_GB2312" w:eastAsiaTheme="minorEastAsia"/>
          <w:b/>
          <w:bCs/>
          <w:color w:val="auto"/>
          <w:sz w:val="30"/>
          <w:szCs w:val="30"/>
        </w:rPr>
        <w:t>60%</w:t>
      </w:r>
      <w:r>
        <w:rPr>
          <w:rFonts w:hint="eastAsia" w:ascii="仿宋_GB2312" w:hAnsi="仿宋_GB2312" w:cs="仿宋_GB2312" w:eastAsiaTheme="minorEastAsia"/>
          <w:color w:val="auto"/>
          <w:sz w:val="30"/>
          <w:szCs w:val="30"/>
        </w:rPr>
        <w:t xml:space="preserve">， </w:t>
      </w:r>
      <w:r>
        <w:rPr>
          <w:rFonts w:hint="eastAsia" w:ascii="仿宋_GB2312" w:hAnsi="仿宋_GB2312" w:eastAsia="仿宋_GB2312" w:cs="仿宋_GB2312"/>
          <w:color w:val="auto"/>
          <w:sz w:val="30"/>
          <w:szCs w:val="30"/>
          <w:lang w:val="en-US" w:eastAsia="zh-CN"/>
        </w:rPr>
        <w:t>人民币</w:t>
      </w:r>
      <w:r>
        <w:rPr>
          <w:rFonts w:hint="eastAsia" w:ascii="仿宋_GB2312" w:hAnsi="仿宋_GB2312" w:cs="仿宋_GB2312" w:eastAsiaTheme="minorEastAsia"/>
          <w:b/>
          <w:bCs/>
          <w:color w:val="auto"/>
          <w:sz w:val="30"/>
          <w:szCs w:val="30"/>
          <w:lang w:val="en-US" w:eastAsia="zh-CN"/>
        </w:rPr>
        <w:t>5.88</w:t>
      </w:r>
      <w:r>
        <w:rPr>
          <w:rFonts w:hint="eastAsia" w:ascii="仿宋_GB2312" w:hAnsi="仿宋_GB2312" w:eastAsia="仿宋_GB2312" w:cs="仿宋_GB2312"/>
          <w:color w:val="auto"/>
          <w:sz w:val="30"/>
          <w:szCs w:val="30"/>
        </w:rPr>
        <w:t>万元（大写：</w:t>
      </w:r>
      <w:r>
        <w:rPr>
          <w:rFonts w:hint="eastAsia" w:ascii="仿宋_GB2312" w:hAnsi="仿宋_GB2312" w:eastAsia="仿宋_GB2312" w:cs="仿宋_GB2312"/>
          <w:b/>
          <w:bCs/>
          <w:color w:val="auto"/>
          <w:sz w:val="30"/>
          <w:szCs w:val="30"/>
          <w:lang w:val="en-US" w:eastAsia="zh-CN"/>
        </w:rPr>
        <w:t>伍</w:t>
      </w:r>
      <w:r>
        <w:rPr>
          <w:rFonts w:hint="eastAsia" w:ascii="仿宋_GB2312" w:hAnsi="仿宋_GB2312" w:eastAsia="仿宋_GB2312" w:cs="仿宋_GB2312"/>
          <w:b/>
          <w:bCs/>
          <w:color w:val="auto"/>
          <w:sz w:val="30"/>
          <w:szCs w:val="30"/>
        </w:rPr>
        <w:t>万</w:t>
      </w:r>
      <w:r>
        <w:rPr>
          <w:rFonts w:hint="eastAsia" w:ascii="仿宋_GB2312" w:hAnsi="仿宋_GB2312" w:eastAsia="仿宋_GB2312" w:cs="仿宋_GB2312"/>
          <w:b/>
          <w:bCs/>
          <w:color w:val="auto"/>
          <w:sz w:val="30"/>
          <w:szCs w:val="30"/>
          <w:lang w:val="en-US" w:eastAsia="zh-CN"/>
        </w:rPr>
        <w:t>捌仟捌佰</w:t>
      </w:r>
      <w:r>
        <w:rPr>
          <w:rFonts w:hint="eastAsia" w:ascii="仿宋_GB2312" w:hAnsi="仿宋_GB2312" w:eastAsia="仿宋_GB2312" w:cs="仿宋_GB2312"/>
          <w:b/>
          <w:bCs/>
          <w:color w:val="auto"/>
          <w:sz w:val="30"/>
          <w:szCs w:val="30"/>
        </w:rPr>
        <w:t>元</w:t>
      </w:r>
      <w:r>
        <w:rPr>
          <w:rFonts w:hint="eastAsia" w:ascii="仿宋_GB2312" w:hAnsi="仿宋_GB2312" w:eastAsia="仿宋_GB2312" w:cs="仿宋_GB2312"/>
          <w:color w:val="auto"/>
          <w:sz w:val="30"/>
          <w:szCs w:val="30"/>
          <w:lang w:val="en-US" w:eastAsia="zh-CN"/>
        </w:rPr>
        <w:t>整</w:t>
      </w:r>
      <w:r>
        <w:rPr>
          <w:rFonts w:hint="eastAsia" w:ascii="仿宋_GB2312" w:hAnsi="仿宋_GB2312" w:eastAsia="仿宋_GB2312" w:cs="仿宋_GB2312"/>
          <w:color w:val="auto"/>
          <w:sz w:val="30"/>
          <w:szCs w:val="30"/>
        </w:rPr>
        <w:t>），待</w:t>
      </w:r>
      <w:r>
        <w:rPr>
          <w:rFonts w:hint="eastAsia" w:ascii="仿宋_GB2312" w:hAnsi="仿宋_GB2312" w:cs="仿宋_GB2312"/>
          <w:color w:val="auto"/>
          <w:sz w:val="30"/>
          <w:szCs w:val="30"/>
          <w:lang w:val="en-US" w:eastAsia="zh-CN"/>
        </w:rPr>
        <w:t>项目实施</w:t>
      </w:r>
      <w:r>
        <w:rPr>
          <w:rFonts w:hint="eastAsia" w:ascii="仿宋_GB2312" w:hAnsi="仿宋_GB2312" w:eastAsia="仿宋_GB2312" w:cs="仿宋_GB2312"/>
          <w:color w:val="auto"/>
          <w:sz w:val="30"/>
          <w:szCs w:val="30"/>
        </w:rPr>
        <w:t>方提供</w:t>
      </w:r>
      <w:r>
        <w:rPr>
          <w:rFonts w:hint="eastAsia" w:ascii="仿宋_GB2312" w:hAnsi="仿宋_GB2312" w:eastAsia="仿宋_GB2312" w:cs="仿宋_GB2312"/>
          <w:color w:val="auto"/>
          <w:sz w:val="30"/>
          <w:szCs w:val="30"/>
          <w:lang w:val="en-US" w:eastAsia="zh-CN"/>
        </w:rPr>
        <w:t>最终经专家评审通过的</w:t>
      </w:r>
      <w:r>
        <w:rPr>
          <w:rFonts w:hint="eastAsia" w:ascii="仿宋_GB2312" w:hAnsi="仿宋_GB2312" w:eastAsia="仿宋_GB2312" w:cs="仿宋_GB2312"/>
          <w:sz w:val="30"/>
          <w:szCs w:val="30"/>
        </w:rPr>
        <w:t>《岷江流域乐山市峨边</w:t>
      </w:r>
      <w:r>
        <w:rPr>
          <w:rFonts w:hint="eastAsia" w:ascii="仿宋_GB2312" w:hAnsi="仿宋_GB2312" w:eastAsia="仿宋_GB2312" w:cs="仿宋_GB2312"/>
          <w:sz w:val="30"/>
          <w:szCs w:val="30"/>
          <w:lang w:val="en-US" w:eastAsia="zh-CN"/>
        </w:rPr>
        <w:t>彝族自治县</w:t>
      </w:r>
      <w:r>
        <w:rPr>
          <w:rFonts w:hint="eastAsia" w:ascii="仿宋_GB2312" w:hAnsi="仿宋_GB2312" w:eastAsia="仿宋_GB2312" w:cs="仿宋_GB2312"/>
          <w:sz w:val="30"/>
          <w:szCs w:val="30"/>
        </w:rPr>
        <w:t>10年禁捕效果评估监测报告》</w:t>
      </w:r>
      <w:r>
        <w:rPr>
          <w:rFonts w:hint="eastAsia" w:ascii="仿宋_GB2312" w:hAnsi="仿宋_GB2312" w:eastAsia="仿宋_GB2312" w:cs="仿宋_GB2312"/>
          <w:color w:val="auto"/>
          <w:sz w:val="30"/>
          <w:szCs w:val="30"/>
        </w:rPr>
        <w:t>纸质版和电子版</w:t>
      </w:r>
      <w:r>
        <w:rPr>
          <w:rFonts w:hint="eastAsia" w:ascii="仿宋_GB2312" w:hAnsi="仿宋_GB2312" w:eastAsia="仿宋_GB2312" w:cs="仿宋_GB2312"/>
          <w:color w:val="auto"/>
          <w:sz w:val="30"/>
          <w:szCs w:val="30"/>
          <w:lang w:val="en-US" w:eastAsia="zh-CN"/>
        </w:rPr>
        <w:t>后的</w:t>
      </w:r>
      <w:r>
        <w:rPr>
          <w:rFonts w:hint="eastAsia" w:ascii="仿宋_GB2312" w:hAnsi="仿宋_GB2312" w:eastAsia="仿宋_GB2312" w:cs="仿宋_GB2312"/>
          <w:b/>
          <w:bCs/>
          <w:color w:val="auto"/>
          <w:sz w:val="30"/>
          <w:szCs w:val="30"/>
          <w:lang w:val="en-US" w:eastAsia="zh-CN"/>
        </w:rPr>
        <w:t>15</w:t>
      </w:r>
      <w:r>
        <w:rPr>
          <w:rFonts w:hint="eastAsia" w:ascii="仿宋_GB2312" w:hAnsi="仿宋_GB2312" w:eastAsia="仿宋_GB2312" w:cs="仿宋_GB2312"/>
          <w:color w:val="auto"/>
          <w:sz w:val="30"/>
          <w:szCs w:val="30"/>
        </w:rPr>
        <w:t>个工作日内，向</w:t>
      </w:r>
      <w:r>
        <w:rPr>
          <w:rFonts w:hint="eastAsia" w:ascii="仿宋_GB2312" w:hAnsi="仿宋_GB2312" w:cs="仿宋_GB2312"/>
          <w:color w:val="auto"/>
          <w:sz w:val="30"/>
          <w:szCs w:val="30"/>
          <w:lang w:val="en-US" w:eastAsia="zh-CN"/>
        </w:rPr>
        <w:t>项目实施</w:t>
      </w:r>
      <w:r>
        <w:rPr>
          <w:rFonts w:hint="eastAsia" w:ascii="仿宋_GB2312" w:hAnsi="仿宋_GB2312" w:eastAsia="仿宋_GB2312" w:cs="仿宋_GB2312"/>
          <w:color w:val="auto"/>
          <w:sz w:val="30"/>
          <w:szCs w:val="30"/>
        </w:rPr>
        <w:t>方支付合同金额尾款，人民币</w:t>
      </w:r>
      <w:r>
        <w:rPr>
          <w:rFonts w:hint="eastAsia" w:ascii="仿宋_GB2312" w:hAnsi="仿宋_GB2312" w:eastAsia="仿宋_GB2312" w:cs="仿宋_GB2312"/>
          <w:b/>
          <w:bCs/>
          <w:color w:val="auto"/>
          <w:sz w:val="30"/>
          <w:szCs w:val="30"/>
          <w:lang w:val="en-US" w:eastAsia="zh-CN"/>
        </w:rPr>
        <w:t>3.92</w:t>
      </w:r>
      <w:r>
        <w:rPr>
          <w:rFonts w:hint="eastAsia" w:ascii="仿宋_GB2312" w:hAnsi="仿宋_GB2312" w:eastAsia="仿宋_GB2312" w:cs="仿宋_GB2312"/>
          <w:color w:val="auto"/>
          <w:sz w:val="30"/>
          <w:szCs w:val="30"/>
        </w:rPr>
        <w:t>万元（大写：</w:t>
      </w:r>
      <w:r>
        <w:rPr>
          <w:rFonts w:hint="eastAsia" w:ascii="仿宋_GB2312" w:hAnsi="仿宋_GB2312" w:eastAsia="仿宋_GB2312" w:cs="仿宋_GB2312"/>
          <w:b/>
          <w:bCs/>
          <w:color w:val="auto"/>
          <w:sz w:val="30"/>
          <w:szCs w:val="30"/>
          <w:lang w:val="en-US" w:eastAsia="zh-CN"/>
        </w:rPr>
        <w:t>叁</w:t>
      </w:r>
      <w:r>
        <w:rPr>
          <w:rFonts w:hint="eastAsia" w:ascii="仿宋_GB2312" w:hAnsi="仿宋_GB2312" w:eastAsia="仿宋_GB2312" w:cs="仿宋_GB2312"/>
          <w:b/>
          <w:bCs/>
          <w:color w:val="auto"/>
          <w:sz w:val="30"/>
          <w:szCs w:val="30"/>
        </w:rPr>
        <w:t>万</w:t>
      </w:r>
      <w:r>
        <w:rPr>
          <w:rFonts w:hint="eastAsia" w:ascii="仿宋_GB2312" w:hAnsi="仿宋_GB2312" w:eastAsia="仿宋_GB2312" w:cs="仿宋_GB2312"/>
          <w:b/>
          <w:bCs/>
          <w:color w:val="auto"/>
          <w:sz w:val="30"/>
          <w:szCs w:val="30"/>
          <w:lang w:val="en-US" w:eastAsia="zh-CN"/>
        </w:rPr>
        <w:t>玖仟贰佰</w:t>
      </w:r>
      <w:r>
        <w:rPr>
          <w:rFonts w:hint="eastAsia" w:ascii="仿宋_GB2312" w:hAnsi="仿宋_GB2312" w:eastAsia="仿宋_GB2312" w:cs="仿宋_GB2312"/>
          <w:b/>
          <w:bCs/>
          <w:color w:val="auto"/>
          <w:sz w:val="30"/>
          <w:szCs w:val="30"/>
        </w:rPr>
        <w:t>元</w:t>
      </w:r>
      <w:r>
        <w:rPr>
          <w:rFonts w:hint="eastAsia" w:ascii="仿宋_GB2312" w:hAnsi="仿宋_GB2312" w:eastAsia="仿宋_GB2312" w:cs="仿宋_GB2312"/>
          <w:color w:val="auto"/>
          <w:sz w:val="30"/>
          <w:szCs w:val="30"/>
        </w:rPr>
        <w:t>整），乙方需</w:t>
      </w:r>
      <w:r>
        <w:rPr>
          <w:rFonts w:hint="eastAsia" w:ascii="仿宋_GB2312" w:hAnsi="仿宋_GB2312" w:eastAsia="仿宋_GB2312" w:cs="仿宋_GB2312"/>
          <w:color w:val="auto"/>
          <w:sz w:val="30"/>
          <w:szCs w:val="30"/>
          <w:lang w:eastAsia="zh-CN"/>
        </w:rPr>
        <w:t>在</w:t>
      </w:r>
      <w:r>
        <w:rPr>
          <w:rFonts w:hint="eastAsia" w:ascii="仿宋_GB2312" w:hAnsi="仿宋_GB2312" w:eastAsia="仿宋_GB2312" w:cs="仿宋_GB2312"/>
          <w:color w:val="auto"/>
          <w:sz w:val="30"/>
          <w:szCs w:val="30"/>
          <w:lang w:val="en-US" w:eastAsia="zh-CN"/>
        </w:rPr>
        <w:t>支付尾款前</w:t>
      </w:r>
      <w:r>
        <w:rPr>
          <w:rFonts w:hint="eastAsia" w:ascii="仿宋_GB2312" w:hAnsi="仿宋_GB2312" w:eastAsia="仿宋_GB2312" w:cs="仿宋_GB2312"/>
          <w:color w:val="auto"/>
          <w:sz w:val="30"/>
          <w:szCs w:val="30"/>
        </w:rPr>
        <w:t>出具与合同签署单位一致的正式发票。</w:t>
      </w:r>
    </w:p>
    <w:p>
      <w:pPr>
        <w:adjustRightInd w:val="0"/>
        <w:snapToGrid w:val="0"/>
        <w:spacing w:line="600" w:lineRule="exact"/>
        <w:ind w:firstLine="720"/>
        <w:rPr>
          <w:rFonts w:hint="default" w:ascii="仿宋_GB2312" w:hAnsi="宋体" w:eastAsia="仿宋_GB2312"/>
          <w:lang w:val="en-US" w:eastAsia="zh-CN"/>
        </w:rPr>
      </w:pPr>
      <w:r>
        <w:rPr>
          <w:rFonts w:hint="eastAsia" w:ascii="仿宋_GB2312" w:hAnsi="宋体"/>
          <w:lang w:val="zh-CN"/>
        </w:rPr>
        <w:t>4．资金分配的原则及考虑因素。</w:t>
      </w:r>
      <w:r>
        <w:rPr>
          <w:rFonts w:hint="eastAsia" w:ascii="仿宋_GB2312" w:hAnsi="宋体"/>
          <w:lang w:val="en-US" w:eastAsia="zh-CN"/>
        </w:rPr>
        <w:t>该项目不涉及。</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600" w:lineRule="exact"/>
        <w:ind w:firstLine="720"/>
        <w:rPr>
          <w:rFonts w:hint="eastAsia" w:ascii="仿宋_GB2312" w:hAnsi="宋体" w:eastAsia="仿宋_GB2312"/>
          <w:lang w:val="en-US" w:eastAsia="zh-CN"/>
        </w:rPr>
      </w:pPr>
      <w:r>
        <w:rPr>
          <w:rFonts w:hint="eastAsia" w:ascii="仿宋_GB2312" w:hAnsi="宋体"/>
          <w:lang w:val="zh-CN"/>
        </w:rPr>
        <w:t>1．项目主要内容</w:t>
      </w:r>
      <w:r>
        <w:rPr>
          <w:rFonts w:hint="eastAsia" w:ascii="仿宋_GB2312" w:hAnsi="宋体"/>
          <w:lang w:val="en-US" w:eastAsia="zh-CN"/>
        </w:rPr>
        <w:t>:按照四川省农业农村厅《关于加强和规范四川省长江流域水生生物监测调查工作的通知》（川农函【2021】417号）和乐山市农业农村局《乐山市岷江流域重点水域禁捕效果评估实施方案》等文件要求对大渡河（峨边县龙眼坝，东经 103.1711，北纬29.163）和官料河玉林桥上游，东经 103.1225，北纬29.1402）的二个监测点进行“十年禁捕”效果监测评估。</w:t>
      </w:r>
    </w:p>
    <w:p>
      <w:pPr>
        <w:adjustRightInd w:val="0"/>
        <w:snapToGrid w:val="0"/>
        <w:spacing w:line="600" w:lineRule="exact"/>
        <w:ind w:firstLine="720"/>
        <w:rPr>
          <w:rFonts w:hint="eastAsia" w:ascii="仿宋_GB2312" w:hAnsi="宋体" w:eastAsia="仿宋_GB2312"/>
          <w:lang w:val="en-US" w:eastAsia="zh-CN"/>
        </w:rPr>
      </w:pPr>
      <w:r>
        <w:rPr>
          <w:rFonts w:hint="eastAsia" w:ascii="仿宋_GB2312" w:hAnsi="宋体"/>
          <w:lang w:val="zh-CN"/>
        </w:rPr>
        <w:t>2．项目应实现的具体绩效目标，包括目标的量化、细化情况以及项目实施进度计划等</w:t>
      </w:r>
      <w:r>
        <w:rPr>
          <w:rFonts w:hint="eastAsia" w:ascii="仿宋_GB2312" w:hAnsi="宋体"/>
          <w:lang w:val="en-US" w:eastAsia="zh-CN"/>
        </w:rPr>
        <w:t>:大渡河（峨边县龙眼坝，东经 103.1711，北纬29.163）和官料河玉林桥上游，东经 103.1225，北纬29.1402）的二个监测点进行“十年禁捕”效果监测评估。提交成果：1.岷江流域乐山市峨边县大渡河监测区域和官料河监测区域的浮游植物、浮游动物、底栖动物和水生维管束植物名录；2.岷江流域乐山市峨边县大渡河监测区域和官料河监测区域鱼类资源名录；3.岷江流域乐山市峨边县大渡河监测区域和官料河监测区域珍稀特有鱼类分布及资源现状；4.岷江流域峨边县大渡河监测区域和官料河监测区域鱼类“三场”分布。</w:t>
      </w:r>
    </w:p>
    <w:p>
      <w:pPr>
        <w:adjustRightInd w:val="0"/>
        <w:snapToGrid w:val="0"/>
        <w:spacing w:line="600" w:lineRule="exact"/>
        <w:ind w:firstLine="720"/>
        <w:rPr>
          <w:rFonts w:ascii="仿宋_GB2312" w:hAnsi="宋体"/>
          <w:lang w:val="zh-CN"/>
        </w:rPr>
      </w:pPr>
      <w:r>
        <w:rPr>
          <w:rFonts w:hint="eastAsia" w:ascii="仿宋_GB2312" w:hAnsi="宋体"/>
          <w:lang w:val="zh-CN"/>
        </w:rPr>
        <w:t>3．</w:t>
      </w:r>
      <w:r>
        <w:rPr>
          <w:rFonts w:hint="eastAsia" w:ascii="仿宋_GB2312" w:hAnsi="宋体"/>
          <w:lang w:val="en-US" w:eastAsia="zh-CN"/>
        </w:rPr>
        <w:t>项目</w:t>
      </w:r>
      <w:r>
        <w:rPr>
          <w:rFonts w:hint="eastAsia" w:ascii="仿宋_GB2312" w:hAnsi="宋体"/>
          <w:lang w:val="zh-CN"/>
        </w:rPr>
        <w:t>申报内容与实际相符，申报目标合理可行。</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adjustRightInd w:val="0"/>
        <w:snapToGrid w:val="0"/>
        <w:spacing w:line="600" w:lineRule="exact"/>
        <w:ind w:firstLine="720"/>
        <w:rPr>
          <w:rFonts w:hint="default" w:ascii="仿宋_GB2312" w:hAnsi="宋体" w:eastAsia="仿宋_GB2312"/>
          <w:lang w:val="en-US" w:eastAsia="zh-CN"/>
        </w:rPr>
      </w:pPr>
      <w:r>
        <w:rPr>
          <w:rFonts w:hint="eastAsia" w:ascii="仿宋_GB2312" w:hAnsi="宋体"/>
          <w:lang w:val="zh-CN"/>
        </w:rPr>
        <w:t>项目绩效自评采用的组织实施步骤及方法：</w:t>
      </w:r>
      <w:r>
        <w:rPr>
          <w:rFonts w:hint="eastAsia" w:ascii="仿宋_GB2312" w:hAnsi="宋体"/>
          <w:lang w:val="en-US" w:eastAsia="zh-CN"/>
        </w:rPr>
        <w:t>按照财政、农业农村等部门相关文件组织实施。</w:t>
      </w:r>
    </w:p>
    <w:p>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numPr>
          <w:ilvl w:val="0"/>
          <w:numId w:val="0"/>
        </w:numPr>
        <w:ind w:firstLine="640" w:firstLineChars="200"/>
        <w:jc w:val="left"/>
        <w:rPr>
          <w:rFonts w:hint="eastAsia" w:ascii="仿宋_GB2312" w:hAnsi="宋体" w:eastAsia="仿宋_GB2312"/>
          <w:lang w:val="en-US" w:eastAsia="zh-CN"/>
        </w:rPr>
      </w:pPr>
      <w:r>
        <w:rPr>
          <w:rFonts w:hint="eastAsia" w:ascii="仿宋_GB2312" w:hAnsi="宋体"/>
          <w:lang w:val="zh-CN"/>
        </w:rPr>
        <w:t>项目资金申报、批复及预算调整等程序的相关情况：依据：</w:t>
      </w:r>
      <w:r>
        <w:rPr>
          <w:rFonts w:hint="eastAsia" w:ascii="仿宋" w:hAnsi="仿宋" w:eastAsia="仿宋" w:cs="仿宋"/>
          <w:sz w:val="32"/>
          <w:szCs w:val="32"/>
          <w:lang w:val="en-US" w:eastAsia="zh-CN"/>
        </w:rPr>
        <w:t>（1）农长渔发〔2021〕1 号 农业农村部 发展改革委 公安部 财政部 交通运输部 市场监管总局关于完善长江流域禁捕执法长效机制的意见；（2）农办长渔【2021】2号 农业农村部办公厅《关于加强和规范长江流域水生生物监测调查工作的通知；（3）川农函（2021）417号关于加强和规范四川省长江流域水生生物监测调查工作的通知。（4）乐农函〔2021〕328号关于印发《乐山市岷江流域重点水域禁捕效果评估实施方案》的通知及《乐山市岷江流域重点水域禁捕效果评估实施方案》。申请县级财政项目经费9.8万元。</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（二）资金计划、到位及使用情况（可用表格形式反映）。</w:t>
      </w:r>
    </w:p>
    <w:p>
      <w:pPr>
        <w:adjustRightInd w:val="0"/>
        <w:snapToGrid w:val="0"/>
        <w:spacing w:line="600" w:lineRule="exact"/>
        <w:ind w:firstLine="720"/>
        <w:rPr>
          <w:rFonts w:hint="eastAsia" w:ascii="仿宋_GB2312" w:hAnsi="宋体"/>
          <w:lang w:val="en-US" w:eastAsia="zh-CN"/>
        </w:rPr>
      </w:pPr>
      <w:r>
        <w:rPr>
          <w:rFonts w:hint="eastAsia" w:ascii="楷体_GB2312" w:hAnsi="宋体" w:eastAsia="楷体_GB2312"/>
          <w:lang w:val="zh-CN"/>
        </w:rPr>
        <w:t>1．资金计划。</w:t>
      </w:r>
      <w:r>
        <w:rPr>
          <w:rFonts w:hint="eastAsia" w:ascii="仿宋_GB2312" w:hAnsi="宋体"/>
          <w:lang w:val="en-US" w:eastAsia="zh-CN"/>
        </w:rPr>
        <w:t>该项目</w:t>
      </w:r>
      <w:r>
        <w:rPr>
          <w:rFonts w:hint="eastAsia" w:ascii="仿宋_GB2312" w:hAnsi="宋体"/>
          <w:lang w:val="zh-CN"/>
        </w:rPr>
        <w:t>县财政资金</w:t>
      </w:r>
      <w:r>
        <w:rPr>
          <w:rFonts w:hint="eastAsia" w:ascii="仿宋_GB2312" w:hAnsi="宋体"/>
          <w:lang w:val="en-US" w:eastAsia="zh-CN"/>
        </w:rPr>
        <w:t>计划9.8万元。</w:t>
      </w:r>
    </w:p>
    <w:p>
      <w:pPr>
        <w:adjustRightInd w:val="0"/>
        <w:snapToGrid w:val="0"/>
        <w:spacing w:line="600" w:lineRule="exact"/>
        <w:ind w:firstLine="720"/>
        <w:rPr>
          <w:rFonts w:ascii="仿宋_GB2312" w:hAnsi="宋体"/>
          <w:lang w:val="zh-CN"/>
        </w:rPr>
      </w:pPr>
      <w:r>
        <w:rPr>
          <w:rFonts w:hint="eastAsia" w:ascii="楷体_GB2312" w:hAnsi="宋体" w:eastAsia="楷体_GB2312"/>
          <w:lang w:val="zh-CN"/>
        </w:rPr>
        <w:t>2．资金到位。</w:t>
      </w:r>
      <w:r>
        <w:rPr>
          <w:rFonts w:hint="eastAsia" w:ascii="仿宋_GB2312" w:hAnsi="宋体"/>
          <w:lang w:val="en-US" w:eastAsia="zh-CN"/>
        </w:rPr>
        <w:t>该项目实际到位</w:t>
      </w:r>
      <w:r>
        <w:rPr>
          <w:rFonts w:hint="eastAsia" w:ascii="仿宋_GB2312" w:hAnsi="宋体"/>
          <w:lang w:val="zh-CN"/>
        </w:rPr>
        <w:t>县财政资金</w:t>
      </w:r>
      <w:r>
        <w:rPr>
          <w:rFonts w:hint="eastAsia" w:ascii="仿宋_GB2312" w:hAnsi="宋体"/>
          <w:lang w:val="en-US" w:eastAsia="zh-CN"/>
        </w:rPr>
        <w:t>9.8万元。</w:t>
      </w:r>
    </w:p>
    <w:p>
      <w:pPr>
        <w:adjustRightInd w:val="0"/>
        <w:snapToGrid w:val="0"/>
        <w:spacing w:line="600" w:lineRule="exact"/>
        <w:ind w:firstLine="720"/>
        <w:rPr>
          <w:rFonts w:ascii="仿宋_GB2312" w:hAnsi="宋体"/>
          <w:lang w:val="zh-CN"/>
        </w:rPr>
      </w:pPr>
      <w:r>
        <w:rPr>
          <w:rFonts w:hint="eastAsia" w:ascii="楷体_GB2312" w:hAnsi="宋体" w:eastAsia="楷体_GB2312"/>
          <w:lang w:val="zh-CN"/>
        </w:rPr>
        <w:t>3．资金使用。</w:t>
      </w:r>
      <w:r>
        <w:rPr>
          <w:rFonts w:hint="eastAsia" w:ascii="仿宋_GB2312" w:hAnsi="宋体"/>
          <w:lang w:val="en-US" w:eastAsia="zh-CN"/>
        </w:rPr>
        <w:t>该项目通过询价比选，成交价为9.8万元。项目完成后，严格按照项目合同支付了项目经费9.8万元</w:t>
      </w:r>
      <w:r>
        <w:rPr>
          <w:rFonts w:hint="eastAsia" w:ascii="仿宋_GB2312" w:hAnsi="宋体"/>
          <w:lang w:val="zh-CN"/>
        </w:rPr>
        <w:t>。</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pPr>
        <w:adjustRightInd w:val="0"/>
        <w:snapToGrid w:val="0"/>
        <w:spacing w:line="600" w:lineRule="exact"/>
        <w:ind w:firstLine="720"/>
        <w:rPr>
          <w:rFonts w:ascii="仿宋_GB2312" w:hAnsi="宋体"/>
          <w:lang w:val="zh-CN"/>
        </w:rPr>
      </w:pPr>
      <w:r>
        <w:rPr>
          <w:rFonts w:hint="eastAsia" w:ascii="仿宋_GB2312" w:hAnsi="宋体"/>
          <w:lang w:val="en-US" w:eastAsia="zh-CN"/>
        </w:rPr>
        <w:t>该</w:t>
      </w:r>
      <w:r>
        <w:rPr>
          <w:rFonts w:hint="eastAsia" w:ascii="仿宋_GB2312" w:hAnsi="宋体"/>
          <w:lang w:val="zh-CN"/>
        </w:rPr>
        <w:t>项目实施单位财务管理制度健全，严格执行财务管理制度，账务处理及时，会计核算规范。</w:t>
      </w:r>
    </w:p>
    <w:p>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pPr>
        <w:adjustRightInd w:val="0"/>
        <w:snapToGrid w:val="0"/>
        <w:spacing w:line="600" w:lineRule="exact"/>
        <w:ind w:firstLine="720"/>
        <w:rPr>
          <w:rFonts w:ascii="仿宋_GB2312" w:hAnsi="宋体"/>
          <w:lang w:val="zh-CN"/>
        </w:rPr>
      </w:pPr>
      <w:r>
        <w:rPr>
          <w:rFonts w:hint="eastAsia" w:ascii="仿宋_GB2312" w:hAnsi="宋体"/>
          <w:lang w:val="zh-CN"/>
        </w:rPr>
        <w:t>结合项目组织实施管理办法，重点围绕以下内容进行分析评价，并对自评中发现的问题分析说明。</w:t>
      </w:r>
    </w:p>
    <w:p>
      <w:pPr>
        <w:adjustRightInd w:val="0"/>
        <w:snapToGrid w:val="0"/>
        <w:spacing w:line="600" w:lineRule="exact"/>
        <w:ind w:firstLine="720"/>
        <w:rPr>
          <w:rFonts w:hint="default" w:ascii="仿宋_GB2312" w:hAnsi="宋体"/>
          <w:lang w:val="en-US" w:eastAsia="zh-CN"/>
        </w:rPr>
      </w:pPr>
      <w:r>
        <w:rPr>
          <w:rFonts w:hint="eastAsia" w:ascii="楷体_GB2312" w:hAnsi="宋体" w:eastAsia="楷体_GB2312"/>
          <w:b/>
          <w:lang w:val="zh-CN"/>
        </w:rPr>
        <w:t>（一）项目组织架构及实施流程。</w:t>
      </w:r>
      <w:r>
        <w:rPr>
          <w:rFonts w:hint="eastAsia" w:ascii="仿宋_GB2312" w:hAnsi="宋体"/>
          <w:lang w:val="en-US" w:eastAsia="zh-CN"/>
        </w:rPr>
        <w:t>依据相关文件申请项目预算资金、通过党组会决议按照询价比选方式确定成交人（项目具体实施方）、监督项目实施、组织专家评审、支付项目经费。</w:t>
      </w:r>
    </w:p>
    <w:p>
      <w:pPr>
        <w:adjustRightInd w:val="0"/>
        <w:snapToGrid w:val="0"/>
        <w:spacing w:line="600" w:lineRule="exact"/>
        <w:ind w:firstLine="720"/>
        <w:rPr>
          <w:rFonts w:hint="default" w:ascii="仿宋_GB2312" w:hAnsi="宋体" w:eastAsia="仿宋_GB2312"/>
          <w:lang w:val="en-US" w:eastAsia="zh-CN"/>
        </w:rPr>
      </w:pPr>
      <w:r>
        <w:rPr>
          <w:rFonts w:hint="eastAsia" w:ascii="楷体_GB2312" w:hAnsi="宋体" w:eastAsia="楷体_GB2312"/>
          <w:b/>
          <w:lang w:val="zh-CN"/>
        </w:rPr>
        <w:t>（二）项目管理情况。</w:t>
      </w:r>
      <w:r>
        <w:rPr>
          <w:rFonts w:hint="eastAsia" w:ascii="仿宋_GB2312" w:hAnsi="宋体"/>
          <w:lang w:val="zh-CN"/>
        </w:rPr>
        <w:t>结合项目特点，总体评价各项目实施单位执行相关法律法规及项目管理制度等情况，如招投标、政府采购、项目公示制等相关规定：</w:t>
      </w:r>
      <w:r>
        <w:rPr>
          <w:rFonts w:hint="eastAsia" w:ascii="仿宋_GB2312" w:hAnsi="宋体"/>
          <w:lang w:val="en-US" w:eastAsia="zh-CN"/>
        </w:rPr>
        <w:t>1.严格依据相关文件申请项目预算资金。2、严格按照相关规定，通过党组会决议按照询价比选方式确定成交人（项目具体实施方）。3、严格对项目实施进行监督、管理，组织专家评审。4.严格按照项目合同约定支付项目经费。</w:t>
      </w:r>
    </w:p>
    <w:p>
      <w:pPr>
        <w:adjustRightInd w:val="0"/>
        <w:snapToGrid w:val="0"/>
        <w:spacing w:line="600" w:lineRule="exact"/>
        <w:ind w:firstLine="720"/>
        <w:rPr>
          <w:rFonts w:hint="default" w:ascii="仿宋_GB2312" w:hAnsi="宋体"/>
          <w:lang w:val="en-US"/>
        </w:rPr>
      </w:pPr>
      <w:r>
        <w:rPr>
          <w:rFonts w:hint="eastAsia" w:ascii="楷体_GB2312" w:hAnsi="宋体" w:eastAsia="楷体_GB2312"/>
          <w:b/>
          <w:lang w:val="zh-CN"/>
        </w:rPr>
        <w:t>（三）项目监管情况。</w:t>
      </w:r>
      <w:r>
        <w:rPr>
          <w:rFonts w:hint="eastAsia" w:ascii="仿宋_GB2312" w:hAnsi="宋体"/>
          <w:lang w:val="zh-CN"/>
        </w:rPr>
        <w:t>说明项目主管部门为加强项目管理所采取的监管手段、监管程序、监管工作开展情况及实现的效果等：</w:t>
      </w:r>
      <w:r>
        <w:rPr>
          <w:rFonts w:hint="eastAsia" w:ascii="仿宋_GB2312" w:hAnsi="宋体"/>
          <w:lang w:val="en-US" w:eastAsia="zh-CN"/>
        </w:rPr>
        <w:t>严格对项目实施进行监督、管理，组织专家评审。项目实施方按时提交了岷江流域乐山市峨边县大渡河监测区域和官料河监测区域的浮游植物、浮游动物、底栖动物和水生维管束植物名录；岷江流域乐山市峨边县大渡河监测区域和官料河监测区域鱼类资源名录；岷江流域乐山市峨边县大渡河监测区域和官料河监测区域珍稀特有鱼类分布及资源现状；岷江流域峨边县大渡河监测区域和官料河监测区域鱼类“三场”分布四项监测评估成果。</w:t>
      </w:r>
    </w:p>
    <w:p>
      <w:pPr>
        <w:adjustRightInd w:val="0"/>
        <w:snapToGrid w:val="0"/>
        <w:spacing w:line="600" w:lineRule="exact"/>
        <w:ind w:firstLine="720"/>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600" w:lineRule="exact"/>
        <w:ind w:firstLine="720"/>
        <w:rPr>
          <w:rFonts w:hint="default" w:ascii="楷体_GB2312" w:hAnsi="宋体" w:eastAsia="仿宋_GB2312"/>
          <w:b/>
          <w:lang w:val="en-US" w:eastAsia="zh-CN"/>
        </w:rPr>
      </w:pPr>
      <w:r>
        <w:rPr>
          <w:rFonts w:hint="eastAsia" w:ascii="仿宋_GB2312" w:hAnsi="宋体"/>
          <w:lang w:val="zh-CN"/>
        </w:rPr>
        <w:t>包括项目完成数量、质量、时效、成本等情况，资金结余情况，违规记录等，对照项目计划完成目标，对截止评价时点的任务量完成、质量标准、进度计划、成本控制目标的实现程度进行评价，并进行分析说明：</w:t>
      </w:r>
      <w:r>
        <w:rPr>
          <w:rFonts w:hint="eastAsia" w:ascii="仿宋_GB2312" w:hAnsi="宋体"/>
          <w:lang w:val="en-US" w:eastAsia="zh-CN"/>
        </w:rPr>
        <w:t>1.项目实施方按时提交了岷江流域乐山市峨边县大渡河监测区域和官料河监测区域的浮游植物、浮游动物、底栖动物和水生维管束植物名录；岷江流域乐山市峨边县大渡河监测区域和官料河监测区域鱼类资源名录；岷江流域乐山市峨边县大渡河监测区域和官料河监测区域珍稀特有鱼类分布及资源现状；岷江流域峨边县大渡河监测区域和官料河监测区域鱼类“三场”分布四项监测评估成果，通过了专家评审，监测评估成果切实可信。2.该项目预算资金10万元，通过询价比选，成交价为9.8万元。项目完成后，严格按照项目合同按时支付了项目经费9.8万元</w:t>
      </w:r>
      <w:r>
        <w:rPr>
          <w:rFonts w:hint="eastAsia" w:ascii="仿宋_GB2312" w:hAnsi="宋体"/>
          <w:lang w:val="zh-CN"/>
        </w:rPr>
        <w:t>。</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adjustRightInd w:val="0"/>
        <w:snapToGrid w:val="0"/>
        <w:spacing w:line="600" w:lineRule="exact"/>
        <w:ind w:firstLine="720"/>
        <w:rPr>
          <w:rFonts w:hint="default" w:ascii="仿宋_GB2312" w:hAnsi="宋体" w:eastAsia="仿宋_GB2312"/>
          <w:lang w:val="en-US" w:eastAsia="zh-CN"/>
        </w:rPr>
      </w:pPr>
      <w:r>
        <w:rPr>
          <w:rFonts w:hint="eastAsia" w:ascii="仿宋_GB2312" w:hAnsi="宋体"/>
          <w:lang w:val="zh-CN"/>
        </w:rPr>
        <w:t>从项目经济效益、社会效益、生态效益、可持续效益以及服务对象满意度等方面对项目效益进行全面分析评价：</w:t>
      </w:r>
      <w:r>
        <w:rPr>
          <w:rFonts w:hint="eastAsia" w:ascii="仿宋_GB2312" w:hAnsi="宋体"/>
          <w:lang w:val="en-US" w:eastAsia="zh-CN"/>
        </w:rPr>
        <w:t>1.天然水域部分土著鱼类资源量有所增加，野生鱼类资源量逐步恢复并有所增长。2.促进了天然河流水生生物的多样性发展。3.促进了天然水域渔业资源可持续发展。4.</w:t>
      </w:r>
      <w:r>
        <w:rPr>
          <w:rFonts w:hint="eastAsia" w:ascii="仿宋_GB2312" w:hAnsi="宋体"/>
          <w:lang w:val="zh-CN"/>
        </w:rPr>
        <w:t>服务对象满意度</w:t>
      </w:r>
      <w:r>
        <w:rPr>
          <w:rFonts w:hint="eastAsia" w:ascii="仿宋_GB2312" w:hAnsi="宋体"/>
          <w:lang w:val="en-US" w:eastAsia="zh-CN"/>
        </w:rPr>
        <w:t>指标达95%以上。</w:t>
      </w:r>
    </w:p>
    <w:p>
      <w:pPr>
        <w:adjustRightInd w:val="0"/>
        <w:snapToGrid w:val="0"/>
        <w:spacing w:line="600" w:lineRule="exact"/>
        <w:ind w:firstLine="720"/>
        <w:rPr>
          <w:rFonts w:ascii="黑体" w:hAnsi="宋体" w:eastAsia="黑体"/>
        </w:rPr>
      </w:pPr>
      <w:r>
        <w:rPr>
          <w:rFonts w:hint="eastAsia" w:ascii="黑体" w:hAnsi="宋体" w:eastAsia="黑体"/>
        </w:rPr>
        <w:t>五、评价结论及建议</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（一）评价结论。</w:t>
      </w:r>
    </w:p>
    <w:p>
      <w:pPr>
        <w:adjustRightInd w:val="0"/>
        <w:snapToGrid w:val="0"/>
        <w:spacing w:line="600" w:lineRule="exact"/>
        <w:ind w:firstLine="720"/>
        <w:rPr>
          <w:rFonts w:hint="default" w:ascii="仿宋_GB2312" w:hAnsi="宋体"/>
          <w:bdr w:val="single" w:color="auto" w:sz="4" w:space="0"/>
          <w:lang w:val="en-US"/>
        </w:rPr>
      </w:pPr>
      <w:r>
        <w:rPr>
          <w:rFonts w:hint="eastAsia" w:ascii="仿宋_GB2312" w:hAnsi="宋体"/>
          <w:lang w:val="zh-CN"/>
        </w:rPr>
        <w:t>结合项目自身特点、评价重点及管理办法等要求，围绕专项项目支出绩效评价指标体系对项目进行总体评价：</w:t>
      </w:r>
      <w:r>
        <w:rPr>
          <w:rFonts w:hint="eastAsia" w:ascii="仿宋_GB2312" w:hAnsi="宋体"/>
          <w:lang w:val="en-US" w:eastAsia="zh-CN"/>
        </w:rPr>
        <w:t>1.严格依据相关文件申请项目预算资金。2、严格按照相关规定，通过党组会决议按照询价比选方式确定成交人（项目具体实施方）。3、严格对项目实施进行监督、管理，组织专家评审。4.严格按照项目合同约定支付项目经费。5、项目社会效益和生态效益较好，天然水域部分土著鱼类资源量有所增加，野生鱼类资源量逐步恢复并有所增长；促进了天然河流水生生物的多样性发展；促进了天然水域渔业资源可持续发展。6.项目</w:t>
      </w:r>
      <w:r>
        <w:rPr>
          <w:rFonts w:hint="eastAsia" w:ascii="仿宋_GB2312" w:hAnsi="宋体"/>
          <w:lang w:val="zh-CN"/>
        </w:rPr>
        <w:t>服务对象满意度</w:t>
      </w:r>
      <w:r>
        <w:rPr>
          <w:rFonts w:hint="eastAsia" w:ascii="仿宋_GB2312" w:hAnsi="宋体"/>
          <w:lang w:val="en-US" w:eastAsia="zh-CN"/>
        </w:rPr>
        <w:t>指标达95%以上。</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（二）存在的问题。</w:t>
      </w:r>
    </w:p>
    <w:p>
      <w:pPr>
        <w:adjustRightInd w:val="0"/>
        <w:snapToGrid w:val="0"/>
        <w:spacing w:line="600" w:lineRule="exact"/>
        <w:ind w:firstLine="640" w:firstLineChars="200"/>
        <w:rPr>
          <w:rFonts w:ascii="仿宋_GB2312" w:hAnsi="宋体"/>
          <w:lang w:val="zh-CN"/>
        </w:rPr>
      </w:pPr>
      <w:r>
        <w:rPr>
          <w:rFonts w:hint="eastAsia" w:ascii="仿宋_GB2312" w:hAnsi="宋体"/>
          <w:lang w:val="en-US" w:eastAsia="zh-CN"/>
        </w:rPr>
        <w:t>无</w:t>
      </w:r>
      <w:r>
        <w:rPr>
          <w:rFonts w:hint="eastAsia" w:ascii="仿宋_GB2312" w:hAnsi="宋体"/>
          <w:lang w:val="zh-CN"/>
        </w:rPr>
        <w:t>。</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（三）相关建议。</w:t>
      </w:r>
    </w:p>
    <w:p>
      <w:pPr>
        <w:adjustRightInd w:val="0"/>
        <w:snapToGrid w:val="0"/>
        <w:spacing w:line="600" w:lineRule="exact"/>
        <w:ind w:firstLine="640" w:firstLineChars="200"/>
        <w:rPr>
          <w:rFonts w:ascii="仿宋_GB2312" w:hAnsi="宋体"/>
          <w:lang w:val="zh-CN"/>
        </w:rPr>
      </w:pPr>
      <w:r>
        <w:rPr>
          <w:rFonts w:hint="eastAsia" w:ascii="仿宋_GB2312" w:hAnsi="宋体"/>
          <w:lang w:val="en-US" w:eastAsia="zh-CN"/>
        </w:rPr>
        <w:t>无</w:t>
      </w:r>
      <w:r>
        <w:rPr>
          <w:rFonts w:hint="eastAsia" w:ascii="仿宋_GB2312" w:hAnsi="宋体"/>
          <w:lang w:val="zh-CN"/>
        </w:rPr>
        <w:t>。</w:t>
      </w:r>
    </w:p>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ljMTMzMjE3YTY2MDNjM2U4YjA2NzE4YmMwNjcxNjkifQ=="/>
  </w:docVars>
  <w:rsids>
    <w:rsidRoot w:val="291C455A"/>
    <w:rsid w:val="001B1813"/>
    <w:rsid w:val="002A5E78"/>
    <w:rsid w:val="003315AE"/>
    <w:rsid w:val="0049716B"/>
    <w:rsid w:val="006F6CE7"/>
    <w:rsid w:val="00C073E9"/>
    <w:rsid w:val="00E42B1E"/>
    <w:rsid w:val="0D466608"/>
    <w:rsid w:val="0D850CC5"/>
    <w:rsid w:val="19B536B9"/>
    <w:rsid w:val="1CFC067D"/>
    <w:rsid w:val="26553553"/>
    <w:rsid w:val="291C455A"/>
    <w:rsid w:val="2A502512"/>
    <w:rsid w:val="36926D0C"/>
    <w:rsid w:val="414A628B"/>
    <w:rsid w:val="4CE309EC"/>
    <w:rsid w:val="5FD26313"/>
    <w:rsid w:val="673E27F9"/>
    <w:rsid w:val="6EF16389"/>
    <w:rsid w:val="74276058"/>
    <w:rsid w:val="79016D9C"/>
    <w:rsid w:val="7AA86BD5"/>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2936</Words>
  <Characters>3074</Characters>
  <Lines>9</Lines>
  <Paragraphs>2</Paragraphs>
  <TotalTime>4</TotalTime>
  <ScaleCrop>false</ScaleCrop>
  <LinksUpToDate>false</LinksUpToDate>
  <CharactersWithSpaces>3097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ebzhanglj</cp:lastModifiedBy>
  <cp:lastPrinted>2022-03-15T02:21:00Z</cp:lastPrinted>
  <dcterms:modified xsi:type="dcterms:W3CDTF">2023-08-04T08:47:21Z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0B4FDB64FE4341E1B3256742937475C2</vt:lpwstr>
  </property>
</Properties>
</file>