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tabs>
          <w:tab w:val="left" w:pos="1440"/>
        </w:tabs>
        <w:kinsoku/>
        <w:wordWrap/>
        <w:overflowPunct/>
        <w:topLinePunct w:val="0"/>
        <w:bidi w:val="0"/>
        <w:spacing w:line="560" w:lineRule="exact"/>
        <w:textAlignment w:val="auto"/>
        <w:rPr>
          <w:rFonts w:ascii="宋体" w:hAnsi="宋体" w:eastAsia="宋体"/>
          <w:sz w:val="30"/>
          <w:szCs w:val="30"/>
        </w:rPr>
      </w:pPr>
    </w:p>
    <w:p>
      <w:pPr>
        <w:jc w:val="center"/>
        <w:rPr>
          <w:rFonts w:hint="eastAsia" w:ascii="宋体" w:hAnsi="宋体"/>
          <w:b/>
          <w:bCs w:val="0"/>
          <w:sz w:val="44"/>
          <w:szCs w:val="44"/>
          <w:lang w:eastAsia="zh-CN"/>
        </w:rPr>
      </w:pPr>
      <w:bookmarkStart w:id="0" w:name="_GoBack"/>
      <w:r>
        <w:rPr>
          <w:rFonts w:hint="eastAsia" w:ascii="宋体" w:hAnsi="宋体"/>
          <w:b/>
          <w:bCs w:val="0"/>
          <w:sz w:val="44"/>
          <w:szCs w:val="44"/>
        </w:rPr>
        <w:t>峨边县20</w:t>
      </w:r>
      <w:r>
        <w:rPr>
          <w:rFonts w:hint="eastAsia" w:ascii="宋体" w:hAnsi="宋体"/>
          <w:b/>
          <w:bCs w:val="0"/>
          <w:sz w:val="44"/>
          <w:szCs w:val="44"/>
          <w:lang w:val="en-US" w:eastAsia="zh-CN"/>
        </w:rPr>
        <w:t>22</w:t>
      </w:r>
      <w:r>
        <w:rPr>
          <w:rFonts w:hint="eastAsia" w:ascii="宋体" w:hAnsi="宋体"/>
          <w:b/>
          <w:bCs w:val="0"/>
          <w:sz w:val="44"/>
          <w:szCs w:val="44"/>
        </w:rPr>
        <w:t>年</w:t>
      </w:r>
      <w:r>
        <w:rPr>
          <w:rFonts w:hint="eastAsia" w:ascii="宋体" w:hAnsi="宋体"/>
          <w:b/>
          <w:bCs w:val="0"/>
          <w:sz w:val="44"/>
          <w:szCs w:val="44"/>
          <w:lang w:eastAsia="zh-CN"/>
        </w:rPr>
        <w:t>高标准农田建设</w:t>
      </w:r>
      <w:bookmarkEnd w:id="0"/>
      <w:r>
        <w:rPr>
          <w:rFonts w:hint="eastAsia" w:ascii="宋体" w:hAnsi="宋体"/>
          <w:b/>
          <w:bCs w:val="0"/>
          <w:sz w:val="44"/>
          <w:szCs w:val="44"/>
          <w:lang w:eastAsia="zh-CN"/>
        </w:rPr>
        <w:t>项目</w:t>
      </w:r>
    </w:p>
    <w:p>
      <w:pPr>
        <w:jc w:val="center"/>
        <w:rPr>
          <w:rFonts w:hint="eastAsia" w:ascii="宋体" w:hAnsi="宋体"/>
          <w:b/>
          <w:bCs w:val="0"/>
          <w:sz w:val="44"/>
          <w:szCs w:val="44"/>
        </w:rPr>
      </w:pPr>
      <w:r>
        <w:rPr>
          <w:rFonts w:hint="eastAsia" w:ascii="宋体" w:hAnsi="宋体"/>
          <w:b/>
          <w:bCs w:val="0"/>
          <w:sz w:val="44"/>
          <w:szCs w:val="44"/>
        </w:rPr>
        <w:t>绩效</w:t>
      </w:r>
      <w:r>
        <w:rPr>
          <w:rFonts w:hint="eastAsia" w:ascii="宋体" w:hAnsi="宋体"/>
          <w:b/>
          <w:bCs w:val="0"/>
          <w:sz w:val="44"/>
          <w:szCs w:val="44"/>
          <w:lang w:val="en-US" w:eastAsia="zh-CN"/>
        </w:rPr>
        <w:t>自评</w:t>
      </w:r>
      <w:r>
        <w:rPr>
          <w:rFonts w:hint="eastAsia" w:ascii="宋体" w:hAnsi="宋体"/>
          <w:b/>
          <w:bCs w:val="0"/>
          <w:sz w:val="44"/>
          <w:szCs w:val="44"/>
        </w:rPr>
        <w:t>报告</w:t>
      </w:r>
    </w:p>
    <w:p>
      <w:pPr>
        <w:pStyle w:val="10"/>
        <w:keepNext w:val="0"/>
        <w:keepLines w:val="0"/>
        <w:pageBreakBefore w:val="0"/>
        <w:kinsoku/>
        <w:wordWrap/>
        <w:overflowPunct/>
        <w:topLinePunct w:val="0"/>
        <w:bidi w:val="0"/>
        <w:spacing w:line="560" w:lineRule="exact"/>
        <w:ind w:firstLine="640"/>
        <w:jc w:val="center"/>
        <w:textAlignment w:val="auto"/>
        <w:rPr>
          <w:rFonts w:hint="eastAsia" w:ascii="宋体" w:hAnsi="宋体" w:eastAsia="宋体"/>
          <w:color w:val="auto"/>
          <w:kern w:val="2"/>
          <w:sz w:val="32"/>
          <w:szCs w:val="32"/>
          <w:lang w:eastAsia="zh-CN"/>
        </w:rPr>
      </w:pPr>
      <w:r>
        <w:rPr>
          <w:rFonts w:hint="eastAsia" w:ascii="宋体" w:hAnsi="宋体"/>
          <w:color w:val="auto"/>
          <w:kern w:val="2"/>
          <w:sz w:val="32"/>
          <w:szCs w:val="32"/>
          <w:lang w:eastAsia="zh-CN"/>
        </w:rPr>
        <w:t>（</w:t>
      </w:r>
      <w:r>
        <w:rPr>
          <w:rFonts w:hint="eastAsia" w:ascii="宋体" w:hAnsi="宋体"/>
          <w:color w:val="auto"/>
          <w:kern w:val="2"/>
          <w:sz w:val="32"/>
          <w:szCs w:val="32"/>
        </w:rPr>
        <w:t>农田建设资金+农田水利建设资金+农田水利重大项目建设资金</w:t>
      </w:r>
      <w:r>
        <w:rPr>
          <w:rFonts w:hint="eastAsia" w:ascii="宋体" w:hAnsi="宋体"/>
          <w:color w:val="auto"/>
          <w:kern w:val="2"/>
          <w:sz w:val="32"/>
          <w:szCs w:val="32"/>
          <w:lang w:eastAsia="zh-CN"/>
        </w:rPr>
        <w:t>）</w:t>
      </w:r>
    </w:p>
    <w:p>
      <w:pPr>
        <w:keepNext w:val="0"/>
        <w:keepLines w:val="0"/>
        <w:pageBreakBefore w:val="0"/>
        <w:kinsoku/>
        <w:wordWrap/>
        <w:overflowPunct/>
        <w:topLinePunct w:val="0"/>
        <w:bidi w:val="0"/>
        <w:adjustRightInd w:val="0"/>
        <w:snapToGrid w:val="0"/>
        <w:spacing w:line="560" w:lineRule="exact"/>
        <w:ind w:firstLine="720"/>
        <w:textAlignment w:val="auto"/>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keepNext w:val="0"/>
        <w:keepLines w:val="0"/>
        <w:pageBreakBefore w:val="0"/>
        <w:kinsoku/>
        <w:wordWrap/>
        <w:overflowPunct/>
        <w:topLinePunct w:val="0"/>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（一）项目基本情况。</w:t>
      </w:r>
    </w:p>
    <w:p>
      <w:pPr>
        <w:keepNext w:val="0"/>
        <w:keepLines w:val="0"/>
        <w:pageBreakBefore w:val="0"/>
        <w:kinsoku/>
        <w:wordWrap/>
        <w:overflowPunct/>
        <w:topLinePunct w:val="0"/>
        <w:bidi w:val="0"/>
        <w:adjustRightInd w:val="0"/>
        <w:snapToGrid w:val="0"/>
        <w:spacing w:line="560" w:lineRule="exact"/>
        <w:ind w:firstLine="640" w:firstLineChars="200"/>
        <w:textAlignment w:val="auto"/>
        <w:rPr>
          <w:rFonts w:hint="eastAsia" w:ascii="仿宋_GB2312" w:hAnsi="宋体" w:cs="Times New Roman"/>
          <w:lang w:val="zh-CN" w:eastAsia="zh-CN"/>
        </w:rPr>
      </w:pPr>
      <w:r>
        <w:rPr>
          <w:rFonts w:hint="eastAsia" w:ascii="仿宋_GB2312" w:hAnsi="宋体" w:cs="Times New Roman"/>
          <w:lang w:val="en-US" w:eastAsia="zh-CN"/>
        </w:rPr>
        <w:t>1、县农业农村局作为项目业主，负责编制和优化项目实施方案、项目招投标、技术指导、质量监督、进度督查、工程验收、建后管护指导等。</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kern w:val="0"/>
          <w:sz w:val="32"/>
          <w:szCs w:val="32"/>
          <w:lang w:val="zh-CN"/>
        </w:rPr>
      </w:pPr>
      <w:r>
        <w:rPr>
          <w:rFonts w:hint="eastAsia" w:ascii="仿宋_GB2312" w:hAnsi="宋体" w:cs="Times New Roman"/>
          <w:lang w:val="en-US" w:eastAsia="zh-CN"/>
        </w:rPr>
        <w:t>2、项目实施方案经乐山市农业农村局关于</w:t>
      </w:r>
      <w:r>
        <w:rPr>
          <w:rFonts w:hint="eastAsia" w:ascii="仿宋_GB2312" w:hAnsi="宋体" w:cs="Times New Roman"/>
          <w:lang w:val="zh-CN" w:eastAsia="zh-CN"/>
        </w:rPr>
        <w:t>《四川省乐山市峨边彝族自治县</w:t>
      </w:r>
      <w:r>
        <w:rPr>
          <w:rFonts w:hint="eastAsia" w:ascii="仿宋_GB2312" w:hAnsi="宋体" w:cs="Times New Roman"/>
          <w:lang w:val="en-US" w:eastAsia="zh-CN"/>
        </w:rPr>
        <w:t>2022年</w:t>
      </w:r>
      <w:r>
        <w:rPr>
          <w:rFonts w:hint="eastAsia" w:ascii="仿宋_GB2312" w:hAnsi="宋体" w:cs="Times New Roman"/>
          <w:lang w:val="zh-CN" w:eastAsia="zh-CN"/>
        </w:rPr>
        <w:t>高标准农田建设项目</w:t>
      </w:r>
      <w:r>
        <w:rPr>
          <w:rFonts w:hint="eastAsia" w:ascii="仿宋_GB2312" w:hAnsi="宋体" w:cs="Times New Roman"/>
          <w:lang w:val="en-US" w:eastAsia="zh-CN"/>
        </w:rPr>
        <w:t>实施方案</w:t>
      </w:r>
      <w:r>
        <w:rPr>
          <w:rFonts w:hint="eastAsia" w:ascii="仿宋_GB2312" w:hAnsi="宋体" w:cs="Times New Roman"/>
          <w:lang w:val="zh-CN" w:eastAsia="zh-CN"/>
        </w:rPr>
        <w:t>》</w:t>
      </w:r>
      <w:r>
        <w:rPr>
          <w:rFonts w:hint="eastAsia" w:ascii="仿宋_GB2312" w:hAnsi="宋体" w:cs="Times New Roman"/>
          <w:lang w:val="en-US" w:eastAsia="zh-CN"/>
        </w:rPr>
        <w:t>的批复（乐农复〔2022〕17号）批准组织实施，</w:t>
      </w:r>
      <w:r>
        <w:rPr>
          <w:rFonts w:hint="eastAsia" w:ascii="仿宋_GB2312" w:hAnsi="仿宋_GB2312" w:eastAsia="仿宋_GB2312" w:cs="仿宋_GB2312"/>
          <w:sz w:val="32"/>
          <w:szCs w:val="32"/>
        </w:rPr>
        <w:t>项目总投资</w:t>
      </w:r>
      <w:r>
        <w:rPr>
          <w:rFonts w:hint="eastAsia" w:ascii="仿宋_GB2312" w:hAnsi="仿宋_GB2312" w:eastAsia="仿宋_GB2312" w:cs="仿宋_GB2312"/>
          <w:sz w:val="32"/>
          <w:szCs w:val="32"/>
          <w:lang w:val="en-US" w:eastAsia="zh-CN"/>
        </w:rPr>
        <w:t>900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其中：</w:t>
      </w:r>
      <w:r>
        <w:rPr>
          <w:rFonts w:hint="eastAsia" w:ascii="仿宋_GB2312" w:hAnsi="仿宋_GB2312" w:eastAsia="仿宋_GB2312" w:cs="仿宋_GB2312"/>
          <w:sz w:val="32"/>
          <w:szCs w:val="32"/>
        </w:rPr>
        <w:t>中央财政资金</w:t>
      </w:r>
      <w:r>
        <w:rPr>
          <w:rFonts w:hint="eastAsia" w:ascii="仿宋_GB2312" w:hAnsi="仿宋_GB2312" w:eastAsia="仿宋_GB2312" w:cs="仿宋_GB2312"/>
          <w:sz w:val="32"/>
          <w:szCs w:val="32"/>
          <w:lang w:val="en-US" w:eastAsia="zh-CN"/>
        </w:rPr>
        <w:t>150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省级财政资金292万元，县级配套涉农整合</w:t>
      </w:r>
      <w:r>
        <w:rPr>
          <w:rFonts w:hint="eastAsia" w:ascii="仿宋_GB2312" w:hAnsi="仿宋_GB2312" w:eastAsia="仿宋_GB2312" w:cs="仿宋_GB2312"/>
          <w:sz w:val="32"/>
          <w:szCs w:val="32"/>
        </w:rPr>
        <w:t>资金</w:t>
      </w:r>
      <w:r>
        <w:rPr>
          <w:rFonts w:hint="eastAsia" w:ascii="仿宋_GB2312" w:hAnsi="仿宋_GB2312" w:eastAsia="仿宋_GB2312" w:cs="仿宋_GB2312"/>
          <w:sz w:val="32"/>
          <w:szCs w:val="32"/>
          <w:lang w:val="en-US" w:eastAsia="zh-CN"/>
        </w:rPr>
        <w:t>458</w:t>
      </w:r>
      <w:r>
        <w:rPr>
          <w:rFonts w:hint="eastAsia" w:ascii="仿宋_GB2312" w:hAnsi="仿宋_GB2312" w:eastAsia="仿宋_GB2312" w:cs="仿宋_GB2312"/>
          <w:sz w:val="32"/>
          <w:szCs w:val="32"/>
        </w:rPr>
        <w:t>万元。</w:t>
      </w:r>
    </w:p>
    <w:p>
      <w:pPr>
        <w:keepNext w:val="0"/>
        <w:keepLines w:val="0"/>
        <w:pageBreakBefore w:val="0"/>
        <w:kinsoku/>
        <w:wordWrap/>
        <w:overflowPunct/>
        <w:topLinePunct w:val="0"/>
        <w:bidi w:val="0"/>
        <w:adjustRightInd w:val="0"/>
        <w:snapToGrid w:val="0"/>
        <w:spacing w:line="560" w:lineRule="exact"/>
        <w:ind w:firstLine="640" w:firstLineChars="200"/>
        <w:textAlignment w:val="auto"/>
        <w:rPr>
          <w:rFonts w:hint="default" w:ascii="仿宋_GB2312" w:hAnsi="宋体" w:cs="Times New Roman"/>
          <w:lang w:val="en-US" w:eastAsia="zh-CN"/>
        </w:rPr>
      </w:pPr>
      <w:r>
        <w:rPr>
          <w:rFonts w:hint="eastAsia" w:ascii="仿宋_GB2312" w:hAnsi="宋体" w:cs="Times New Roman"/>
          <w:lang w:val="zh-CN" w:eastAsia="zh-CN"/>
        </w:rPr>
        <w:t>3、</w:t>
      </w:r>
      <w:r>
        <w:rPr>
          <w:rFonts w:hint="eastAsia" w:ascii="仿宋_GB2312" w:hAnsi="宋体" w:cs="Times New Roman"/>
          <w:lang w:val="en-US" w:eastAsia="zh-CN"/>
        </w:rPr>
        <w:t>四川省财政厅会同四川省农业农村厅于2019年9月23制定了</w:t>
      </w:r>
      <w:r>
        <w:rPr>
          <w:rFonts w:hint="eastAsia" w:ascii="仿宋_GB2312" w:hAnsi="宋体" w:cs="Times New Roman"/>
          <w:lang w:val="zh-CN" w:eastAsia="zh-CN"/>
        </w:rPr>
        <w:t>《</w:t>
      </w:r>
      <w:r>
        <w:rPr>
          <w:rFonts w:hint="eastAsia" w:ascii="仿宋_GB2312" w:hAnsi="宋体" w:cs="Times New Roman"/>
          <w:lang w:val="en-US" w:eastAsia="zh-CN"/>
        </w:rPr>
        <w:t>四川省农田建设补助资金管理办法实施细则</w:t>
      </w:r>
      <w:r>
        <w:rPr>
          <w:rFonts w:hint="eastAsia" w:ascii="仿宋_GB2312" w:hAnsi="宋体" w:cs="Times New Roman"/>
          <w:lang w:val="zh-CN" w:eastAsia="zh-CN"/>
        </w:rPr>
        <w:t>》，</w:t>
      </w:r>
      <w:r>
        <w:rPr>
          <w:rFonts w:hint="eastAsia" w:ascii="仿宋_GB2312" w:hAnsi="宋体" w:cs="Times New Roman"/>
          <w:lang w:val="en-US" w:eastAsia="zh-CN"/>
        </w:rPr>
        <w:t>明确农田建设补助资金优先扶持粮食生产功能区和重要农产品生产保护区。农田建设以农民为收益主体，扶持对象包括小农户、农村集体经济组织、新型农业经营主体、涉农企业与单位等。农田建设补助资金支持用于高标准农田建设及农田水利建设，具体用于以下建设内容：（1）土地平整；（2）土壤改良；（3）灌溉排水与节水设施；（4）田间机耕道；（5）农田防护与生态环境保持；（6）农田输配电；（7）损毁工程修复和农田建设相关的其他工程内容。农田建设补助资金的支出范围包括：项目所需材料费、设备购置费及施工支出，项目建设的前期工作费、工程招标费、工程监理费以及必要的项目管理费等。</w:t>
      </w:r>
    </w:p>
    <w:p>
      <w:pPr>
        <w:keepNext w:val="0"/>
        <w:keepLines w:val="0"/>
        <w:pageBreakBefore w:val="0"/>
        <w:kinsoku/>
        <w:wordWrap/>
        <w:overflowPunct/>
        <w:topLinePunct w:val="0"/>
        <w:bidi w:val="0"/>
        <w:adjustRightInd w:val="0"/>
        <w:snapToGrid w:val="0"/>
        <w:spacing w:line="560" w:lineRule="exact"/>
        <w:ind w:firstLine="640" w:firstLineChars="200"/>
        <w:textAlignment w:val="auto"/>
        <w:rPr>
          <w:rFonts w:hint="default" w:ascii="仿宋_GB2312" w:hAnsi="宋体" w:cs="Times New Roman"/>
          <w:lang w:val="en-US" w:eastAsia="zh-CN"/>
        </w:rPr>
      </w:pPr>
      <w:r>
        <w:rPr>
          <w:rFonts w:hint="eastAsia" w:ascii="仿宋_GB2312" w:hAnsi="宋体" w:cs="Times New Roman"/>
          <w:lang w:val="en-US" w:eastAsia="zh-CN"/>
        </w:rPr>
        <w:t>4、农田建设补助资金按照因素法进行分配。资金分配的因素主要包括基础资源因素、工作成效因素和其他因素。其中基础资源因素权重占70%、工作成效权重占20%、其他因素权重占10%基础资源因素包括农田建设任务因素，权重占45%；耕地面积因素，权重占10%；粮食产量因素，权重占10%；水资源节约因素，权重占5%。</w:t>
      </w:r>
    </w:p>
    <w:p>
      <w:pPr>
        <w:keepNext w:val="0"/>
        <w:keepLines w:val="0"/>
        <w:pageBreakBefore w:val="0"/>
        <w:kinsoku/>
        <w:wordWrap/>
        <w:overflowPunct/>
        <w:topLinePunct w:val="0"/>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（二）项目绩效目标。</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textAlignment w:val="auto"/>
        <w:rPr>
          <w:rFonts w:hint="eastAsia" w:ascii="仿宋_GB2312" w:hAnsi="宋体" w:cs="Times New Roman"/>
          <w:lang w:val="zh-CN" w:eastAsia="zh-CN"/>
        </w:rPr>
      </w:pPr>
      <w:r>
        <w:rPr>
          <w:rFonts w:hint="eastAsia" w:ascii="楷体_GB2312" w:hAnsi="宋体" w:eastAsia="楷体_GB2312" w:cs="Times New Roman"/>
          <w:color w:val="auto"/>
          <w:kern w:val="2"/>
          <w:sz w:val="32"/>
          <w:szCs w:val="32"/>
          <w:lang w:val="en-US" w:eastAsia="zh-CN" w:bidi="ar-SA"/>
        </w:rPr>
        <w:t>1、</w:t>
      </w:r>
      <w:r>
        <w:rPr>
          <w:rFonts w:hint="eastAsia" w:ascii="楷体_GB2312" w:hAnsi="宋体" w:eastAsia="楷体_GB2312" w:cs="Times New Roman"/>
          <w:color w:val="auto"/>
          <w:kern w:val="2"/>
          <w:sz w:val="32"/>
          <w:szCs w:val="32"/>
          <w:lang w:val="zh-CN" w:eastAsia="zh-CN" w:bidi="ar-SA"/>
        </w:rPr>
        <w:t>项目主要内容：</w:t>
      </w:r>
      <w:r>
        <w:rPr>
          <w:rFonts w:hint="eastAsia" w:ascii="仿宋_GB2312" w:hAnsi="仿宋_GB2312" w:eastAsia="仿宋_GB2312" w:cs="仿宋_GB2312"/>
          <w:kern w:val="0"/>
          <w:sz w:val="32"/>
          <w:szCs w:val="32"/>
          <w:lang w:val="en-US" w:eastAsia="zh-CN"/>
        </w:rPr>
        <w:t>新建</w:t>
      </w:r>
      <w:r>
        <w:rPr>
          <w:rFonts w:hint="eastAsia" w:ascii="仿宋_GB2312" w:hAnsi="仿宋_GB2312" w:eastAsia="仿宋_GB2312" w:cs="仿宋_GB2312"/>
          <w:kern w:val="0"/>
          <w:sz w:val="32"/>
          <w:szCs w:val="32"/>
          <w:lang w:val="zh-CN" w:eastAsia="zh-CN"/>
        </w:rPr>
        <w:t>高标准农田</w:t>
      </w:r>
      <w:r>
        <w:rPr>
          <w:rFonts w:hint="eastAsia" w:ascii="仿宋_GB2312" w:hAnsi="仿宋_GB2312" w:eastAsia="仿宋_GB2312" w:cs="仿宋_GB2312"/>
          <w:kern w:val="0"/>
          <w:sz w:val="32"/>
          <w:szCs w:val="32"/>
          <w:lang w:val="en-US" w:eastAsia="zh-CN"/>
        </w:rPr>
        <w:t>3000亩。主要建设内容：1.</w:t>
      </w:r>
      <w:r>
        <w:rPr>
          <w:rFonts w:hint="eastAsia" w:ascii="仿宋_GB2312" w:hAnsi="仿宋_GB2312" w:eastAsia="仿宋_GB2312" w:cs="仿宋_GB2312"/>
          <w:kern w:val="0"/>
          <w:sz w:val="32"/>
          <w:szCs w:val="32"/>
          <w:lang w:val="zh-CN" w:eastAsia="zh-CN"/>
        </w:rPr>
        <w:t>土地平整：坡改梯</w:t>
      </w:r>
      <w:r>
        <w:rPr>
          <w:rFonts w:hint="eastAsia" w:ascii="仿宋_GB2312" w:hAnsi="仿宋_GB2312" w:eastAsia="仿宋_GB2312" w:cs="仿宋_GB2312"/>
          <w:kern w:val="0"/>
          <w:sz w:val="32"/>
          <w:szCs w:val="32"/>
          <w:lang w:val="en-US" w:eastAsia="zh-CN"/>
        </w:rPr>
        <w:t>196</w:t>
      </w:r>
      <w:r>
        <w:rPr>
          <w:rFonts w:hint="eastAsia" w:ascii="仿宋_GB2312" w:hAnsi="仿宋_GB2312" w:eastAsia="仿宋_GB2312" w:cs="仿宋_GB2312"/>
          <w:kern w:val="0"/>
          <w:sz w:val="32"/>
          <w:szCs w:val="32"/>
          <w:lang w:val="zh-CN" w:eastAsia="zh-CN"/>
        </w:rPr>
        <w:t>亩，</w:t>
      </w:r>
      <w:r>
        <w:rPr>
          <w:rFonts w:hint="eastAsia" w:ascii="仿宋_GB2312" w:hAnsi="仿宋_GB2312" w:eastAsia="仿宋_GB2312" w:cs="仿宋_GB2312"/>
          <w:kern w:val="0"/>
          <w:sz w:val="32"/>
          <w:szCs w:val="32"/>
          <w:lang w:val="en-US" w:eastAsia="zh-CN"/>
        </w:rPr>
        <w:t>修建混凝土及浆砌石田埂8749米</w:t>
      </w:r>
      <w:r>
        <w:rPr>
          <w:rFonts w:hint="eastAsia" w:ascii="仿宋_GB2312" w:hAnsi="仿宋_GB2312" w:eastAsia="仿宋_GB2312" w:cs="仿宋_GB2312"/>
          <w:kern w:val="0"/>
          <w:sz w:val="32"/>
          <w:szCs w:val="32"/>
          <w:lang w:val="zh-CN" w:eastAsia="zh-CN"/>
        </w:rPr>
        <w:t>。</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lang w:val="zh-CN" w:eastAsia="zh-CN"/>
        </w:rPr>
        <w:t>土壤改良：项目区</w:t>
      </w:r>
      <w:r>
        <w:rPr>
          <w:rFonts w:hint="eastAsia" w:ascii="仿宋_GB2312" w:hAnsi="仿宋_GB2312" w:eastAsia="仿宋_GB2312" w:cs="仿宋_GB2312"/>
          <w:kern w:val="0"/>
          <w:sz w:val="32"/>
          <w:szCs w:val="32"/>
          <w:lang w:val="en-US" w:eastAsia="zh-CN"/>
        </w:rPr>
        <w:t>土壤</w:t>
      </w:r>
      <w:r>
        <w:rPr>
          <w:rFonts w:hint="eastAsia" w:ascii="仿宋_GB2312" w:hAnsi="仿宋_GB2312" w:eastAsia="仿宋_GB2312" w:cs="仿宋_GB2312"/>
          <w:kern w:val="0"/>
          <w:sz w:val="32"/>
          <w:szCs w:val="32"/>
          <w:lang w:val="zh-CN" w:eastAsia="zh-CN"/>
        </w:rPr>
        <w:t>改良</w:t>
      </w:r>
      <w:r>
        <w:rPr>
          <w:rFonts w:hint="eastAsia" w:ascii="仿宋_GB2312" w:hAnsi="仿宋_GB2312" w:eastAsia="仿宋_GB2312" w:cs="仿宋_GB2312"/>
          <w:kern w:val="0"/>
          <w:sz w:val="32"/>
          <w:szCs w:val="32"/>
          <w:lang w:val="en-US" w:eastAsia="zh-CN"/>
        </w:rPr>
        <w:t>1300</w:t>
      </w:r>
      <w:r>
        <w:rPr>
          <w:rFonts w:hint="eastAsia" w:ascii="仿宋_GB2312" w:hAnsi="仿宋_GB2312" w:eastAsia="仿宋_GB2312" w:cs="仿宋_GB2312"/>
          <w:kern w:val="0"/>
          <w:sz w:val="32"/>
          <w:szCs w:val="32"/>
          <w:lang w:val="zh-CN" w:eastAsia="zh-CN"/>
        </w:rPr>
        <w:t>亩。</w:t>
      </w:r>
      <w:r>
        <w:rPr>
          <w:rFonts w:hint="eastAsia" w:ascii="仿宋_GB2312" w:hAnsi="仿宋_GB2312" w:eastAsia="仿宋_GB2312" w:cs="仿宋_GB2312"/>
          <w:kern w:val="0"/>
          <w:sz w:val="32"/>
          <w:szCs w:val="32"/>
          <w:lang w:val="en-US" w:eastAsia="zh-CN"/>
        </w:rPr>
        <w:t>3.灌溉与排水</w:t>
      </w:r>
      <w:r>
        <w:rPr>
          <w:rFonts w:hint="eastAsia" w:ascii="仿宋_GB2312" w:hAnsi="仿宋_GB2312" w:eastAsia="仿宋_GB2312" w:cs="仿宋_GB2312"/>
          <w:kern w:val="0"/>
          <w:sz w:val="32"/>
          <w:szCs w:val="32"/>
          <w:lang w:val="zh-CN" w:eastAsia="zh-CN"/>
        </w:rPr>
        <w:t>：</w:t>
      </w:r>
      <w:r>
        <w:rPr>
          <w:rFonts w:hint="eastAsia" w:ascii="仿宋_GB2312" w:hAnsi="仿宋_GB2312" w:eastAsia="仿宋_GB2312" w:cs="仿宋_GB2312"/>
          <w:kern w:val="0"/>
          <w:sz w:val="32"/>
          <w:szCs w:val="32"/>
          <w:lang w:val="en-US" w:eastAsia="zh-CN"/>
        </w:rPr>
        <w:t>新建及整治排灌渠7条（其中：新建1条、整治6条），总长1207米。4.</w:t>
      </w:r>
      <w:r>
        <w:rPr>
          <w:rFonts w:hint="eastAsia" w:ascii="仿宋_GB2312" w:hAnsi="仿宋_GB2312" w:eastAsia="仿宋_GB2312" w:cs="仿宋_GB2312"/>
          <w:kern w:val="0"/>
          <w:sz w:val="32"/>
          <w:szCs w:val="32"/>
          <w:lang w:val="zh-CN" w:eastAsia="zh-CN"/>
        </w:rPr>
        <w:t>田间道路：</w:t>
      </w:r>
      <w:r>
        <w:rPr>
          <w:rFonts w:hint="eastAsia" w:ascii="仿宋_GB2312" w:hAnsi="仿宋_GB2312" w:eastAsia="仿宋_GB2312" w:cs="仿宋_GB2312"/>
          <w:kern w:val="0"/>
          <w:sz w:val="32"/>
          <w:szCs w:val="32"/>
          <w:lang w:val="en-US" w:eastAsia="zh-CN"/>
        </w:rPr>
        <w:t>新建及整治生产路5035米</w:t>
      </w:r>
      <w:r>
        <w:rPr>
          <w:rFonts w:hint="eastAsia" w:ascii="仿宋_GB2312" w:hAnsi="仿宋_GB2312" w:eastAsia="仿宋_GB2312" w:cs="仿宋_GB2312"/>
          <w:kern w:val="0"/>
          <w:sz w:val="32"/>
          <w:szCs w:val="32"/>
          <w:lang w:val="zh-CN" w:eastAsia="zh-CN"/>
        </w:rPr>
        <w:t>。</w:t>
      </w:r>
    </w:p>
    <w:p>
      <w:pPr>
        <w:pStyle w:val="9"/>
        <w:keepNext w:val="0"/>
        <w:keepLines w:val="0"/>
        <w:pageBreakBefore w:val="0"/>
        <w:kinsoku/>
        <w:wordWrap/>
        <w:overflowPunct/>
        <w:topLinePunct w:val="0"/>
        <w:bidi w:val="0"/>
        <w:spacing w:line="560" w:lineRule="exact"/>
        <w:ind w:firstLine="640" w:firstLineChars="200"/>
        <w:textAlignment w:val="auto"/>
        <w:rPr>
          <w:rFonts w:hint="default" w:ascii="仿宋_GB2312" w:hAnsi="宋体" w:eastAsia="仿宋_GB2312" w:cs="Times New Roman"/>
          <w:color w:val="auto"/>
          <w:kern w:val="2"/>
          <w:sz w:val="32"/>
          <w:szCs w:val="32"/>
          <w:lang w:val="en-US" w:eastAsia="zh-CN" w:bidi="ar-SA"/>
        </w:rPr>
      </w:pPr>
      <w:r>
        <w:rPr>
          <w:rFonts w:hint="eastAsia" w:ascii="楷体_GB2312" w:hAnsi="宋体" w:eastAsia="楷体_GB2312" w:cs="Times New Roman"/>
          <w:color w:val="auto"/>
          <w:kern w:val="2"/>
          <w:sz w:val="32"/>
          <w:szCs w:val="32"/>
          <w:lang w:val="en-US" w:eastAsia="zh-CN" w:bidi="ar-SA"/>
        </w:rPr>
        <w:t>2、绩效目标：</w:t>
      </w:r>
      <w:r>
        <w:rPr>
          <w:rFonts w:hint="eastAsia" w:ascii="仿宋_GB2312" w:hAnsi="宋体" w:eastAsia="仿宋_GB2312" w:cs="Times New Roman"/>
          <w:color w:val="auto"/>
          <w:kern w:val="2"/>
          <w:sz w:val="32"/>
          <w:szCs w:val="32"/>
          <w:lang w:val="en-US" w:eastAsia="zh-CN" w:bidi="ar-SA"/>
        </w:rPr>
        <w:t>新建高标准农田</w:t>
      </w:r>
      <w:r>
        <w:rPr>
          <w:rFonts w:hint="eastAsia" w:ascii="仿宋_GB2312" w:eastAsia="仿宋_GB2312" w:cs="Times New Roman"/>
          <w:color w:val="auto"/>
          <w:kern w:val="2"/>
          <w:sz w:val="32"/>
          <w:szCs w:val="32"/>
          <w:lang w:val="en-US" w:eastAsia="zh-CN" w:bidi="ar-SA"/>
        </w:rPr>
        <w:t>3000</w:t>
      </w:r>
      <w:r>
        <w:rPr>
          <w:rFonts w:hint="eastAsia" w:ascii="仿宋_GB2312" w:hAnsi="宋体" w:eastAsia="仿宋_GB2312" w:cs="Times New Roman"/>
          <w:color w:val="auto"/>
          <w:kern w:val="2"/>
          <w:sz w:val="32"/>
          <w:szCs w:val="32"/>
          <w:lang w:val="en-US" w:eastAsia="zh-CN" w:bidi="ar-SA"/>
        </w:rPr>
        <w:t>亩，项目验收合格率100%。粮食综合生产能力明显提升，田间道路通达度≥90%；耕地质量和水资源利用率逐步提升；农业种植结构进一步优化；受益群众满意度≥90%，任务完成时限：1-2年。</w:t>
      </w:r>
    </w:p>
    <w:p>
      <w:pPr>
        <w:keepNext w:val="0"/>
        <w:keepLines w:val="0"/>
        <w:pageBreakBefore w:val="0"/>
        <w:kinsoku/>
        <w:wordWrap/>
        <w:overflowPunct/>
        <w:topLinePunct w:val="0"/>
        <w:bidi w:val="0"/>
        <w:adjustRightInd w:val="0"/>
        <w:snapToGrid w:val="0"/>
        <w:spacing w:line="560" w:lineRule="exact"/>
        <w:ind w:firstLine="720"/>
        <w:textAlignment w:val="auto"/>
        <w:rPr>
          <w:rFonts w:hint="eastAsia" w:ascii="仿宋_GB2312" w:hAnsi="宋体" w:eastAsia="仿宋_GB2312" w:cs="Times New Roman"/>
          <w:color w:val="auto"/>
          <w:kern w:val="2"/>
          <w:sz w:val="32"/>
          <w:szCs w:val="32"/>
          <w:lang w:val="zh-CN" w:eastAsia="zh-CN" w:bidi="ar-SA"/>
        </w:rPr>
      </w:pPr>
      <w:r>
        <w:rPr>
          <w:rFonts w:hint="eastAsia" w:ascii="仿宋_GB2312" w:hAnsi="宋体" w:eastAsia="仿宋_GB2312" w:cs="Times New Roman"/>
          <w:color w:val="auto"/>
          <w:kern w:val="2"/>
          <w:sz w:val="32"/>
          <w:szCs w:val="32"/>
          <w:lang w:val="zh-CN" w:eastAsia="zh-CN" w:bidi="ar-SA"/>
        </w:rPr>
        <w:t>3．分析评价申报内容与实际相符，申报目标合理可行。</w:t>
      </w:r>
    </w:p>
    <w:p>
      <w:pPr>
        <w:keepNext w:val="0"/>
        <w:keepLines w:val="0"/>
        <w:pageBreakBefore w:val="0"/>
        <w:kinsoku/>
        <w:wordWrap/>
        <w:overflowPunct/>
        <w:topLinePunct w:val="0"/>
        <w:bidi w:val="0"/>
        <w:adjustRightInd w:val="0"/>
        <w:snapToGrid w:val="0"/>
        <w:spacing w:line="560" w:lineRule="exact"/>
        <w:ind w:firstLine="720"/>
        <w:textAlignment w:val="auto"/>
        <w:rPr>
          <w:rFonts w:ascii="黑体" w:hAnsi="宋体" w:eastAsia="黑体"/>
        </w:rPr>
      </w:pPr>
      <w:r>
        <w:rPr>
          <w:rFonts w:hint="eastAsia" w:ascii="黑体" w:hAnsi="宋体" w:eastAsia="黑体"/>
        </w:rPr>
        <w:t>二、项目资金申报及使用情况</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kern w:val="0"/>
          <w:sz w:val="32"/>
          <w:szCs w:val="32"/>
          <w:lang w:val="zh-CN" w:eastAsia="zh-CN"/>
        </w:rPr>
      </w:pPr>
      <w:r>
        <w:rPr>
          <w:rFonts w:hint="eastAsia" w:ascii="仿宋_GB2312" w:hAnsi="仿宋_GB2312" w:eastAsia="仿宋_GB2312" w:cs="仿宋_GB2312"/>
          <w:kern w:val="0"/>
          <w:sz w:val="32"/>
          <w:szCs w:val="32"/>
          <w:lang w:val="zh-CN" w:eastAsia="zh-CN"/>
        </w:rPr>
        <w:t>（一）项目资金申报及批复情况。</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default" w:eastAsia="仿宋_GB2312"/>
          <w:lang w:val="en-US" w:eastAsia="zh-CN"/>
        </w:rPr>
      </w:pPr>
      <w:r>
        <w:rPr>
          <w:rFonts w:hint="eastAsia" w:ascii="仿宋_GB2312" w:hAnsi="仿宋_GB2312" w:eastAsia="仿宋_GB2312" w:cs="仿宋_GB2312"/>
          <w:kern w:val="0"/>
          <w:sz w:val="32"/>
          <w:szCs w:val="32"/>
          <w:lang w:val="zh-CN"/>
        </w:rPr>
        <w:t>根据省农业农村厅《关于做好202</w:t>
      </w:r>
      <w:r>
        <w:rPr>
          <w:rFonts w:hint="eastAsia" w:ascii="仿宋_GB2312" w:hAnsi="仿宋_GB2312" w:cs="仿宋_GB2312"/>
          <w:kern w:val="0"/>
          <w:sz w:val="32"/>
          <w:szCs w:val="32"/>
          <w:lang w:val="en-US" w:eastAsia="zh-CN"/>
        </w:rPr>
        <w:t>2</w:t>
      </w:r>
      <w:r>
        <w:rPr>
          <w:rFonts w:hint="eastAsia" w:ascii="仿宋_GB2312" w:hAnsi="仿宋_GB2312" w:eastAsia="仿宋_GB2312" w:cs="仿宋_GB2312"/>
          <w:kern w:val="0"/>
          <w:sz w:val="32"/>
          <w:szCs w:val="32"/>
          <w:lang w:val="zh-CN"/>
        </w:rPr>
        <w:t>年</w:t>
      </w:r>
      <w:r>
        <w:rPr>
          <w:rFonts w:hint="eastAsia" w:ascii="仿宋_GB2312" w:hAnsi="仿宋_GB2312" w:cs="仿宋_GB2312"/>
          <w:kern w:val="0"/>
          <w:sz w:val="32"/>
          <w:szCs w:val="32"/>
          <w:lang w:val="en-US" w:eastAsia="zh-CN"/>
        </w:rPr>
        <w:t>高标准</w:t>
      </w:r>
      <w:r>
        <w:rPr>
          <w:rFonts w:hint="eastAsia" w:ascii="仿宋_GB2312" w:hAnsi="仿宋_GB2312" w:eastAsia="仿宋_GB2312" w:cs="仿宋_GB2312"/>
          <w:kern w:val="0"/>
          <w:sz w:val="32"/>
          <w:szCs w:val="32"/>
          <w:lang w:val="zh-CN"/>
        </w:rPr>
        <w:t>农田建设工作的通知》（川农</w:t>
      </w:r>
      <w:r>
        <w:rPr>
          <w:rFonts w:hint="eastAsia" w:ascii="仿宋_GB2312" w:hAnsi="仿宋_GB2312" w:cs="仿宋_GB2312"/>
          <w:kern w:val="0"/>
          <w:sz w:val="32"/>
          <w:szCs w:val="32"/>
          <w:lang w:val="en-US" w:eastAsia="zh-CN"/>
        </w:rPr>
        <w:t>函</w:t>
      </w:r>
      <w:r>
        <w:rPr>
          <w:rFonts w:hint="eastAsia" w:ascii="仿宋_GB2312" w:hAnsi="仿宋_GB2312" w:eastAsia="仿宋_GB2312" w:cs="仿宋_GB2312"/>
          <w:kern w:val="0"/>
          <w:sz w:val="32"/>
          <w:szCs w:val="32"/>
          <w:lang w:val="zh-CN"/>
        </w:rPr>
        <w:t>〔202</w:t>
      </w:r>
      <w:r>
        <w:rPr>
          <w:rFonts w:hint="eastAsia" w:ascii="仿宋_GB2312" w:hAnsi="仿宋_GB2312" w:cs="仿宋_GB2312"/>
          <w:kern w:val="0"/>
          <w:sz w:val="32"/>
          <w:szCs w:val="32"/>
          <w:lang w:val="en-US" w:eastAsia="zh-CN"/>
        </w:rPr>
        <w:t>2</w:t>
      </w:r>
      <w:r>
        <w:rPr>
          <w:rFonts w:hint="eastAsia" w:ascii="仿宋_GB2312" w:hAnsi="仿宋_GB2312" w:eastAsia="仿宋_GB2312" w:cs="仿宋_GB2312"/>
          <w:kern w:val="0"/>
          <w:sz w:val="32"/>
          <w:szCs w:val="32"/>
          <w:lang w:val="zh-CN"/>
        </w:rPr>
        <w:t>〕</w:t>
      </w:r>
      <w:r>
        <w:rPr>
          <w:rFonts w:hint="eastAsia" w:ascii="仿宋_GB2312" w:hAnsi="仿宋_GB2312" w:cs="仿宋_GB2312"/>
          <w:kern w:val="0"/>
          <w:sz w:val="32"/>
          <w:szCs w:val="32"/>
          <w:lang w:val="en-US" w:eastAsia="zh-CN"/>
        </w:rPr>
        <w:t>15</w:t>
      </w:r>
      <w:r>
        <w:rPr>
          <w:rFonts w:hint="eastAsia" w:ascii="仿宋_GB2312" w:hAnsi="仿宋_GB2312" w:eastAsia="仿宋_GB2312" w:cs="仿宋_GB2312"/>
          <w:kern w:val="0"/>
          <w:sz w:val="32"/>
          <w:szCs w:val="32"/>
          <w:lang w:val="zh-CN"/>
        </w:rPr>
        <w:t>号）</w:t>
      </w:r>
      <w:r>
        <w:rPr>
          <w:rFonts w:hint="eastAsia" w:ascii="仿宋_GB2312" w:hAnsi="仿宋_GB2312" w:eastAsia="仿宋_GB2312" w:cs="仿宋_GB2312"/>
          <w:kern w:val="0"/>
          <w:sz w:val="32"/>
          <w:szCs w:val="32"/>
          <w:lang w:val="en-US" w:eastAsia="zh-CN"/>
        </w:rPr>
        <w:t>下达</w:t>
      </w:r>
      <w:r>
        <w:rPr>
          <w:rFonts w:hint="eastAsia" w:ascii="仿宋_GB2312" w:hAnsi="仿宋_GB2312" w:cs="仿宋_GB2312"/>
          <w:kern w:val="0"/>
          <w:sz w:val="32"/>
          <w:szCs w:val="32"/>
          <w:lang w:val="en-US" w:eastAsia="zh-CN"/>
        </w:rPr>
        <w:t>我</w:t>
      </w:r>
      <w:r>
        <w:rPr>
          <w:rFonts w:hint="eastAsia" w:ascii="仿宋_GB2312" w:hAnsi="仿宋_GB2312" w:eastAsia="仿宋_GB2312" w:cs="仿宋_GB2312"/>
          <w:kern w:val="0"/>
          <w:sz w:val="32"/>
          <w:szCs w:val="32"/>
          <w:lang w:val="en-US" w:eastAsia="zh-CN"/>
        </w:rPr>
        <w:t>县202</w:t>
      </w:r>
      <w:r>
        <w:rPr>
          <w:rFonts w:hint="eastAsia" w:ascii="仿宋_GB2312" w:hAnsi="仿宋_GB2312" w:cs="仿宋_GB2312"/>
          <w:kern w:val="0"/>
          <w:sz w:val="32"/>
          <w:szCs w:val="32"/>
          <w:lang w:val="en-US" w:eastAsia="zh-CN"/>
        </w:rPr>
        <w:t>2</w:t>
      </w:r>
      <w:r>
        <w:rPr>
          <w:rFonts w:hint="eastAsia" w:ascii="仿宋_GB2312" w:hAnsi="仿宋_GB2312" w:eastAsia="仿宋_GB2312" w:cs="仿宋_GB2312"/>
          <w:kern w:val="0"/>
          <w:sz w:val="32"/>
          <w:szCs w:val="32"/>
          <w:lang w:val="en-US" w:eastAsia="zh-CN"/>
        </w:rPr>
        <w:t>年新建高标准农田建设任务</w:t>
      </w:r>
      <w:r>
        <w:rPr>
          <w:rFonts w:hint="eastAsia" w:ascii="仿宋_GB2312" w:hAnsi="仿宋_GB2312" w:cs="仿宋_GB2312"/>
          <w:kern w:val="0"/>
          <w:sz w:val="32"/>
          <w:szCs w:val="32"/>
          <w:lang w:val="en-US" w:eastAsia="zh-CN"/>
        </w:rPr>
        <w:t>0.3</w:t>
      </w:r>
      <w:r>
        <w:rPr>
          <w:rFonts w:hint="eastAsia" w:ascii="仿宋_GB2312" w:hAnsi="仿宋_GB2312" w:eastAsia="仿宋_GB2312" w:cs="仿宋_GB2312"/>
          <w:kern w:val="0"/>
          <w:sz w:val="32"/>
          <w:szCs w:val="32"/>
          <w:lang w:val="en-US" w:eastAsia="zh-CN"/>
        </w:rPr>
        <w:t>万亩。</w:t>
      </w:r>
      <w:r>
        <w:rPr>
          <w:rFonts w:hint="eastAsia" w:ascii="仿宋_GB2312" w:hAnsi="仿宋_GB2312" w:cs="仿宋_GB2312"/>
          <w:kern w:val="0"/>
          <w:sz w:val="32"/>
          <w:szCs w:val="32"/>
          <w:lang w:val="en-US" w:eastAsia="zh-CN"/>
        </w:rPr>
        <w:t>2022年5月19日，根据四川省财政厅 四川省农业农村厅</w:t>
      </w:r>
      <w:r>
        <w:rPr>
          <w:rFonts w:hint="eastAsia" w:ascii="仿宋_GB2312" w:hAnsi="仿宋_GB2312" w:eastAsia="仿宋_GB2312" w:cs="仿宋_GB2312"/>
          <w:kern w:val="0"/>
          <w:sz w:val="32"/>
          <w:szCs w:val="32"/>
          <w:lang w:val="zh-CN"/>
        </w:rPr>
        <w:t>《关于</w:t>
      </w:r>
      <w:r>
        <w:rPr>
          <w:rFonts w:hint="eastAsia" w:ascii="仿宋_GB2312" w:hAnsi="仿宋_GB2312" w:cs="仿宋_GB2312"/>
          <w:kern w:val="0"/>
          <w:sz w:val="32"/>
          <w:szCs w:val="32"/>
          <w:lang w:val="en-US" w:eastAsia="zh-CN"/>
        </w:rPr>
        <w:t>下达2022年中央财政农田建设补助资金</w:t>
      </w:r>
      <w:r>
        <w:rPr>
          <w:rFonts w:hint="eastAsia" w:ascii="仿宋_GB2312" w:hAnsi="仿宋_GB2312" w:eastAsia="仿宋_GB2312" w:cs="仿宋_GB2312"/>
          <w:kern w:val="0"/>
          <w:sz w:val="32"/>
          <w:szCs w:val="32"/>
          <w:lang w:val="zh-CN"/>
        </w:rPr>
        <w:t>的通知》（</w:t>
      </w:r>
      <w:r>
        <w:rPr>
          <w:rFonts w:hint="eastAsia" w:ascii="仿宋_GB2312" w:hAnsi="仿宋_GB2312" w:cs="仿宋_GB2312"/>
          <w:kern w:val="0"/>
          <w:sz w:val="32"/>
          <w:szCs w:val="32"/>
          <w:lang w:val="en-US" w:eastAsia="zh-CN"/>
        </w:rPr>
        <w:t>川财农</w:t>
      </w:r>
      <w:r>
        <w:rPr>
          <w:rFonts w:hint="eastAsia" w:ascii="仿宋_GB2312" w:hAnsi="仿宋_GB2312" w:eastAsia="仿宋_GB2312" w:cs="仿宋_GB2312"/>
          <w:kern w:val="0"/>
          <w:sz w:val="32"/>
          <w:szCs w:val="32"/>
          <w:lang w:val="zh-CN"/>
        </w:rPr>
        <w:t>〔202</w:t>
      </w:r>
      <w:r>
        <w:rPr>
          <w:rFonts w:hint="eastAsia" w:ascii="仿宋_GB2312" w:hAnsi="仿宋_GB2312" w:cs="仿宋_GB2312"/>
          <w:kern w:val="0"/>
          <w:sz w:val="32"/>
          <w:szCs w:val="32"/>
          <w:lang w:val="en-US" w:eastAsia="zh-CN"/>
        </w:rPr>
        <w:t>2</w:t>
      </w:r>
      <w:r>
        <w:rPr>
          <w:rFonts w:hint="eastAsia" w:ascii="仿宋_GB2312" w:hAnsi="仿宋_GB2312" w:eastAsia="仿宋_GB2312" w:cs="仿宋_GB2312"/>
          <w:kern w:val="0"/>
          <w:sz w:val="32"/>
          <w:szCs w:val="32"/>
          <w:lang w:val="zh-CN"/>
        </w:rPr>
        <w:t>〕</w:t>
      </w:r>
      <w:r>
        <w:rPr>
          <w:rFonts w:hint="eastAsia" w:ascii="仿宋_GB2312" w:hAnsi="仿宋_GB2312" w:cs="仿宋_GB2312"/>
          <w:kern w:val="0"/>
          <w:sz w:val="32"/>
          <w:szCs w:val="32"/>
          <w:lang w:val="en-US" w:eastAsia="zh-CN"/>
        </w:rPr>
        <w:t>49</w:t>
      </w:r>
      <w:r>
        <w:rPr>
          <w:rFonts w:hint="eastAsia" w:ascii="仿宋_GB2312" w:hAnsi="仿宋_GB2312" w:eastAsia="仿宋_GB2312" w:cs="仿宋_GB2312"/>
          <w:kern w:val="0"/>
          <w:sz w:val="32"/>
          <w:szCs w:val="32"/>
          <w:lang w:val="zh-CN"/>
        </w:rPr>
        <w:t>号）</w:t>
      </w:r>
      <w:r>
        <w:rPr>
          <w:rFonts w:hint="eastAsia" w:ascii="仿宋_GB2312" w:hAnsi="仿宋_GB2312" w:cs="仿宋_GB2312"/>
          <w:kern w:val="0"/>
          <w:sz w:val="32"/>
          <w:szCs w:val="32"/>
          <w:lang w:val="en-US" w:eastAsia="zh-CN"/>
        </w:rPr>
        <w:t>下达我县150万元中央财政农田补助资金，2022年6月24日，根据四川省财政厅 四川省农业农村厅</w:t>
      </w:r>
      <w:r>
        <w:rPr>
          <w:rFonts w:hint="eastAsia" w:ascii="仿宋_GB2312" w:hAnsi="仿宋_GB2312" w:eastAsia="仿宋_GB2312" w:cs="仿宋_GB2312"/>
          <w:kern w:val="0"/>
          <w:sz w:val="32"/>
          <w:szCs w:val="32"/>
          <w:lang w:val="zh-CN"/>
        </w:rPr>
        <w:t>《关于</w:t>
      </w:r>
      <w:r>
        <w:rPr>
          <w:rFonts w:hint="eastAsia" w:ascii="仿宋_GB2312" w:hAnsi="仿宋_GB2312" w:cs="仿宋_GB2312"/>
          <w:kern w:val="0"/>
          <w:sz w:val="32"/>
          <w:szCs w:val="32"/>
          <w:lang w:val="en-US" w:eastAsia="zh-CN"/>
        </w:rPr>
        <w:t>下达2022年省级财政农田建设共同财政事权转移支付资金</w:t>
      </w:r>
      <w:r>
        <w:rPr>
          <w:rFonts w:hint="eastAsia" w:ascii="仿宋_GB2312" w:hAnsi="仿宋_GB2312" w:eastAsia="仿宋_GB2312" w:cs="仿宋_GB2312"/>
          <w:kern w:val="0"/>
          <w:sz w:val="32"/>
          <w:szCs w:val="32"/>
          <w:lang w:val="zh-CN"/>
        </w:rPr>
        <w:t>的通知》（</w:t>
      </w:r>
      <w:r>
        <w:rPr>
          <w:rFonts w:hint="eastAsia" w:ascii="仿宋_GB2312" w:hAnsi="仿宋_GB2312" w:cs="仿宋_GB2312"/>
          <w:kern w:val="0"/>
          <w:sz w:val="32"/>
          <w:szCs w:val="32"/>
          <w:lang w:val="en-US" w:eastAsia="zh-CN"/>
        </w:rPr>
        <w:t>川财农</w:t>
      </w:r>
      <w:r>
        <w:rPr>
          <w:rFonts w:hint="eastAsia" w:ascii="仿宋_GB2312" w:hAnsi="仿宋_GB2312" w:eastAsia="仿宋_GB2312" w:cs="仿宋_GB2312"/>
          <w:kern w:val="0"/>
          <w:sz w:val="32"/>
          <w:szCs w:val="32"/>
          <w:lang w:val="zh-CN"/>
        </w:rPr>
        <w:t>〔202</w:t>
      </w:r>
      <w:r>
        <w:rPr>
          <w:rFonts w:hint="eastAsia" w:ascii="仿宋_GB2312" w:hAnsi="仿宋_GB2312" w:cs="仿宋_GB2312"/>
          <w:kern w:val="0"/>
          <w:sz w:val="32"/>
          <w:szCs w:val="32"/>
          <w:lang w:val="en-US" w:eastAsia="zh-CN"/>
        </w:rPr>
        <w:t>2</w:t>
      </w:r>
      <w:r>
        <w:rPr>
          <w:rFonts w:hint="eastAsia" w:ascii="仿宋_GB2312" w:hAnsi="仿宋_GB2312" w:eastAsia="仿宋_GB2312" w:cs="仿宋_GB2312"/>
          <w:kern w:val="0"/>
          <w:sz w:val="32"/>
          <w:szCs w:val="32"/>
          <w:lang w:val="zh-CN"/>
        </w:rPr>
        <w:t>〕</w:t>
      </w:r>
      <w:r>
        <w:rPr>
          <w:rFonts w:hint="eastAsia" w:ascii="仿宋_GB2312" w:hAnsi="仿宋_GB2312" w:cs="仿宋_GB2312"/>
          <w:kern w:val="0"/>
          <w:sz w:val="32"/>
          <w:szCs w:val="32"/>
          <w:lang w:val="en-US" w:eastAsia="zh-CN"/>
        </w:rPr>
        <w:t>71</w:t>
      </w:r>
      <w:r>
        <w:rPr>
          <w:rFonts w:hint="eastAsia" w:ascii="仿宋_GB2312" w:hAnsi="仿宋_GB2312" w:eastAsia="仿宋_GB2312" w:cs="仿宋_GB2312"/>
          <w:kern w:val="0"/>
          <w:sz w:val="32"/>
          <w:szCs w:val="32"/>
          <w:lang w:val="zh-CN"/>
        </w:rPr>
        <w:t>号）</w:t>
      </w:r>
      <w:r>
        <w:rPr>
          <w:rFonts w:hint="eastAsia" w:ascii="仿宋_GB2312" w:hAnsi="仿宋_GB2312" w:cs="仿宋_GB2312"/>
          <w:kern w:val="0"/>
          <w:sz w:val="32"/>
          <w:szCs w:val="32"/>
          <w:lang w:val="en-US" w:eastAsia="zh-CN"/>
        </w:rPr>
        <w:t>下达我县省级财政农田补助资金292万元。根据项目资金</w:t>
      </w:r>
      <w:r>
        <w:rPr>
          <w:rFonts w:hint="eastAsia" w:ascii="仿宋_GB2312" w:hAnsi="仿宋_GB2312" w:eastAsia="仿宋_GB2312" w:cs="仿宋_GB2312"/>
          <w:kern w:val="0"/>
          <w:sz w:val="32"/>
          <w:szCs w:val="32"/>
          <w:lang w:val="zh-CN"/>
        </w:rPr>
        <w:t>结合我县实际</w:t>
      </w:r>
      <w:r>
        <w:rPr>
          <w:rFonts w:hint="eastAsia" w:ascii="仿宋_GB2312" w:hAnsi="仿宋_GB2312" w:cs="仿宋_GB2312"/>
          <w:kern w:val="0"/>
          <w:sz w:val="32"/>
          <w:szCs w:val="32"/>
          <w:lang w:val="zh-CN"/>
        </w:rPr>
        <w:t>，</w:t>
      </w:r>
      <w:r>
        <w:rPr>
          <w:rFonts w:hint="eastAsia" w:ascii="仿宋_GB2312" w:hAnsi="仿宋_GB2312" w:eastAsia="仿宋_GB2312" w:cs="仿宋_GB2312"/>
          <w:kern w:val="0"/>
          <w:sz w:val="32"/>
          <w:szCs w:val="32"/>
          <w:lang w:val="en-US" w:eastAsia="zh-CN"/>
        </w:rPr>
        <w:t>于202</w:t>
      </w:r>
      <w:r>
        <w:rPr>
          <w:rFonts w:hint="eastAsia" w:ascii="仿宋_GB2312" w:hAnsi="仿宋_GB2312" w:cs="仿宋_GB2312"/>
          <w:kern w:val="0"/>
          <w:sz w:val="32"/>
          <w:szCs w:val="32"/>
          <w:lang w:val="en-US" w:eastAsia="zh-CN"/>
        </w:rPr>
        <w:t>2</w:t>
      </w:r>
      <w:r>
        <w:rPr>
          <w:rFonts w:hint="eastAsia" w:ascii="仿宋_GB2312" w:hAnsi="仿宋_GB2312" w:eastAsia="仿宋_GB2312" w:cs="仿宋_GB2312"/>
          <w:kern w:val="0"/>
          <w:sz w:val="32"/>
          <w:szCs w:val="32"/>
          <w:lang w:val="en-US" w:eastAsia="zh-CN"/>
        </w:rPr>
        <w:t>年7月26日</w:t>
      </w:r>
      <w:r>
        <w:rPr>
          <w:rFonts w:hint="eastAsia" w:ascii="仿宋_GB2312" w:hAnsi="仿宋_GB2312" w:eastAsia="仿宋_GB2312" w:cs="仿宋_GB2312"/>
          <w:kern w:val="0"/>
          <w:sz w:val="32"/>
          <w:szCs w:val="32"/>
          <w:lang w:val="zh-CN"/>
        </w:rPr>
        <w:t>编制完成了《四川省乐山市2021年峨边彝族自治县新场乡高标准农田建设项目实施方案》，</w:t>
      </w:r>
      <w:r>
        <w:rPr>
          <w:rFonts w:hint="eastAsia" w:ascii="仿宋_GB2312" w:hAnsi="仿宋_GB2312" w:eastAsia="仿宋_GB2312" w:cs="仿宋_GB2312"/>
          <w:kern w:val="0"/>
          <w:sz w:val="32"/>
          <w:szCs w:val="32"/>
          <w:lang w:val="en-US" w:eastAsia="zh-CN"/>
        </w:rPr>
        <w:t>乐山市农业农村局于202</w:t>
      </w:r>
      <w:r>
        <w:rPr>
          <w:rFonts w:hint="eastAsia" w:ascii="仿宋_GB2312" w:hAnsi="仿宋_GB2312" w:cs="仿宋_GB2312"/>
          <w:kern w:val="0"/>
          <w:sz w:val="32"/>
          <w:szCs w:val="32"/>
          <w:lang w:val="en-US" w:eastAsia="zh-CN"/>
        </w:rPr>
        <w:t>2</w:t>
      </w:r>
      <w:r>
        <w:rPr>
          <w:rFonts w:hint="eastAsia" w:ascii="仿宋_GB2312" w:hAnsi="仿宋_GB2312" w:eastAsia="仿宋_GB2312" w:cs="仿宋_GB2312"/>
          <w:kern w:val="0"/>
          <w:sz w:val="32"/>
          <w:szCs w:val="32"/>
          <w:lang w:val="en-US" w:eastAsia="zh-CN"/>
        </w:rPr>
        <w:t>年</w:t>
      </w:r>
      <w:r>
        <w:rPr>
          <w:rFonts w:hint="eastAsia" w:ascii="仿宋_GB2312" w:hAnsi="仿宋_GB2312" w:cs="仿宋_GB2312"/>
          <w:kern w:val="0"/>
          <w:sz w:val="32"/>
          <w:szCs w:val="32"/>
          <w:lang w:val="en-US" w:eastAsia="zh-CN"/>
        </w:rPr>
        <w:t>6</w:t>
      </w:r>
      <w:r>
        <w:rPr>
          <w:rFonts w:hint="eastAsia" w:ascii="仿宋_GB2312" w:hAnsi="仿宋_GB2312" w:eastAsia="仿宋_GB2312" w:cs="仿宋_GB2312"/>
          <w:kern w:val="0"/>
          <w:sz w:val="32"/>
          <w:szCs w:val="32"/>
          <w:lang w:val="en-US" w:eastAsia="zh-CN"/>
        </w:rPr>
        <w:t>月29日完成方案批复</w:t>
      </w:r>
      <w:r>
        <w:rPr>
          <w:rFonts w:hint="eastAsia" w:ascii="仿宋_GB2312" w:hAnsi="仿宋_GB2312" w:eastAsia="仿宋_GB2312" w:cs="仿宋_GB2312"/>
          <w:sz w:val="32"/>
          <w:szCs w:val="32"/>
          <w:lang w:eastAsia="zh-CN"/>
        </w:rPr>
        <w:t>。</w:t>
      </w:r>
      <w:r>
        <w:rPr>
          <w:rFonts w:hint="eastAsia" w:ascii="仿宋_GB2312" w:hAnsi="仿宋_GB2312" w:cs="仿宋_GB2312"/>
          <w:sz w:val="32"/>
          <w:szCs w:val="32"/>
          <w:lang w:val="en-US" w:eastAsia="zh-CN"/>
        </w:rPr>
        <w:t xml:space="preserve"> </w:t>
      </w:r>
    </w:p>
    <w:p>
      <w:pPr>
        <w:keepNext w:val="0"/>
        <w:keepLines w:val="0"/>
        <w:pageBreakBefore w:val="0"/>
        <w:kinsoku/>
        <w:wordWrap/>
        <w:overflowPunct/>
        <w:topLinePunct w:val="0"/>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b/>
          <w:lang w:val="zh-CN"/>
        </w:rPr>
        <w:t>（二）资金计划、到位及使用情况（可用表格形式反映）。</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default" w:ascii="仿宋_GB2312" w:hAnsi="宋体" w:eastAsia="仿宋_GB2312" w:cs="Times New Roman"/>
          <w:color w:val="auto"/>
          <w:kern w:val="2"/>
          <w:sz w:val="32"/>
          <w:szCs w:val="32"/>
          <w:lang w:val="en-US" w:eastAsia="zh-CN" w:bidi="ar-SA"/>
        </w:rPr>
      </w:pPr>
      <w:r>
        <w:rPr>
          <w:rFonts w:hint="eastAsia" w:ascii="楷体_GB2312" w:hAnsi="宋体" w:eastAsia="楷体_GB2312"/>
          <w:lang w:val="zh-CN"/>
        </w:rPr>
        <w:t>1．资金计划。</w:t>
      </w:r>
      <w:r>
        <w:rPr>
          <w:rFonts w:hint="eastAsia" w:ascii="仿宋_GB2312" w:hAnsi="仿宋_GB2312" w:eastAsia="仿宋_GB2312" w:cs="仿宋_GB2312"/>
          <w:sz w:val="32"/>
          <w:szCs w:val="32"/>
        </w:rPr>
        <w:t>项目总投资</w:t>
      </w:r>
      <w:r>
        <w:rPr>
          <w:rFonts w:hint="eastAsia" w:ascii="仿宋_GB2312" w:hAnsi="仿宋_GB2312" w:eastAsia="仿宋_GB2312" w:cs="仿宋_GB2312"/>
          <w:sz w:val="32"/>
          <w:szCs w:val="32"/>
          <w:lang w:val="en-US" w:eastAsia="zh-CN"/>
        </w:rPr>
        <w:t>900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其中：</w:t>
      </w:r>
      <w:r>
        <w:rPr>
          <w:rFonts w:hint="eastAsia" w:ascii="仿宋_GB2312" w:hAnsi="仿宋_GB2312" w:eastAsia="仿宋_GB2312" w:cs="仿宋_GB2312"/>
          <w:sz w:val="32"/>
          <w:szCs w:val="32"/>
        </w:rPr>
        <w:t>中央财政资金</w:t>
      </w:r>
      <w:r>
        <w:rPr>
          <w:rFonts w:hint="eastAsia" w:ascii="仿宋_GB2312" w:hAnsi="仿宋_GB2312" w:eastAsia="仿宋_GB2312" w:cs="仿宋_GB2312"/>
          <w:sz w:val="32"/>
          <w:szCs w:val="32"/>
          <w:lang w:val="en-US" w:eastAsia="zh-CN"/>
        </w:rPr>
        <w:t>150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省级财政资金292万元，县级配套涉农整合</w:t>
      </w:r>
      <w:r>
        <w:rPr>
          <w:rFonts w:hint="eastAsia" w:ascii="仿宋_GB2312" w:hAnsi="仿宋_GB2312" w:eastAsia="仿宋_GB2312" w:cs="仿宋_GB2312"/>
          <w:sz w:val="32"/>
          <w:szCs w:val="32"/>
        </w:rPr>
        <w:t>资金</w:t>
      </w:r>
      <w:r>
        <w:rPr>
          <w:rFonts w:hint="eastAsia" w:ascii="仿宋_GB2312" w:hAnsi="仿宋_GB2312" w:eastAsia="仿宋_GB2312" w:cs="仿宋_GB2312"/>
          <w:sz w:val="32"/>
          <w:szCs w:val="32"/>
          <w:lang w:val="en-US" w:eastAsia="zh-CN"/>
        </w:rPr>
        <w:t>458</w:t>
      </w:r>
      <w:r>
        <w:rPr>
          <w:rFonts w:hint="eastAsia" w:ascii="仿宋_GB2312" w:hAnsi="仿宋_GB2312" w:eastAsia="仿宋_GB2312" w:cs="仿宋_GB2312"/>
          <w:sz w:val="32"/>
          <w:szCs w:val="32"/>
        </w:rPr>
        <w:t>万元。</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宋体" w:eastAsia="仿宋_GB2312" w:cs="Times New Roman"/>
          <w:color w:val="auto"/>
          <w:kern w:val="2"/>
          <w:sz w:val="32"/>
          <w:szCs w:val="32"/>
          <w:lang w:val="zh-CN" w:eastAsia="zh-CN" w:bidi="ar-SA"/>
        </w:rPr>
      </w:pPr>
      <w:r>
        <w:rPr>
          <w:rFonts w:hint="eastAsia" w:ascii="楷体_GB2312" w:hAnsi="宋体" w:eastAsia="楷体_GB2312"/>
          <w:lang w:val="zh-CN"/>
        </w:rPr>
        <w:t>2．资金到位。</w:t>
      </w:r>
      <w:r>
        <w:rPr>
          <w:rFonts w:hint="eastAsia" w:ascii="仿宋_GB2312" w:hAnsi="宋体" w:eastAsia="仿宋_GB2312" w:cs="Times New Roman"/>
          <w:color w:val="auto"/>
          <w:kern w:val="2"/>
          <w:sz w:val="32"/>
          <w:szCs w:val="32"/>
          <w:lang w:val="en-US" w:eastAsia="zh-CN" w:bidi="ar-SA"/>
        </w:rPr>
        <w:t>截止</w:t>
      </w:r>
      <w:r>
        <w:rPr>
          <w:rFonts w:hint="eastAsia" w:ascii="仿宋_GB2312" w:hAnsi="宋体" w:eastAsia="仿宋_GB2312" w:cs="Times New Roman"/>
          <w:color w:val="auto"/>
          <w:kern w:val="2"/>
          <w:sz w:val="32"/>
          <w:szCs w:val="32"/>
          <w:lang w:val="zh-CN" w:eastAsia="zh-CN" w:bidi="ar-SA"/>
        </w:rPr>
        <w:t>目前</w:t>
      </w:r>
      <w:r>
        <w:rPr>
          <w:rFonts w:hint="eastAsia" w:ascii="仿宋_GB2312" w:hAnsi="宋体" w:eastAsia="仿宋_GB2312" w:cs="Times New Roman"/>
          <w:color w:val="auto"/>
          <w:kern w:val="2"/>
          <w:sz w:val="32"/>
          <w:szCs w:val="32"/>
          <w:lang w:val="en-US" w:eastAsia="zh-CN" w:bidi="ar-SA"/>
        </w:rPr>
        <w:t>所有</w:t>
      </w:r>
      <w:r>
        <w:rPr>
          <w:rFonts w:hint="eastAsia" w:ascii="仿宋_GB2312" w:hAnsi="宋体" w:eastAsia="仿宋_GB2312" w:cs="Times New Roman"/>
          <w:color w:val="auto"/>
          <w:kern w:val="2"/>
          <w:sz w:val="32"/>
          <w:szCs w:val="32"/>
          <w:lang w:val="zh-CN" w:eastAsia="zh-CN" w:bidi="ar-SA"/>
        </w:rPr>
        <w:t>资金已全部到位，资金到位率为100%。</w:t>
      </w:r>
    </w:p>
    <w:p>
      <w:pPr>
        <w:keepNext w:val="0"/>
        <w:keepLines w:val="0"/>
        <w:pageBreakBefore w:val="0"/>
        <w:widowControl/>
        <w:kinsoku/>
        <w:wordWrap/>
        <w:overflowPunct/>
        <w:topLinePunct w:val="0"/>
        <w:bidi w:val="0"/>
        <w:spacing w:line="560" w:lineRule="exact"/>
        <w:ind w:firstLine="640" w:firstLineChars="200"/>
        <w:jc w:val="left"/>
        <w:textAlignment w:val="auto"/>
        <w:rPr>
          <w:rFonts w:hint="eastAsia" w:ascii="仿宋_GB2312" w:hAnsi="宋体" w:eastAsia="仿宋_GB2312" w:cs="Times New Roman"/>
          <w:color w:val="auto"/>
          <w:kern w:val="2"/>
          <w:sz w:val="32"/>
          <w:szCs w:val="32"/>
          <w:lang w:val="zh-CN" w:eastAsia="zh-CN" w:bidi="ar-SA"/>
        </w:rPr>
      </w:pPr>
      <w:r>
        <w:rPr>
          <w:rFonts w:hint="eastAsia" w:ascii="楷体_GB2312" w:hAnsi="宋体" w:eastAsia="楷体_GB2312"/>
          <w:lang w:val="zh-CN"/>
        </w:rPr>
        <w:t>3．资金使用。</w:t>
      </w:r>
      <w:r>
        <w:rPr>
          <w:rFonts w:hint="eastAsia" w:ascii="仿宋_GB2312" w:hAnsi="宋体" w:eastAsia="仿宋_GB2312" w:cs="Times New Roman"/>
          <w:color w:val="auto"/>
          <w:kern w:val="2"/>
          <w:sz w:val="32"/>
          <w:szCs w:val="32"/>
          <w:lang w:val="en-US" w:eastAsia="zh-CN" w:bidi="ar-SA"/>
        </w:rPr>
        <w:t>截止目前中省资金</w:t>
      </w:r>
      <w:r>
        <w:rPr>
          <w:rFonts w:hint="eastAsia" w:ascii="仿宋_GB2312" w:hAnsi="宋体" w:cs="Times New Roman"/>
          <w:color w:val="auto"/>
          <w:kern w:val="2"/>
          <w:sz w:val="32"/>
          <w:szCs w:val="32"/>
          <w:lang w:val="en-US" w:eastAsia="zh-CN" w:bidi="ar-SA"/>
        </w:rPr>
        <w:t>总金额的50%</w:t>
      </w:r>
      <w:r>
        <w:rPr>
          <w:rFonts w:hint="eastAsia" w:ascii="仿宋_GB2312" w:hAnsi="宋体" w:eastAsia="仿宋_GB2312" w:cs="Times New Roman"/>
          <w:color w:val="auto"/>
          <w:kern w:val="2"/>
          <w:sz w:val="32"/>
          <w:szCs w:val="32"/>
          <w:lang w:val="en-US" w:eastAsia="zh-CN" w:bidi="ar-SA"/>
        </w:rPr>
        <w:t>。严格按照《四川省农田建设补助资金管理办法实施细则》的要求，执行县级报账制，实行专人管理、专账核算、专款专用。不存在挤占、滞留、挪用项目资金，无超范围、超标准使用项目资金，无虚报冒领、骗取套取项目资金，无滥用职权、玩忽职守、徇私舞弊等违纪违法行为。按项目进度及合同要求，加快项目资金拨付，无拖欠工程款和农民工工资情况。</w:t>
      </w:r>
    </w:p>
    <w:p>
      <w:pPr>
        <w:keepNext w:val="0"/>
        <w:keepLines w:val="0"/>
        <w:pageBreakBefore w:val="0"/>
        <w:kinsoku/>
        <w:wordWrap/>
        <w:overflowPunct/>
        <w:topLinePunct w:val="0"/>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（三）项目财务管理情况。</w:t>
      </w:r>
    </w:p>
    <w:p>
      <w:pPr>
        <w:keepNext w:val="0"/>
        <w:keepLines w:val="0"/>
        <w:pageBreakBefore w:val="0"/>
        <w:kinsoku/>
        <w:wordWrap/>
        <w:overflowPunct/>
        <w:topLinePunct w:val="0"/>
        <w:bidi w:val="0"/>
        <w:adjustRightInd w:val="0"/>
        <w:snapToGrid w:val="0"/>
        <w:spacing w:line="560" w:lineRule="exact"/>
        <w:ind w:firstLine="720"/>
        <w:textAlignment w:val="auto"/>
        <w:rPr>
          <w:rFonts w:hint="eastAsia" w:ascii="仿宋_GB2312" w:hAnsi="仿宋_GB2312" w:eastAsia="仿宋_GB2312" w:cs="仿宋_GB2312"/>
          <w:kern w:val="0"/>
          <w:sz w:val="32"/>
          <w:szCs w:val="32"/>
          <w:lang w:eastAsia="zh-CN"/>
        </w:rPr>
      </w:pPr>
      <w:r>
        <w:rPr>
          <w:rFonts w:hint="eastAsia" w:ascii="仿宋_GB2312" w:hAnsi="宋体" w:eastAsia="仿宋_GB2312" w:cs="Times New Roman"/>
          <w:color w:val="auto"/>
          <w:kern w:val="2"/>
          <w:sz w:val="32"/>
          <w:szCs w:val="32"/>
          <w:lang w:val="en-US" w:eastAsia="zh-CN" w:bidi="ar-SA"/>
        </w:rPr>
        <w:t>峨边县202</w:t>
      </w:r>
      <w:r>
        <w:rPr>
          <w:rFonts w:hint="eastAsia" w:ascii="仿宋_GB2312" w:hAnsi="宋体" w:cs="Times New Roman"/>
          <w:color w:val="auto"/>
          <w:kern w:val="2"/>
          <w:sz w:val="32"/>
          <w:szCs w:val="32"/>
          <w:lang w:val="en-US" w:eastAsia="zh-CN" w:bidi="ar-SA"/>
        </w:rPr>
        <w:t>2</w:t>
      </w:r>
      <w:r>
        <w:rPr>
          <w:rFonts w:hint="eastAsia" w:ascii="仿宋_GB2312" w:hAnsi="宋体" w:eastAsia="仿宋_GB2312" w:cs="Times New Roman"/>
          <w:color w:val="auto"/>
          <w:kern w:val="2"/>
          <w:sz w:val="32"/>
          <w:szCs w:val="32"/>
          <w:lang w:val="en-US" w:eastAsia="zh-CN" w:bidi="ar-SA"/>
        </w:rPr>
        <w:t>年高标准农田建设项目实行资金县级报账制，并纳入国库集中支付范围，执行国库集中支付的有关规定。高标准农田建设项目实行专账管理、专款专用、任何单位和个人不得挪用和占用资金，同时接受审计部门的审计和监督。严格执行财务管理制度、财务处理及时、会计核算规范。</w:t>
      </w:r>
    </w:p>
    <w:p>
      <w:pPr>
        <w:keepNext w:val="0"/>
        <w:keepLines w:val="0"/>
        <w:pageBreakBefore w:val="0"/>
        <w:kinsoku/>
        <w:wordWrap/>
        <w:overflowPunct/>
        <w:topLinePunct w:val="0"/>
        <w:bidi w:val="0"/>
        <w:adjustRightInd w:val="0"/>
        <w:snapToGrid w:val="0"/>
        <w:spacing w:line="560" w:lineRule="exact"/>
        <w:ind w:firstLine="720"/>
        <w:textAlignment w:val="auto"/>
        <w:rPr>
          <w:rFonts w:ascii="黑体" w:hAnsi="宋体" w:eastAsia="黑体"/>
        </w:rPr>
      </w:pPr>
      <w:r>
        <w:rPr>
          <w:rFonts w:hint="eastAsia" w:ascii="黑体" w:hAnsi="宋体" w:eastAsia="黑体"/>
        </w:rPr>
        <w:t>三、项目实施及管理情况</w:t>
      </w:r>
    </w:p>
    <w:p>
      <w:pPr>
        <w:keepNext w:val="0"/>
        <w:keepLines w:val="0"/>
        <w:pageBreakBefore w:val="0"/>
        <w:kinsoku/>
        <w:wordWrap/>
        <w:overflowPunct/>
        <w:topLinePunct w:val="0"/>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（一）项目组织架构及实施流程。</w:t>
      </w:r>
    </w:p>
    <w:p>
      <w:pPr>
        <w:keepNext w:val="0"/>
        <w:keepLines w:val="0"/>
        <w:pageBreakBefore w:val="0"/>
        <w:kinsoku/>
        <w:wordWrap/>
        <w:overflowPunct/>
        <w:topLinePunct w:val="0"/>
        <w:bidi w:val="0"/>
        <w:adjustRightInd w:val="0"/>
        <w:snapToGrid w:val="0"/>
        <w:spacing w:line="560" w:lineRule="exact"/>
        <w:ind w:firstLine="720"/>
        <w:textAlignment w:val="auto"/>
        <w:rPr>
          <w:rFonts w:hint="eastAsia" w:ascii="仿宋_GB2312" w:hAnsi="宋体" w:eastAsia="仿宋_GB2312" w:cs="Times New Roman"/>
          <w:color w:val="auto"/>
          <w:kern w:val="2"/>
          <w:sz w:val="32"/>
          <w:szCs w:val="32"/>
          <w:lang w:val="zh-CN" w:eastAsia="zh-CN" w:bidi="ar-SA"/>
        </w:rPr>
      </w:pPr>
      <w:r>
        <w:rPr>
          <w:rFonts w:hint="eastAsia" w:ascii="仿宋_GB2312" w:hAnsi="宋体" w:eastAsia="仿宋_GB2312" w:cs="Times New Roman"/>
          <w:color w:val="auto"/>
          <w:kern w:val="2"/>
          <w:sz w:val="32"/>
          <w:szCs w:val="32"/>
          <w:lang w:val="en-US" w:eastAsia="zh-CN" w:bidi="ar-SA"/>
        </w:rPr>
        <w:t>为切实加强农田建设的组织领导，建立健全“政府领导、农业农村部门牵头、部门协作、上下联动”的工作机制，组织、指导和督促各乡镇和县级相关部门逐级落实好高标准农田建设任务和工作责任，确保建设任务如期圆满完成，成立以分管领导为组长，自然资源局、财政局等相关单位为成员的高标准农田建设工作领导小组，领导小组办公室将设在县农业农村局，办公室主任由农业农村局局长兼任。项目建设主要分为五个阶段：规划编制阶段、项目申报与审批阶段、招投标阶段、组织实施阶段、竣工验收阶段。</w:t>
      </w:r>
    </w:p>
    <w:p>
      <w:pPr>
        <w:keepNext w:val="0"/>
        <w:keepLines w:val="0"/>
        <w:pageBreakBefore w:val="0"/>
        <w:kinsoku/>
        <w:wordWrap/>
        <w:overflowPunct/>
        <w:topLinePunct w:val="0"/>
        <w:bidi w:val="0"/>
        <w:adjustRightInd w:val="0"/>
        <w:snapToGrid w:val="0"/>
        <w:spacing w:line="560" w:lineRule="exact"/>
        <w:ind w:firstLine="720"/>
        <w:textAlignment w:val="auto"/>
        <w:rPr>
          <w:rFonts w:hint="eastAsia" w:ascii="仿宋_GB2312" w:hAnsi="宋体" w:eastAsia="仿宋_GB2312" w:cs="Times New Roman"/>
          <w:color w:val="auto"/>
          <w:kern w:val="2"/>
          <w:sz w:val="32"/>
          <w:szCs w:val="32"/>
          <w:lang w:val="zh-CN" w:eastAsia="zh-CN" w:bidi="ar-SA"/>
        </w:rPr>
      </w:pPr>
      <w:r>
        <w:rPr>
          <w:rFonts w:hint="eastAsia" w:ascii="楷体_GB2312" w:hAnsi="宋体" w:eastAsia="楷体_GB2312"/>
          <w:b/>
          <w:lang w:val="zh-CN"/>
        </w:rPr>
        <w:t>（二）项目管理情况。</w:t>
      </w:r>
      <w:r>
        <w:rPr>
          <w:rFonts w:hint="eastAsia" w:ascii="仿宋_GB2312" w:hAnsi="宋体" w:eastAsia="仿宋_GB2312" w:cs="Times New Roman"/>
          <w:color w:val="auto"/>
          <w:kern w:val="2"/>
          <w:sz w:val="32"/>
          <w:szCs w:val="32"/>
          <w:lang w:val="en-US" w:eastAsia="zh-CN" w:bidi="ar-SA"/>
        </w:rPr>
        <w:t>建立健全高标准农田建设工作机制，严格按照《四川省农田建设补助资金管理办法实施细则》、《四川省《农田建设项目管理法办法》实施细则》要求开展高标准农田建设工作，做到了项目建设管理、资金管理、验收管理、监督管理等制度完善、管理规范。严格按照工程</w:t>
      </w:r>
      <w:r>
        <w:rPr>
          <w:rFonts w:hint="eastAsia" w:ascii="仿宋_GB2312" w:hAnsi="宋体" w:eastAsia="仿宋_GB2312" w:cs="Times New Roman"/>
          <w:color w:val="auto"/>
          <w:kern w:val="2"/>
          <w:sz w:val="32"/>
          <w:szCs w:val="32"/>
          <w:lang w:val="zh-CN" w:eastAsia="zh-CN" w:bidi="ar-SA"/>
        </w:rPr>
        <w:t>招投标</w:t>
      </w:r>
      <w:r>
        <w:rPr>
          <w:rFonts w:hint="eastAsia" w:ascii="仿宋_GB2312" w:hAnsi="宋体" w:eastAsia="仿宋_GB2312" w:cs="Times New Roman"/>
          <w:color w:val="auto"/>
          <w:kern w:val="2"/>
          <w:sz w:val="32"/>
          <w:szCs w:val="32"/>
          <w:lang w:val="en-US" w:eastAsia="zh-CN" w:bidi="ar-SA"/>
        </w:rPr>
        <w:t>和</w:t>
      </w:r>
      <w:r>
        <w:rPr>
          <w:rFonts w:hint="eastAsia" w:ascii="仿宋_GB2312" w:hAnsi="宋体" w:eastAsia="仿宋_GB2312" w:cs="Times New Roman"/>
          <w:color w:val="auto"/>
          <w:kern w:val="2"/>
          <w:sz w:val="32"/>
          <w:szCs w:val="32"/>
          <w:lang w:val="zh-CN" w:eastAsia="zh-CN" w:bidi="ar-SA"/>
        </w:rPr>
        <w:t>政府采购</w:t>
      </w:r>
      <w:r>
        <w:rPr>
          <w:rFonts w:hint="eastAsia" w:ascii="仿宋_GB2312" w:hAnsi="宋体" w:eastAsia="仿宋_GB2312" w:cs="Times New Roman"/>
          <w:color w:val="auto"/>
          <w:kern w:val="2"/>
          <w:sz w:val="32"/>
          <w:szCs w:val="32"/>
          <w:lang w:val="en-US" w:eastAsia="zh-CN" w:bidi="ar-SA"/>
        </w:rPr>
        <w:t>相关规定开展工程招标和物质采购相关工作，同时及时将项目事前、事中、事后情况向社会公示，自觉接受社会监督。</w:t>
      </w:r>
    </w:p>
    <w:p>
      <w:pPr>
        <w:keepNext w:val="0"/>
        <w:keepLines w:val="0"/>
        <w:pageBreakBefore w:val="0"/>
        <w:kinsoku/>
        <w:wordWrap/>
        <w:overflowPunct/>
        <w:topLinePunct w:val="0"/>
        <w:bidi w:val="0"/>
        <w:adjustRightInd w:val="0"/>
        <w:snapToGrid w:val="0"/>
        <w:spacing w:line="560" w:lineRule="exact"/>
        <w:ind w:firstLine="720"/>
        <w:textAlignment w:val="auto"/>
        <w:rPr>
          <w:rFonts w:hint="eastAsia" w:ascii="仿宋_GB2312" w:hAnsi="宋体" w:eastAsia="仿宋_GB2312" w:cs="Times New Roman"/>
          <w:color w:val="auto"/>
          <w:kern w:val="2"/>
          <w:sz w:val="32"/>
          <w:szCs w:val="32"/>
          <w:lang w:val="en-US" w:eastAsia="zh-CN" w:bidi="ar-SA"/>
        </w:rPr>
      </w:pPr>
      <w:r>
        <w:rPr>
          <w:rFonts w:hint="eastAsia" w:ascii="楷体_GB2312" w:hAnsi="宋体" w:eastAsia="楷体_GB2312"/>
          <w:b/>
          <w:lang w:val="zh-CN"/>
        </w:rPr>
        <w:t>（三）项目监管情况。</w:t>
      </w:r>
      <w:r>
        <w:rPr>
          <w:rFonts w:hint="eastAsia" w:ascii="仿宋_GB2312" w:hAnsi="宋体" w:eastAsia="仿宋_GB2312" w:cs="Times New Roman"/>
          <w:color w:val="auto"/>
          <w:kern w:val="2"/>
          <w:sz w:val="32"/>
          <w:szCs w:val="32"/>
          <w:lang w:val="en-US" w:eastAsia="zh-CN" w:bidi="ar-SA"/>
        </w:rPr>
        <w:t>严格按照招投标法对工程、货物进行招标；严肃高标准农田建设工作纪律，对峨边县202</w:t>
      </w:r>
      <w:r>
        <w:rPr>
          <w:rFonts w:hint="eastAsia" w:ascii="仿宋_GB2312" w:hAnsi="宋体" w:cs="Times New Roman"/>
          <w:color w:val="auto"/>
          <w:kern w:val="2"/>
          <w:sz w:val="32"/>
          <w:szCs w:val="32"/>
          <w:lang w:val="en-US" w:eastAsia="zh-CN" w:bidi="ar-SA"/>
        </w:rPr>
        <w:t>2</w:t>
      </w:r>
      <w:r>
        <w:rPr>
          <w:rFonts w:hint="eastAsia" w:ascii="仿宋_GB2312" w:hAnsi="宋体" w:eastAsia="仿宋_GB2312" w:cs="Times New Roman"/>
          <w:color w:val="auto"/>
          <w:kern w:val="2"/>
          <w:sz w:val="32"/>
          <w:szCs w:val="32"/>
          <w:lang w:val="en-US" w:eastAsia="zh-CN" w:bidi="ar-SA"/>
        </w:rPr>
        <w:t>年高标准农田建设项目进行了公示，接受社会监督；驻局纪检监察组成立工作组，对高标准农田建设项目进行了日常监督；市农田水利基本建设指挥部成员单位组织对项目设计变更的内容进行现场查看核实并会商，按程序进行报批，无闭门造车、暗箱操作、私下勾兑等违纪违法行为。</w:t>
      </w:r>
    </w:p>
    <w:p>
      <w:pPr>
        <w:keepNext w:val="0"/>
        <w:keepLines w:val="0"/>
        <w:pageBreakBefore w:val="0"/>
        <w:kinsoku/>
        <w:wordWrap/>
        <w:overflowPunct/>
        <w:topLinePunct w:val="0"/>
        <w:bidi w:val="0"/>
        <w:adjustRightInd w:val="0"/>
        <w:snapToGrid w:val="0"/>
        <w:spacing w:line="560" w:lineRule="exact"/>
        <w:ind w:firstLine="720"/>
        <w:textAlignment w:val="auto"/>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keepNext w:val="0"/>
        <w:keepLines w:val="0"/>
        <w:pageBreakBefore w:val="0"/>
        <w:kinsoku/>
        <w:wordWrap/>
        <w:overflowPunct/>
        <w:topLinePunct w:val="0"/>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（一）项目完成情况。</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textAlignment w:val="auto"/>
        <w:rPr>
          <w:rFonts w:hint="default" w:ascii="仿宋_GB2312" w:hAnsi="宋体" w:eastAsia="仿宋_GB2312" w:cs="Times New Roman"/>
          <w:color w:val="auto"/>
          <w:kern w:val="2"/>
          <w:sz w:val="32"/>
          <w:szCs w:val="32"/>
          <w:lang w:val="en-US" w:eastAsia="zh-CN" w:bidi="ar-SA"/>
        </w:rPr>
      </w:pPr>
      <w:r>
        <w:rPr>
          <w:rFonts w:hint="eastAsia" w:ascii="仿宋_GB2312" w:hAnsi="仿宋_GB2312" w:eastAsia="仿宋_GB2312" w:cs="仿宋_GB2312"/>
          <w:kern w:val="0"/>
          <w:sz w:val="32"/>
          <w:szCs w:val="32"/>
          <w:lang w:val="en-US" w:eastAsia="zh-CN"/>
        </w:rPr>
        <w:t>新建</w:t>
      </w:r>
      <w:r>
        <w:rPr>
          <w:rFonts w:hint="eastAsia" w:ascii="仿宋_GB2312" w:hAnsi="仿宋_GB2312" w:eastAsia="仿宋_GB2312" w:cs="仿宋_GB2312"/>
          <w:kern w:val="0"/>
          <w:sz w:val="32"/>
          <w:szCs w:val="32"/>
          <w:lang w:val="zh-CN" w:eastAsia="zh-CN"/>
        </w:rPr>
        <w:t>高标准农田</w:t>
      </w:r>
      <w:r>
        <w:rPr>
          <w:rFonts w:hint="eastAsia" w:ascii="仿宋_GB2312" w:hAnsi="仿宋_GB2312" w:eastAsia="仿宋_GB2312" w:cs="仿宋_GB2312"/>
          <w:kern w:val="0"/>
          <w:sz w:val="32"/>
          <w:szCs w:val="32"/>
          <w:lang w:val="en-US" w:eastAsia="zh-CN"/>
        </w:rPr>
        <w:t>3000亩。主要建设内容：1.</w:t>
      </w:r>
      <w:r>
        <w:rPr>
          <w:rFonts w:hint="eastAsia" w:ascii="仿宋_GB2312" w:hAnsi="仿宋_GB2312" w:eastAsia="仿宋_GB2312" w:cs="仿宋_GB2312"/>
          <w:kern w:val="0"/>
          <w:sz w:val="32"/>
          <w:szCs w:val="32"/>
          <w:lang w:val="zh-CN" w:eastAsia="zh-CN"/>
        </w:rPr>
        <w:t>土地平整：坡改梯</w:t>
      </w:r>
      <w:r>
        <w:rPr>
          <w:rFonts w:hint="eastAsia" w:ascii="仿宋_GB2312" w:hAnsi="仿宋_GB2312" w:eastAsia="仿宋_GB2312" w:cs="仿宋_GB2312"/>
          <w:kern w:val="0"/>
          <w:sz w:val="32"/>
          <w:szCs w:val="32"/>
          <w:lang w:val="en-US" w:eastAsia="zh-CN"/>
        </w:rPr>
        <w:t>196</w:t>
      </w:r>
      <w:r>
        <w:rPr>
          <w:rFonts w:hint="eastAsia" w:ascii="仿宋_GB2312" w:hAnsi="仿宋_GB2312" w:eastAsia="仿宋_GB2312" w:cs="仿宋_GB2312"/>
          <w:kern w:val="0"/>
          <w:sz w:val="32"/>
          <w:szCs w:val="32"/>
          <w:lang w:val="zh-CN" w:eastAsia="zh-CN"/>
        </w:rPr>
        <w:t>亩，</w:t>
      </w:r>
      <w:r>
        <w:rPr>
          <w:rFonts w:hint="eastAsia" w:ascii="仿宋_GB2312" w:hAnsi="仿宋_GB2312" w:eastAsia="仿宋_GB2312" w:cs="仿宋_GB2312"/>
          <w:kern w:val="0"/>
          <w:sz w:val="32"/>
          <w:szCs w:val="32"/>
          <w:lang w:val="en-US" w:eastAsia="zh-CN"/>
        </w:rPr>
        <w:t>修建混凝土及浆砌石田埂8749米</w:t>
      </w:r>
      <w:r>
        <w:rPr>
          <w:rFonts w:hint="eastAsia" w:ascii="仿宋_GB2312" w:hAnsi="仿宋_GB2312" w:eastAsia="仿宋_GB2312" w:cs="仿宋_GB2312"/>
          <w:kern w:val="0"/>
          <w:sz w:val="32"/>
          <w:szCs w:val="32"/>
          <w:lang w:val="zh-CN" w:eastAsia="zh-CN"/>
        </w:rPr>
        <w:t>。</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lang w:val="zh-CN" w:eastAsia="zh-CN"/>
        </w:rPr>
        <w:t>土壤改良：项目区</w:t>
      </w:r>
      <w:r>
        <w:rPr>
          <w:rFonts w:hint="eastAsia" w:ascii="仿宋_GB2312" w:hAnsi="仿宋_GB2312" w:eastAsia="仿宋_GB2312" w:cs="仿宋_GB2312"/>
          <w:kern w:val="0"/>
          <w:sz w:val="32"/>
          <w:szCs w:val="32"/>
          <w:lang w:val="en-US" w:eastAsia="zh-CN"/>
        </w:rPr>
        <w:t>土壤</w:t>
      </w:r>
      <w:r>
        <w:rPr>
          <w:rFonts w:hint="eastAsia" w:ascii="仿宋_GB2312" w:hAnsi="仿宋_GB2312" w:eastAsia="仿宋_GB2312" w:cs="仿宋_GB2312"/>
          <w:kern w:val="0"/>
          <w:sz w:val="32"/>
          <w:szCs w:val="32"/>
          <w:lang w:val="zh-CN" w:eastAsia="zh-CN"/>
        </w:rPr>
        <w:t>改良</w:t>
      </w:r>
      <w:r>
        <w:rPr>
          <w:rFonts w:hint="eastAsia" w:ascii="仿宋_GB2312" w:hAnsi="仿宋_GB2312" w:eastAsia="仿宋_GB2312" w:cs="仿宋_GB2312"/>
          <w:kern w:val="0"/>
          <w:sz w:val="32"/>
          <w:szCs w:val="32"/>
          <w:lang w:val="en-US" w:eastAsia="zh-CN"/>
        </w:rPr>
        <w:t>1300</w:t>
      </w:r>
      <w:r>
        <w:rPr>
          <w:rFonts w:hint="eastAsia" w:ascii="仿宋_GB2312" w:hAnsi="仿宋_GB2312" w:eastAsia="仿宋_GB2312" w:cs="仿宋_GB2312"/>
          <w:kern w:val="0"/>
          <w:sz w:val="32"/>
          <w:szCs w:val="32"/>
          <w:lang w:val="zh-CN" w:eastAsia="zh-CN"/>
        </w:rPr>
        <w:t>亩。</w:t>
      </w:r>
      <w:r>
        <w:rPr>
          <w:rFonts w:hint="eastAsia" w:ascii="仿宋_GB2312" w:hAnsi="仿宋_GB2312" w:eastAsia="仿宋_GB2312" w:cs="仿宋_GB2312"/>
          <w:kern w:val="0"/>
          <w:sz w:val="32"/>
          <w:szCs w:val="32"/>
          <w:lang w:val="en-US" w:eastAsia="zh-CN"/>
        </w:rPr>
        <w:t>3.灌溉与排水</w:t>
      </w:r>
      <w:r>
        <w:rPr>
          <w:rFonts w:hint="eastAsia" w:ascii="仿宋_GB2312" w:hAnsi="仿宋_GB2312" w:eastAsia="仿宋_GB2312" w:cs="仿宋_GB2312"/>
          <w:kern w:val="0"/>
          <w:sz w:val="32"/>
          <w:szCs w:val="32"/>
          <w:lang w:val="zh-CN" w:eastAsia="zh-CN"/>
        </w:rPr>
        <w:t>：</w:t>
      </w:r>
      <w:r>
        <w:rPr>
          <w:rFonts w:hint="eastAsia" w:ascii="仿宋_GB2312" w:hAnsi="仿宋_GB2312" w:eastAsia="仿宋_GB2312" w:cs="仿宋_GB2312"/>
          <w:kern w:val="0"/>
          <w:sz w:val="32"/>
          <w:szCs w:val="32"/>
          <w:lang w:val="en-US" w:eastAsia="zh-CN"/>
        </w:rPr>
        <w:t>新建及整治排灌渠7条（其中：新建1条、整治6条），总长1207米。4.</w:t>
      </w:r>
      <w:r>
        <w:rPr>
          <w:rFonts w:hint="eastAsia" w:ascii="仿宋_GB2312" w:hAnsi="仿宋_GB2312" w:eastAsia="仿宋_GB2312" w:cs="仿宋_GB2312"/>
          <w:kern w:val="0"/>
          <w:sz w:val="32"/>
          <w:szCs w:val="32"/>
          <w:lang w:val="zh-CN" w:eastAsia="zh-CN"/>
        </w:rPr>
        <w:t>田间道路：</w:t>
      </w:r>
      <w:r>
        <w:rPr>
          <w:rFonts w:hint="eastAsia" w:ascii="仿宋_GB2312" w:hAnsi="仿宋_GB2312" w:eastAsia="仿宋_GB2312" w:cs="仿宋_GB2312"/>
          <w:kern w:val="0"/>
          <w:sz w:val="32"/>
          <w:szCs w:val="32"/>
          <w:lang w:val="en-US" w:eastAsia="zh-CN"/>
        </w:rPr>
        <w:t>新建及整治生产路5035米</w:t>
      </w:r>
      <w:r>
        <w:rPr>
          <w:rFonts w:hint="eastAsia" w:ascii="仿宋_GB2312" w:hAnsi="仿宋_GB2312" w:eastAsia="仿宋_GB2312" w:cs="仿宋_GB2312"/>
          <w:kern w:val="0"/>
          <w:sz w:val="32"/>
          <w:szCs w:val="32"/>
          <w:lang w:val="zh-CN" w:eastAsia="zh-CN"/>
        </w:rPr>
        <w:t>。</w:t>
      </w:r>
      <w:r>
        <w:rPr>
          <w:rFonts w:hint="eastAsia" w:ascii="仿宋_GB2312" w:hAnsi="宋体" w:eastAsia="仿宋_GB2312" w:cs="Times New Roman"/>
          <w:color w:val="auto"/>
          <w:kern w:val="2"/>
          <w:sz w:val="32"/>
          <w:szCs w:val="32"/>
          <w:lang w:val="en-US" w:eastAsia="zh-CN" w:bidi="ar-SA"/>
        </w:rPr>
        <w:t>所有工程建设项目均按时保质保量完成，项目完成率为100%。</w:t>
      </w:r>
    </w:p>
    <w:p>
      <w:pPr>
        <w:keepNext w:val="0"/>
        <w:keepLines w:val="0"/>
        <w:pageBreakBefore w:val="0"/>
        <w:kinsoku/>
        <w:wordWrap/>
        <w:overflowPunct/>
        <w:topLinePunct w:val="0"/>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（二）项目效益情况。</w:t>
      </w:r>
    </w:p>
    <w:p>
      <w:pPr>
        <w:keepNext w:val="0"/>
        <w:keepLines w:val="0"/>
        <w:pageBreakBefore w:val="0"/>
        <w:kinsoku/>
        <w:wordWrap/>
        <w:overflowPunct/>
        <w:topLinePunct w:val="0"/>
        <w:bidi w:val="0"/>
        <w:adjustRightInd w:val="0"/>
        <w:snapToGrid w:val="0"/>
        <w:spacing w:line="560" w:lineRule="exact"/>
        <w:ind w:firstLine="720"/>
        <w:textAlignment w:val="auto"/>
        <w:rPr>
          <w:rFonts w:hint="eastAsia" w:ascii="仿宋_GB2312" w:hAnsi="宋体" w:eastAsia="仿宋_GB2312" w:cs="Times New Roman"/>
          <w:color w:val="auto"/>
          <w:kern w:val="2"/>
          <w:sz w:val="32"/>
          <w:szCs w:val="32"/>
          <w:lang w:val="en-US" w:eastAsia="zh-CN" w:bidi="ar-SA"/>
        </w:rPr>
      </w:pPr>
      <w:r>
        <w:rPr>
          <w:rFonts w:hint="eastAsia" w:ascii="仿宋_GB2312" w:hAnsi="宋体" w:eastAsia="仿宋_GB2312" w:cs="Times New Roman"/>
          <w:color w:val="auto"/>
          <w:kern w:val="2"/>
          <w:sz w:val="32"/>
          <w:szCs w:val="32"/>
          <w:lang w:val="en-US" w:eastAsia="zh-CN" w:bidi="ar-SA"/>
        </w:rPr>
        <w:t>通过项目的实施，项目区耕地质量状况明显改善、农田灌溉能力显著增强，项目区实施前复种指数一般在1.16左右，项目改造实施后，增加供水能力，并调整农作物种植结构，农作物复种指数达到了1.37左右。项目实施后水稻亩增产30公斤，油菜亩增产20公斤，玉米亩增产20公斤，薯类亩增产20公斤，蔬菜亩增产50公斤，预计粮食作物可增产8.9万公斤，经济作物可增产7.8万公斤，农产品新增收益52.41万元，人均增收170.16元。</w:t>
      </w:r>
    </w:p>
    <w:p>
      <w:pPr>
        <w:keepNext w:val="0"/>
        <w:keepLines w:val="0"/>
        <w:pageBreakBefore w:val="0"/>
        <w:kinsoku/>
        <w:wordWrap/>
        <w:overflowPunct/>
        <w:topLinePunct w:val="0"/>
        <w:bidi w:val="0"/>
        <w:adjustRightInd w:val="0"/>
        <w:snapToGrid w:val="0"/>
        <w:spacing w:line="560" w:lineRule="exact"/>
        <w:ind w:firstLine="720"/>
        <w:textAlignment w:val="auto"/>
        <w:rPr>
          <w:rFonts w:hint="eastAsia" w:ascii="仿宋_GB2312" w:hAnsi="宋体" w:eastAsia="仿宋_GB2312" w:cs="Times New Roman"/>
          <w:color w:val="auto"/>
          <w:kern w:val="2"/>
          <w:sz w:val="32"/>
          <w:szCs w:val="32"/>
          <w:lang w:val="en-US" w:eastAsia="zh-CN" w:bidi="ar-SA"/>
        </w:rPr>
      </w:pPr>
      <w:r>
        <w:rPr>
          <w:rFonts w:hint="eastAsia" w:ascii="仿宋_GB2312" w:hAnsi="宋体" w:eastAsia="仿宋_GB2312" w:cs="Times New Roman"/>
          <w:color w:val="auto"/>
          <w:kern w:val="2"/>
          <w:sz w:val="32"/>
          <w:szCs w:val="32"/>
          <w:lang w:val="en-US" w:eastAsia="zh-CN" w:bidi="ar-SA"/>
        </w:rPr>
        <w:t>项目通过田、水、路综合治理，农田基础设施条件明显改善，形成高标准、高质量、稳产、高产标准粮田，提高农业抵御自然灾害的能力，保障农作物收成，并且增强该地区的经济实力，年直接受益农户820户，年直接受益农业人口3080人，公众满意度100%</w:t>
      </w:r>
      <w:r>
        <w:rPr>
          <w:rFonts w:hint="eastAsia" w:ascii="仿宋_GB2312" w:hAnsi="宋体" w:cs="Times New Roman"/>
          <w:color w:val="auto"/>
          <w:kern w:val="2"/>
          <w:sz w:val="32"/>
          <w:szCs w:val="32"/>
          <w:lang w:val="en-US" w:eastAsia="zh-CN" w:bidi="ar-SA"/>
        </w:rPr>
        <w:t>。</w:t>
      </w:r>
    </w:p>
    <w:p>
      <w:pPr>
        <w:keepNext w:val="0"/>
        <w:keepLines w:val="0"/>
        <w:pageBreakBefore w:val="0"/>
        <w:kinsoku/>
        <w:wordWrap/>
        <w:overflowPunct/>
        <w:topLinePunct w:val="0"/>
        <w:bidi w:val="0"/>
        <w:adjustRightInd w:val="0"/>
        <w:snapToGrid w:val="0"/>
        <w:spacing w:line="560" w:lineRule="exact"/>
        <w:ind w:firstLine="720"/>
        <w:textAlignment w:val="auto"/>
        <w:rPr>
          <w:rFonts w:hint="eastAsia" w:ascii="仿宋_GB2312" w:hAnsi="宋体" w:eastAsia="仿宋_GB2312" w:cs="Times New Roman"/>
          <w:color w:val="auto"/>
          <w:kern w:val="2"/>
          <w:sz w:val="32"/>
          <w:szCs w:val="32"/>
          <w:lang w:val="en-US" w:eastAsia="zh-CN" w:bidi="ar-SA"/>
        </w:rPr>
      </w:pPr>
      <w:r>
        <w:rPr>
          <w:rFonts w:hint="eastAsia" w:ascii="仿宋_GB2312" w:hAnsi="宋体" w:eastAsia="仿宋_GB2312" w:cs="Times New Roman"/>
          <w:color w:val="auto"/>
          <w:kern w:val="2"/>
          <w:sz w:val="32"/>
          <w:szCs w:val="32"/>
          <w:lang w:val="en-US" w:eastAsia="zh-CN" w:bidi="ar-SA"/>
        </w:rPr>
        <w:t>项目实施后大大提高了项目区内灌溉和排水能力，起到土壤改良，美化环境的作用，使区内生态环境进入良性循环，并逐步改善。</w:t>
      </w:r>
    </w:p>
    <w:p>
      <w:pPr>
        <w:keepNext w:val="0"/>
        <w:keepLines w:val="0"/>
        <w:pageBreakBefore w:val="0"/>
        <w:kinsoku/>
        <w:wordWrap/>
        <w:overflowPunct/>
        <w:topLinePunct w:val="0"/>
        <w:bidi w:val="0"/>
        <w:adjustRightInd w:val="0"/>
        <w:snapToGrid w:val="0"/>
        <w:spacing w:line="560" w:lineRule="exact"/>
        <w:ind w:firstLine="640" w:firstLineChars="200"/>
        <w:textAlignment w:val="auto"/>
        <w:rPr>
          <w:rFonts w:ascii="黑体" w:hAnsi="宋体" w:eastAsia="黑体"/>
        </w:rPr>
      </w:pPr>
      <w:r>
        <w:rPr>
          <w:rFonts w:hint="eastAsia" w:ascii="黑体" w:hAnsi="宋体" w:eastAsia="黑体"/>
        </w:rPr>
        <w:t>五、评价结论及建议</w:t>
      </w:r>
    </w:p>
    <w:p>
      <w:pPr>
        <w:keepNext w:val="0"/>
        <w:keepLines w:val="0"/>
        <w:pageBreakBefore w:val="0"/>
        <w:kinsoku/>
        <w:wordWrap/>
        <w:overflowPunct/>
        <w:topLinePunct w:val="0"/>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（一）评价结论。</w:t>
      </w:r>
    </w:p>
    <w:p>
      <w:pPr>
        <w:keepNext w:val="0"/>
        <w:keepLines w:val="0"/>
        <w:pageBreakBefore w:val="0"/>
        <w:kinsoku/>
        <w:wordWrap/>
        <w:overflowPunct/>
        <w:topLinePunct w:val="0"/>
        <w:bidi w:val="0"/>
        <w:adjustRightInd w:val="0"/>
        <w:snapToGrid w:val="0"/>
        <w:spacing w:line="560" w:lineRule="exact"/>
        <w:ind w:firstLine="720"/>
        <w:textAlignment w:val="auto"/>
        <w:rPr>
          <w:rFonts w:hint="default" w:ascii="仿宋_GB2312" w:hAnsi="宋体" w:eastAsia="仿宋_GB2312" w:cs="Times New Roman"/>
          <w:color w:val="auto"/>
          <w:kern w:val="2"/>
          <w:sz w:val="32"/>
          <w:szCs w:val="32"/>
          <w:lang w:val="en-US" w:eastAsia="zh-CN" w:bidi="ar-SA"/>
        </w:rPr>
      </w:pPr>
      <w:r>
        <w:rPr>
          <w:rFonts w:hint="eastAsia" w:ascii="仿宋_GB2312" w:hAnsi="宋体" w:eastAsia="仿宋_GB2312" w:cs="Times New Roman"/>
          <w:color w:val="auto"/>
          <w:kern w:val="2"/>
          <w:sz w:val="32"/>
          <w:szCs w:val="32"/>
          <w:lang w:val="en-US" w:eastAsia="zh-CN" w:bidi="ar-SA"/>
        </w:rPr>
        <w:t>通过对项目进行全面自查评价，认为该项目按时保质保量完成绩效目标，项目管理和财务管理规范、达到了预期绩效目标，评价结论：良好。</w:t>
      </w:r>
    </w:p>
    <w:p>
      <w:pPr>
        <w:keepNext w:val="0"/>
        <w:keepLines w:val="0"/>
        <w:pageBreakBefore w:val="0"/>
        <w:kinsoku/>
        <w:wordWrap/>
        <w:overflowPunct/>
        <w:topLinePunct w:val="0"/>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（二）存在的问题。</w:t>
      </w:r>
    </w:p>
    <w:p>
      <w:pPr>
        <w:keepNext w:val="0"/>
        <w:keepLines w:val="0"/>
        <w:pageBreakBefore w:val="0"/>
        <w:kinsoku/>
        <w:wordWrap/>
        <w:overflowPunct/>
        <w:topLinePunct w:val="0"/>
        <w:bidi w:val="0"/>
        <w:adjustRightInd w:val="0"/>
        <w:snapToGrid w:val="0"/>
        <w:spacing w:line="560" w:lineRule="exact"/>
        <w:ind w:firstLine="720"/>
        <w:textAlignment w:val="auto"/>
        <w:rPr>
          <w:rFonts w:hint="eastAsia" w:ascii="仿宋_GB2312" w:hAnsi="宋体" w:eastAsia="仿宋_GB2312" w:cs="Times New Roman"/>
          <w:color w:val="auto"/>
          <w:kern w:val="2"/>
          <w:sz w:val="32"/>
          <w:szCs w:val="32"/>
          <w:lang w:val="en-US" w:eastAsia="zh-CN" w:bidi="ar-SA"/>
        </w:rPr>
      </w:pPr>
      <w:r>
        <w:rPr>
          <w:rFonts w:hint="eastAsia" w:ascii="仿宋_GB2312" w:hAnsi="宋体" w:eastAsia="仿宋_GB2312" w:cs="Times New Roman"/>
          <w:color w:val="auto"/>
          <w:kern w:val="2"/>
          <w:sz w:val="32"/>
          <w:szCs w:val="32"/>
          <w:lang w:val="en-US" w:eastAsia="zh-CN" w:bidi="ar-SA"/>
        </w:rPr>
        <w:t>高标准农田建设中省资金配套一半，其余均需地方财政匹配，财政压力大，匹配困难，加之无相应的管护资金，不利于项目的后期使用和管护。</w:t>
      </w:r>
    </w:p>
    <w:p>
      <w:pPr>
        <w:keepNext w:val="0"/>
        <w:keepLines w:val="0"/>
        <w:pageBreakBefore w:val="0"/>
        <w:kinsoku/>
        <w:wordWrap/>
        <w:overflowPunct/>
        <w:topLinePunct w:val="0"/>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（三）相关建议。</w:t>
      </w:r>
    </w:p>
    <w:p>
      <w:pPr>
        <w:keepNext w:val="0"/>
        <w:keepLines w:val="0"/>
        <w:pageBreakBefore w:val="0"/>
        <w:kinsoku/>
        <w:wordWrap/>
        <w:overflowPunct/>
        <w:topLinePunct w:val="0"/>
        <w:bidi w:val="0"/>
        <w:adjustRightInd w:val="0"/>
        <w:snapToGrid w:val="0"/>
        <w:spacing w:line="560" w:lineRule="exact"/>
        <w:ind w:firstLine="720"/>
        <w:textAlignment w:val="auto"/>
        <w:rPr>
          <w:rFonts w:hint="eastAsia" w:ascii="仿宋_GB2312" w:hAnsi="宋体" w:eastAsia="仿宋_GB2312" w:cs="Times New Roman"/>
          <w:color w:val="auto"/>
          <w:kern w:val="2"/>
          <w:sz w:val="32"/>
          <w:szCs w:val="32"/>
          <w:lang w:val="en-US" w:eastAsia="zh-CN" w:bidi="ar-SA"/>
        </w:rPr>
      </w:pPr>
      <w:r>
        <w:rPr>
          <w:rFonts w:hint="eastAsia" w:ascii="仿宋_GB2312" w:hAnsi="宋体" w:eastAsia="仿宋_GB2312" w:cs="Times New Roman"/>
          <w:color w:val="auto"/>
          <w:kern w:val="2"/>
          <w:sz w:val="32"/>
          <w:szCs w:val="32"/>
          <w:lang w:val="en-US" w:eastAsia="zh-CN" w:bidi="ar-SA"/>
        </w:rPr>
        <w:t>建议中央和省级财政加大高标准农田建设资金支持力度，减少地方财政压力，同时中省配套相应的管护资金。</w:t>
      </w: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0CFF36C-919F-452B-8685-D462FB0730B1}"/>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B5EA9E40-BED3-44D8-99C2-8AA748F74578}"/>
  </w:font>
  <w:font w:name="仿宋_GB2312">
    <w:panose1 w:val="02010609030101010101"/>
    <w:charset w:val="86"/>
    <w:family w:val="modern"/>
    <w:pitch w:val="default"/>
    <w:sig w:usb0="00000001" w:usb1="080E0000" w:usb2="00000000" w:usb3="00000000" w:csb0="00040000" w:csb1="00000000"/>
    <w:embedRegular r:id="rId3" w:fontKey="{49297653-D88C-415E-9F03-E5D2D9669CCD}"/>
  </w:font>
  <w:font w:name="仿宋">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embedRegular r:id="rId4" w:fontKey="{9C61E1B6-35E1-430C-AD01-E5069D18994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xNjFmMzVhYmRmMjFjZDYxYzZmMDA5NjI2ZjA5ZjcifQ=="/>
  </w:docVars>
  <w:rsids>
    <w:rsidRoot w:val="291C455A"/>
    <w:rsid w:val="001B1813"/>
    <w:rsid w:val="002A5E78"/>
    <w:rsid w:val="003315AE"/>
    <w:rsid w:val="0049716B"/>
    <w:rsid w:val="006F6CE7"/>
    <w:rsid w:val="008D4EE8"/>
    <w:rsid w:val="00C073E9"/>
    <w:rsid w:val="00E42B1E"/>
    <w:rsid w:val="01EE7C08"/>
    <w:rsid w:val="024A17B0"/>
    <w:rsid w:val="05393890"/>
    <w:rsid w:val="055F2BCB"/>
    <w:rsid w:val="08FF5B27"/>
    <w:rsid w:val="090917CB"/>
    <w:rsid w:val="09BA691B"/>
    <w:rsid w:val="0CD30126"/>
    <w:rsid w:val="0D466608"/>
    <w:rsid w:val="0D850CC5"/>
    <w:rsid w:val="0F07275C"/>
    <w:rsid w:val="0F670FFA"/>
    <w:rsid w:val="0F772119"/>
    <w:rsid w:val="10CF132C"/>
    <w:rsid w:val="1279351E"/>
    <w:rsid w:val="13A24CF6"/>
    <w:rsid w:val="13AD082B"/>
    <w:rsid w:val="13BC0AD1"/>
    <w:rsid w:val="142F4387"/>
    <w:rsid w:val="14AA3E63"/>
    <w:rsid w:val="14BE346A"/>
    <w:rsid w:val="161377E5"/>
    <w:rsid w:val="161C0D90"/>
    <w:rsid w:val="166654D8"/>
    <w:rsid w:val="1677620B"/>
    <w:rsid w:val="17EA2883"/>
    <w:rsid w:val="18CB43A7"/>
    <w:rsid w:val="18FE477D"/>
    <w:rsid w:val="19406B43"/>
    <w:rsid w:val="19B536B9"/>
    <w:rsid w:val="19F8741E"/>
    <w:rsid w:val="1A46462D"/>
    <w:rsid w:val="1AAD645B"/>
    <w:rsid w:val="1AC83294"/>
    <w:rsid w:val="1B9B2757"/>
    <w:rsid w:val="1BF27EB6"/>
    <w:rsid w:val="1C0C71B1"/>
    <w:rsid w:val="1D1336B8"/>
    <w:rsid w:val="1DD84838"/>
    <w:rsid w:val="1EC45B21"/>
    <w:rsid w:val="1F5642E7"/>
    <w:rsid w:val="219C27CA"/>
    <w:rsid w:val="247E6772"/>
    <w:rsid w:val="248B078C"/>
    <w:rsid w:val="24A73F1B"/>
    <w:rsid w:val="25512802"/>
    <w:rsid w:val="28461C9C"/>
    <w:rsid w:val="28AF4EEF"/>
    <w:rsid w:val="291C455A"/>
    <w:rsid w:val="2A027E45"/>
    <w:rsid w:val="2A502512"/>
    <w:rsid w:val="2A8F792B"/>
    <w:rsid w:val="2C5F50DB"/>
    <w:rsid w:val="2CF25F4F"/>
    <w:rsid w:val="2CF47F19"/>
    <w:rsid w:val="2D177764"/>
    <w:rsid w:val="2DDF2977"/>
    <w:rsid w:val="2E422F06"/>
    <w:rsid w:val="2F967065"/>
    <w:rsid w:val="308710A4"/>
    <w:rsid w:val="31FB7654"/>
    <w:rsid w:val="32786EF6"/>
    <w:rsid w:val="32D00AE0"/>
    <w:rsid w:val="33013EE5"/>
    <w:rsid w:val="342D3BC8"/>
    <w:rsid w:val="34565586"/>
    <w:rsid w:val="34607C42"/>
    <w:rsid w:val="34EE34A0"/>
    <w:rsid w:val="35042CC3"/>
    <w:rsid w:val="35573068"/>
    <w:rsid w:val="358354B4"/>
    <w:rsid w:val="358F4C83"/>
    <w:rsid w:val="36926D0C"/>
    <w:rsid w:val="3762477E"/>
    <w:rsid w:val="376F7316"/>
    <w:rsid w:val="377C33B2"/>
    <w:rsid w:val="39317DFF"/>
    <w:rsid w:val="39436A6C"/>
    <w:rsid w:val="3974131F"/>
    <w:rsid w:val="39A64349"/>
    <w:rsid w:val="3A4F4B78"/>
    <w:rsid w:val="3C0B4937"/>
    <w:rsid w:val="3C6F3118"/>
    <w:rsid w:val="3DA908EF"/>
    <w:rsid w:val="414A628B"/>
    <w:rsid w:val="433E1A96"/>
    <w:rsid w:val="43667F2B"/>
    <w:rsid w:val="43C71A8C"/>
    <w:rsid w:val="44AB6CB7"/>
    <w:rsid w:val="4517259F"/>
    <w:rsid w:val="46317690"/>
    <w:rsid w:val="473F752D"/>
    <w:rsid w:val="486E697A"/>
    <w:rsid w:val="48FB5D34"/>
    <w:rsid w:val="4C5A24E4"/>
    <w:rsid w:val="4C87000A"/>
    <w:rsid w:val="4F43796C"/>
    <w:rsid w:val="4FBC7861"/>
    <w:rsid w:val="50395ABF"/>
    <w:rsid w:val="508036EE"/>
    <w:rsid w:val="51C159B6"/>
    <w:rsid w:val="53B63A6D"/>
    <w:rsid w:val="53B813F1"/>
    <w:rsid w:val="541303D5"/>
    <w:rsid w:val="54C47921"/>
    <w:rsid w:val="54E0643D"/>
    <w:rsid w:val="55665D0A"/>
    <w:rsid w:val="55821CB6"/>
    <w:rsid w:val="55C20305"/>
    <w:rsid w:val="55CE0A58"/>
    <w:rsid w:val="56472194"/>
    <w:rsid w:val="569B3804"/>
    <w:rsid w:val="57325016"/>
    <w:rsid w:val="57633422"/>
    <w:rsid w:val="57EC1669"/>
    <w:rsid w:val="581D7A74"/>
    <w:rsid w:val="586B07E0"/>
    <w:rsid w:val="589C2597"/>
    <w:rsid w:val="59246BE1"/>
    <w:rsid w:val="59EA5DA3"/>
    <w:rsid w:val="5B2B2A68"/>
    <w:rsid w:val="5B3A6B8F"/>
    <w:rsid w:val="5BBC1352"/>
    <w:rsid w:val="5BC00E43"/>
    <w:rsid w:val="5CDA5F34"/>
    <w:rsid w:val="5E435D5B"/>
    <w:rsid w:val="5E447901"/>
    <w:rsid w:val="5E4567B6"/>
    <w:rsid w:val="5F161788"/>
    <w:rsid w:val="60037EAC"/>
    <w:rsid w:val="608A5EC3"/>
    <w:rsid w:val="62083543"/>
    <w:rsid w:val="63CD43BD"/>
    <w:rsid w:val="644041B0"/>
    <w:rsid w:val="65856C59"/>
    <w:rsid w:val="673E27F9"/>
    <w:rsid w:val="674548F2"/>
    <w:rsid w:val="67D87514"/>
    <w:rsid w:val="68224C33"/>
    <w:rsid w:val="685B47A0"/>
    <w:rsid w:val="690A420D"/>
    <w:rsid w:val="6A9A6D03"/>
    <w:rsid w:val="6AF1726A"/>
    <w:rsid w:val="6AF428B7"/>
    <w:rsid w:val="6B3B04E6"/>
    <w:rsid w:val="6CA92AB2"/>
    <w:rsid w:val="6D915BF8"/>
    <w:rsid w:val="6E511DCE"/>
    <w:rsid w:val="6EF16389"/>
    <w:rsid w:val="6FC648B3"/>
    <w:rsid w:val="71CD20B4"/>
    <w:rsid w:val="734D7008"/>
    <w:rsid w:val="74D07EF1"/>
    <w:rsid w:val="757E794D"/>
    <w:rsid w:val="7671125F"/>
    <w:rsid w:val="76746FA2"/>
    <w:rsid w:val="77541BA6"/>
    <w:rsid w:val="77A310C0"/>
    <w:rsid w:val="78801C2E"/>
    <w:rsid w:val="79016D9C"/>
    <w:rsid w:val="794C5FB4"/>
    <w:rsid w:val="79A731EA"/>
    <w:rsid w:val="79FF4DD4"/>
    <w:rsid w:val="7AE53C66"/>
    <w:rsid w:val="7B116B6D"/>
    <w:rsid w:val="7B135CFC"/>
    <w:rsid w:val="7B23700B"/>
    <w:rsid w:val="7B5462DF"/>
    <w:rsid w:val="7C6C2B2C"/>
    <w:rsid w:val="7CAD6D69"/>
    <w:rsid w:val="7CE0713F"/>
    <w:rsid w:val="7D026352"/>
    <w:rsid w:val="7D0A5F6A"/>
    <w:rsid w:val="7E130E4E"/>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table of figures"/>
    <w:basedOn w:val="1"/>
    <w:next w:val="1"/>
    <w:qFormat/>
    <w:uiPriority w:val="0"/>
    <w:pPr>
      <w:ind w:left="200" w:leftChars="200" w:hanging="200" w:hangingChars="200"/>
    </w:pPr>
    <w:rPr>
      <w:rFonts w:eastAsia="仿宋"/>
      <w:sz w:val="32"/>
      <w:szCs w:val="24"/>
    </w:rPr>
  </w:style>
  <w:style w:type="paragraph" w:styleId="3">
    <w:name w:val="Body Text Indent"/>
    <w:basedOn w:val="1"/>
    <w:qFormat/>
    <w:uiPriority w:val="0"/>
    <w:pPr>
      <w:spacing w:after="120"/>
      <w:ind w:left="420" w:leftChars="200"/>
    </w:pPr>
    <w:rPr>
      <w:rFonts w:eastAsia="仿宋_GB2312"/>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Body Text First Indent 2"/>
    <w:basedOn w:val="3"/>
    <w:qFormat/>
    <w:uiPriority w:val="0"/>
    <w:pPr>
      <w:spacing w:after="0"/>
      <w:ind w:left="0" w:leftChars="0"/>
    </w:pPr>
  </w:style>
  <w:style w:type="paragraph" w:customStyle="1" w:styleId="9">
    <w:name w:val="Default"/>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paragraph" w:customStyle="1" w:styleId="10">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3024</Words>
  <Characters>3216</Characters>
  <Lines>9</Lines>
  <Paragraphs>2</Paragraphs>
  <TotalTime>0</TotalTime>
  <ScaleCrop>false</ScaleCrop>
  <LinksUpToDate>false</LinksUpToDate>
  <CharactersWithSpaces>3220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ebzhanglj</cp:lastModifiedBy>
  <cp:lastPrinted>2022-03-15T02:21:00Z</cp:lastPrinted>
  <dcterms:modified xsi:type="dcterms:W3CDTF">2023-11-24T02:37:11Z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9E55ECA04A6E4CF59FD9E7D6EB6613BA_13</vt:lpwstr>
  </property>
</Properties>
</file>