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峨边彝族自治县大堡镇田园综合体策划及总体规划</w:t>
      </w:r>
      <w:r>
        <w:rPr>
          <w:rFonts w:hint="eastAsia" w:ascii="方正小标宋简体" w:eastAsia="方正小标宋简体"/>
          <w:sz w:val="44"/>
          <w:szCs w:val="44"/>
        </w:rPr>
        <w:t>自评报告</w:t>
      </w:r>
    </w:p>
    <w:p>
      <w:pPr>
        <w:bidi w:val="0"/>
        <w:ind w:firstLine="640" w:firstLineChars="200"/>
        <w:jc w:val="center"/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>(农业农村局2022年乡村振兴补助资金项目（县级）+2019年高标准农田建设项目和耕地质量调查监测与评价项目资金)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rPr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hAnsi="黑体" w:eastAsia="黑体"/>
          <w:bCs/>
          <w:sz w:val="32"/>
          <w:szCs w:val="32"/>
          <w:lang w:val="en-US" w:eastAsia="zh-CN"/>
        </w:rPr>
      </w:pPr>
      <w:r>
        <w:rPr>
          <w:rFonts w:hint="eastAsia" w:hAnsi="黑体" w:eastAsia="黑体"/>
          <w:bCs/>
          <w:sz w:val="32"/>
          <w:szCs w:val="32"/>
        </w:rPr>
        <w:t>一、项目</w:t>
      </w:r>
      <w:r>
        <w:rPr>
          <w:rFonts w:hint="eastAsia" w:hAnsi="黑体" w:eastAsia="黑体"/>
          <w:bCs/>
          <w:sz w:val="32"/>
          <w:szCs w:val="32"/>
          <w:lang w:val="en-US" w:eastAsia="zh-CN"/>
        </w:rPr>
        <w:t>概况</w:t>
      </w:r>
    </w:p>
    <w:p>
      <w:pPr>
        <w:bidi w:val="0"/>
        <w:ind w:firstLine="640" w:firstLineChars="200"/>
        <w:rPr>
          <w:rFonts w:hint="eastAsia" w:ascii="仿宋_GB2312" w:hAnsi="黑体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>为大堡镇田园综合体项目编制总体规划及策划。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720" w:firstLineChars="0"/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zh-CN"/>
        </w:rPr>
      </w:pPr>
      <w:r>
        <w:rPr>
          <w:rFonts w:hint="eastAsia" w:ascii="楷体_GB2312" w:hAnsi="楷体_GB2312" w:eastAsia="楷体_GB2312" w:cs="楷体_GB2312"/>
          <w:b w:val="0"/>
          <w:bCs/>
          <w:kern w:val="2"/>
          <w:sz w:val="32"/>
          <w:szCs w:val="32"/>
          <w:lang w:val="zh-CN" w:eastAsia="zh-CN" w:bidi="ar-SA"/>
        </w:rPr>
        <w:t>（二）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zh-CN"/>
        </w:rPr>
        <w:t>项目绩效目标</w:t>
      </w:r>
    </w:p>
    <w:p>
      <w:pPr>
        <w:bidi w:val="0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>为大堡镇田园综合体项目编制总体规划及策划。</w:t>
      </w:r>
      <w:r>
        <w:rPr>
          <w:rFonts w:hint="eastAsia" w:ascii="仿宋_GB2312" w:hAnsi="宋体"/>
          <w:b w:val="0"/>
          <w:bCs w:val="0"/>
          <w:sz w:val="32"/>
          <w:szCs w:val="32"/>
          <w:lang w:val="zh-CN"/>
        </w:rPr>
        <w:t>申报内容与项目实施相符，申报目标合理可行。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/>
          <w:sz w:val="32"/>
          <w:szCs w:val="32"/>
          <w:lang w:val="zh-CN"/>
        </w:rPr>
        <w:t>（三）项目自评步骤及方法</w:t>
      </w:r>
    </w:p>
    <w:p>
      <w:pPr>
        <w:adjustRightInd w:val="0"/>
        <w:snapToGrid w:val="0"/>
        <w:spacing w:line="600" w:lineRule="exact"/>
        <w:ind w:firstLine="720"/>
        <w:rPr>
          <w:rStyle w:val="13"/>
          <w:rFonts w:hint="default" w:ascii="仿宋_GB2312" w:hAnsi="Tahoma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/>
          <w:sz w:val="32"/>
          <w:szCs w:val="32"/>
          <w:lang w:val="zh-CN"/>
        </w:rPr>
        <w:t>单位成立了绩效自评领导小组，领导小组办公室设在</w:t>
      </w:r>
      <w:r>
        <w:rPr>
          <w:rFonts w:hint="eastAsia" w:ascii="仿宋_GB2312" w:hAnsi="宋体"/>
          <w:sz w:val="32"/>
          <w:szCs w:val="32"/>
          <w:lang w:val="en-US" w:eastAsia="zh-CN"/>
        </w:rPr>
        <w:t>项目</w:t>
      </w:r>
      <w:r>
        <w:rPr>
          <w:rFonts w:hint="eastAsia" w:ascii="仿宋_GB2312" w:hAnsi="宋体"/>
          <w:sz w:val="32"/>
          <w:szCs w:val="32"/>
          <w:lang w:val="zh-CN"/>
        </w:rPr>
        <w:t>股，负责牵头开展项目绩效自评工作。自评小组依据专项资金绩效考评指标体系，对项目开展综合评分，全面考量项目实施程序的规范性、财务管理的合规性，以及项目执行率和目标绩效完成情况。</w:t>
      </w:r>
      <w:r>
        <w:rPr>
          <w:rStyle w:val="13"/>
          <w:rFonts w:hint="eastAsia" w:ascii="仿宋_GB2312" w:hAnsi="Tahoma"/>
          <w:kern w:val="0"/>
          <w:sz w:val="32"/>
          <w:szCs w:val="32"/>
          <w:lang w:val="en-US" w:eastAsia="zh-CN" w:bidi="ar-SA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Ansi="黑体" w:eastAsia="黑体"/>
          <w:bCs/>
          <w:sz w:val="32"/>
          <w:szCs w:val="32"/>
        </w:rPr>
      </w:pPr>
      <w:r>
        <w:rPr>
          <w:rStyle w:val="13"/>
          <w:rFonts w:hint="eastAsia" w:ascii="仿宋_GB2312" w:hAnsi="Tahoma"/>
          <w:kern w:val="0"/>
          <w:sz w:val="32"/>
          <w:szCs w:val="32"/>
          <w:lang w:val="en-US" w:eastAsia="zh-CN" w:bidi="ar-SA"/>
        </w:rPr>
        <w:t xml:space="preserve"> </w:t>
      </w:r>
      <w:r>
        <w:rPr>
          <w:rFonts w:hint="eastAsia" w:hAnsi="黑体" w:eastAsia="黑体"/>
          <w:bCs/>
          <w:sz w:val="32"/>
          <w:szCs w:val="32"/>
        </w:rPr>
        <w:t>二、资金到位及支出情况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ascii="楷体_GB2312" w:eastAsia="楷体_GB2312"/>
          <w:bCs/>
          <w:color w:val="000000"/>
          <w:sz w:val="32"/>
          <w:szCs w:val="32"/>
        </w:rPr>
      </w:pPr>
      <w:r>
        <w:rPr>
          <w:rFonts w:hint="eastAsia" w:ascii="楷体_GB2312" w:eastAsia="楷体_GB2312"/>
          <w:bCs/>
          <w:color w:val="000000"/>
          <w:sz w:val="32"/>
          <w:szCs w:val="32"/>
        </w:rPr>
        <w:t>（一）资金到位情况</w:t>
      </w:r>
    </w:p>
    <w:p>
      <w:pPr>
        <w:adjustRightInd w:val="0"/>
        <w:snapToGrid w:val="0"/>
        <w:spacing w:line="600" w:lineRule="exact"/>
        <w:ind w:firstLine="720"/>
        <w:rPr>
          <w:rStyle w:val="13"/>
          <w:rFonts w:hint="eastAsia" w:ascii="仿宋_GB2312" w:hAnsi="Tahoma" w:eastAsia="仿宋_GB2312"/>
          <w:color w:val="FF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2019年高标准农田建设项目和耕地质量调查监测与评价项目资金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200万元，农业农村局2022年乡村振兴补助资金项目（县级）499.4万元。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资金实际到位情况与资金计划符合，资金到位情况及时。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楷体_GB2312" w:eastAsia="楷体_GB2312"/>
          <w:bCs/>
          <w:color w:val="000000"/>
          <w:sz w:val="32"/>
          <w:szCs w:val="32"/>
        </w:rPr>
      </w:pPr>
      <w:r>
        <w:rPr>
          <w:rFonts w:hint="eastAsia" w:ascii="楷体_GB2312" w:eastAsia="楷体_GB2312"/>
          <w:bCs/>
          <w:color w:val="000000"/>
          <w:sz w:val="32"/>
          <w:szCs w:val="32"/>
        </w:rPr>
        <w:t>（二）投资完成情况</w:t>
      </w:r>
    </w:p>
    <w:p>
      <w:pPr>
        <w:adjustRightInd w:val="0"/>
        <w:snapToGrid w:val="0"/>
        <w:spacing w:line="600" w:lineRule="exact"/>
        <w:ind w:firstLine="720"/>
        <w:rPr>
          <w:rStyle w:val="13"/>
          <w:rFonts w:hint="eastAsia" w:ascii="仿宋_GB2312" w:hAnsi="Tahoma" w:eastAsia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项目资金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2022年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实际支出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99.4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万元，支付情况按照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资金文件下达后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支付。支付依据、凭证等合规合法，资金支付与预算相符，在预算控制范围内。</w:t>
      </w:r>
      <w:r>
        <w:rPr>
          <w:rStyle w:val="13"/>
          <w:rFonts w:hint="eastAsia" w:ascii="仿宋_GB2312" w:hAnsi="Tahoma" w:eastAsia="仿宋_GB2312"/>
          <w:kern w:val="0"/>
          <w:sz w:val="32"/>
          <w:szCs w:val="32"/>
          <w:lang w:val="en-US" w:eastAsia="zh-CN" w:bidi="ar-SA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楷体_GB2312" w:eastAsia="楷体_GB2312"/>
          <w:bCs/>
          <w:color w:val="000000"/>
          <w:sz w:val="32"/>
          <w:szCs w:val="32"/>
        </w:rPr>
      </w:pPr>
      <w:r>
        <w:rPr>
          <w:rFonts w:hint="eastAsia" w:ascii="楷体_GB2312" w:eastAsia="楷体_GB2312"/>
          <w:bCs/>
          <w:color w:val="000000"/>
          <w:sz w:val="32"/>
          <w:szCs w:val="32"/>
        </w:rPr>
        <w:t>（</w:t>
      </w:r>
      <w:r>
        <w:rPr>
          <w:rFonts w:hint="eastAsia" w:ascii="楷体_GB2312" w:eastAsia="楷体_GB2312"/>
          <w:bCs/>
          <w:color w:val="000000"/>
          <w:sz w:val="32"/>
          <w:szCs w:val="32"/>
          <w:lang w:val="en-US" w:eastAsia="zh-CN"/>
        </w:rPr>
        <w:t>三</w:t>
      </w:r>
      <w:r>
        <w:rPr>
          <w:rFonts w:hint="eastAsia" w:ascii="楷体_GB2312" w:eastAsia="楷体_GB2312"/>
          <w:bCs/>
          <w:color w:val="000000"/>
          <w:sz w:val="32"/>
          <w:szCs w:val="32"/>
        </w:rPr>
        <w:t>）资金管理情况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textAlignment w:val="auto"/>
        <w:rPr>
          <w:rStyle w:val="13"/>
          <w:rFonts w:hint="default" w:ascii="仿宋_GB2312" w:hAnsi="Tahoma" w:eastAsia="仿宋_GB2312"/>
          <w:kern w:val="0"/>
          <w:sz w:val="32"/>
          <w:szCs w:val="32"/>
          <w:lang w:val="en-US" w:eastAsia="zh-CN" w:bidi="ar-SA"/>
        </w:rPr>
      </w:pPr>
      <w:r>
        <w:rPr>
          <w:rStyle w:val="13"/>
          <w:rFonts w:hint="eastAsia" w:ascii="仿宋_GB2312" w:hAnsi="Tahoma" w:eastAsia="仿宋_GB2312"/>
          <w:kern w:val="0"/>
          <w:sz w:val="32"/>
          <w:szCs w:val="32"/>
          <w:lang w:val="en-US" w:eastAsia="zh-CN" w:bidi="ar-SA"/>
        </w:rPr>
        <w:t xml:space="preserve">资金使用管理严格按照川财农〔2019〕45号关于印发《四川省乡村振兴转移支付资金管理办法》和峨边府办发[2018]25号关于印发彝族自治县统筹整合资金使用、财政涉农资金管理办法》执行，设立专户，做到财务报账资料审核严谨，会计核算规范的报账方式，无资金使用方面的违规违纪情况。 </w:t>
      </w:r>
    </w:p>
    <w:p>
      <w:pPr>
        <w:spacing w:line="620" w:lineRule="exact"/>
        <w:ind w:firstLine="640" w:firstLineChars="20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三</w:t>
      </w:r>
      <w:r>
        <w:rPr>
          <w:rFonts w:ascii="黑体" w:hAnsi="黑体" w:eastAsia="黑体"/>
          <w:bCs/>
          <w:sz w:val="32"/>
          <w:szCs w:val="32"/>
        </w:rPr>
        <w:t>、</w:t>
      </w:r>
      <w:r>
        <w:rPr>
          <w:rFonts w:hint="eastAsia" w:ascii="黑体" w:hAnsi="黑体" w:eastAsia="黑体"/>
          <w:bCs/>
          <w:color w:val="000000"/>
          <w:sz w:val="32"/>
          <w:szCs w:val="32"/>
        </w:rPr>
        <w:t>项目</w:t>
      </w:r>
      <w:r>
        <w:rPr>
          <w:rFonts w:hint="eastAsia" w:ascii="黑体" w:hAnsi="黑体" w:eastAsia="黑体"/>
          <w:bCs/>
          <w:color w:val="000000"/>
          <w:sz w:val="32"/>
          <w:szCs w:val="32"/>
          <w:lang w:val="en-US" w:eastAsia="zh-CN"/>
        </w:rPr>
        <w:t>设施管理</w:t>
      </w:r>
      <w:r>
        <w:rPr>
          <w:rFonts w:hint="eastAsia" w:ascii="黑体" w:hAnsi="黑体" w:eastAsia="黑体"/>
          <w:bCs/>
          <w:color w:val="000000"/>
          <w:sz w:val="32"/>
          <w:szCs w:val="32"/>
        </w:rPr>
        <w:t>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楷体_GB2312" w:eastAsia="楷体_GB2312"/>
          <w:bCs/>
          <w:color w:val="000000"/>
          <w:sz w:val="32"/>
          <w:szCs w:val="32"/>
        </w:rPr>
      </w:pPr>
      <w:r>
        <w:rPr>
          <w:rFonts w:hint="eastAsia" w:ascii="楷体_GB2312" w:eastAsia="楷体_GB2312"/>
          <w:bCs/>
          <w:color w:val="000000"/>
          <w:sz w:val="32"/>
          <w:szCs w:val="32"/>
          <w:lang w:eastAsia="zh-CN"/>
        </w:rPr>
        <w:t>（</w:t>
      </w:r>
      <w:r>
        <w:rPr>
          <w:rFonts w:hint="eastAsia" w:ascii="楷体_GB2312" w:eastAsia="楷体_GB2312"/>
          <w:bCs/>
          <w:color w:val="000000"/>
          <w:sz w:val="32"/>
          <w:szCs w:val="32"/>
          <w:lang w:val="en-US" w:eastAsia="zh-CN"/>
        </w:rPr>
        <w:t>一</w:t>
      </w:r>
      <w:r>
        <w:rPr>
          <w:rFonts w:hint="eastAsia" w:ascii="楷体_GB2312" w:eastAsia="楷体_GB2312"/>
          <w:bCs/>
          <w:color w:val="000000"/>
          <w:sz w:val="32"/>
          <w:szCs w:val="32"/>
          <w:lang w:eastAsia="zh-CN"/>
        </w:rPr>
        <w:t>）</w:t>
      </w:r>
      <w:r>
        <w:rPr>
          <w:rFonts w:hint="eastAsia" w:ascii="楷体_GB2312" w:eastAsia="楷体_GB2312"/>
          <w:bCs/>
          <w:color w:val="000000"/>
          <w:sz w:val="32"/>
          <w:szCs w:val="32"/>
        </w:rPr>
        <w:t>监督管理情况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textAlignment w:val="auto"/>
        <w:rPr>
          <w:rStyle w:val="13"/>
          <w:rFonts w:hint="default" w:ascii="仿宋_GB2312" w:hAnsi="Tahoma" w:eastAsia="仿宋_GB2312"/>
          <w:kern w:val="0"/>
          <w:sz w:val="32"/>
          <w:szCs w:val="32"/>
          <w:lang w:val="en-US" w:eastAsia="zh-CN" w:bidi="ar-SA"/>
        </w:rPr>
      </w:pPr>
      <w:r>
        <w:rPr>
          <w:rStyle w:val="13"/>
          <w:rFonts w:hint="eastAsia" w:ascii="仿宋_GB2312" w:hAnsi="Tahoma" w:eastAsia="仿宋_GB2312"/>
          <w:kern w:val="0"/>
          <w:sz w:val="32"/>
          <w:szCs w:val="32"/>
          <w:lang w:val="en-US" w:eastAsia="zh-CN" w:bidi="ar-SA"/>
        </w:rPr>
        <w:t>成立</w:t>
      </w:r>
      <w:r>
        <w:rPr>
          <w:rStyle w:val="13"/>
          <w:rFonts w:hint="eastAsia" w:ascii="仿宋_GB2312" w:hAnsi="Tahoma"/>
          <w:kern w:val="0"/>
          <w:sz w:val="32"/>
          <w:szCs w:val="32"/>
          <w:lang w:val="en-US" w:eastAsia="zh-CN" w:bidi="ar-SA"/>
        </w:rPr>
        <w:t>大堡镇田园综合体</w:t>
      </w:r>
      <w:r>
        <w:rPr>
          <w:rStyle w:val="13"/>
          <w:rFonts w:hint="eastAsia" w:ascii="仿宋_GB2312" w:hAnsi="Tahoma" w:eastAsia="仿宋_GB2312"/>
          <w:kern w:val="0"/>
          <w:sz w:val="32"/>
          <w:szCs w:val="32"/>
          <w:lang w:val="en-US" w:eastAsia="zh-CN" w:bidi="ar-SA"/>
        </w:rPr>
        <w:t xml:space="preserve">管委会工作机构，建立健全工作协调机制，分工明确，权责清晰，定期接受省市调度督导，接受县纪委巡视、巡查，接受县财政监督指导。我单位认真开展自查自纠，按时报送项目阶段性执行情况 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楷体_GB2312" w:eastAsia="楷体_GB2312"/>
          <w:bCs/>
          <w:color w:val="000000"/>
          <w:sz w:val="32"/>
          <w:szCs w:val="32"/>
          <w:lang w:eastAsia="zh-CN"/>
        </w:rPr>
      </w:pPr>
      <w:r>
        <w:rPr>
          <w:rFonts w:hint="eastAsia" w:ascii="楷体_GB2312" w:eastAsia="楷体_GB2312"/>
          <w:bCs/>
          <w:color w:val="000000"/>
          <w:sz w:val="32"/>
          <w:szCs w:val="32"/>
          <w:lang w:eastAsia="zh-CN"/>
        </w:rPr>
        <w:t>（</w:t>
      </w:r>
      <w:r>
        <w:rPr>
          <w:rFonts w:hint="eastAsia" w:ascii="楷体_GB2312" w:eastAsia="楷体_GB2312"/>
          <w:bCs/>
          <w:color w:val="000000"/>
          <w:sz w:val="32"/>
          <w:szCs w:val="32"/>
          <w:lang w:val="en-US" w:eastAsia="zh-CN"/>
        </w:rPr>
        <w:t>二</w:t>
      </w:r>
      <w:r>
        <w:rPr>
          <w:rFonts w:hint="eastAsia" w:ascii="楷体_GB2312" w:eastAsia="楷体_GB2312"/>
          <w:bCs/>
          <w:color w:val="000000"/>
          <w:sz w:val="32"/>
          <w:szCs w:val="32"/>
          <w:lang w:eastAsia="zh-CN"/>
        </w:rPr>
        <w:t>）项目推进情况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textAlignment w:val="auto"/>
        <w:rPr>
          <w:rStyle w:val="13"/>
          <w:rFonts w:hint="default" w:ascii="仿宋_GB2312" w:hAnsi="Tahoma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>大堡镇田园综合体项目编制总体规划及策划</w:t>
      </w:r>
      <w:r>
        <w:rPr>
          <w:rStyle w:val="13"/>
          <w:rFonts w:hint="eastAsia" w:ascii="仿宋_GB2312" w:hAnsi="Tahoma"/>
          <w:kern w:val="0"/>
          <w:sz w:val="32"/>
          <w:szCs w:val="32"/>
          <w:lang w:val="en-US" w:eastAsia="zh-CN" w:bidi="ar-SA"/>
        </w:rPr>
        <w:t>已全部完成编制。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楷体_GB2312" w:eastAsia="楷体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Cs/>
          <w:color w:val="000000"/>
          <w:sz w:val="32"/>
          <w:szCs w:val="32"/>
          <w:lang w:val="en-US" w:eastAsia="zh-CN"/>
        </w:rPr>
        <w:t>（三）项目材料报送情况</w:t>
      </w:r>
    </w:p>
    <w:p>
      <w:pPr>
        <w:spacing w:line="620" w:lineRule="exact"/>
        <w:ind w:firstLine="640" w:firstLineChars="200"/>
        <w:rPr>
          <w:rFonts w:hint="eastAsia" w:ascii="仿宋_GB2312" w:hAnsi="黑体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Times New Roman"/>
          <w:bCs/>
          <w:sz w:val="32"/>
          <w:szCs w:val="32"/>
          <w:lang w:val="en-US" w:eastAsia="zh-CN"/>
        </w:rPr>
        <w:t>日常工作推进监管到位，按时报送项目</w:t>
      </w:r>
      <w:r>
        <w:rPr>
          <w:rFonts w:hint="eastAsia" w:ascii="仿宋_GB2312" w:hAnsi="黑体" w:cs="Times New Roman"/>
          <w:bCs/>
          <w:sz w:val="32"/>
          <w:szCs w:val="32"/>
          <w:lang w:val="en-US" w:eastAsia="zh-CN"/>
        </w:rPr>
        <w:t>编制</w:t>
      </w:r>
      <w:r>
        <w:rPr>
          <w:rFonts w:hint="eastAsia" w:ascii="仿宋_GB2312" w:hAnsi="黑体" w:eastAsia="仿宋_GB2312" w:cs="Times New Roman"/>
          <w:bCs/>
          <w:sz w:val="32"/>
          <w:szCs w:val="32"/>
          <w:lang w:val="en-US" w:eastAsia="zh-CN"/>
        </w:rPr>
        <w:t xml:space="preserve">推进情况。定期开展绩效自评和总结工作。 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sz w:val="32"/>
          <w:szCs w:val="32"/>
          <w:lang w:val="zh-CN"/>
        </w:rPr>
      </w:pPr>
      <w:r>
        <w:rPr>
          <w:rFonts w:hint="eastAsia" w:ascii="黑体" w:hAnsi="宋体" w:eastAsia="黑体"/>
          <w:sz w:val="32"/>
          <w:szCs w:val="32"/>
        </w:rPr>
        <w:t>四、项目绩效情况</w:t>
      </w:r>
      <w:r>
        <w:rPr>
          <w:rFonts w:hint="eastAsia" w:ascii="仿宋_GB2312" w:hAnsi="宋体"/>
          <w:sz w:val="32"/>
          <w:szCs w:val="32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 w:val="0"/>
          <w:bCs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/>
          <w:sz w:val="32"/>
          <w:szCs w:val="32"/>
          <w:lang w:val="zh-CN"/>
        </w:rPr>
        <w:t>（一）项目完成情况。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textAlignment w:val="auto"/>
        <w:rPr>
          <w:rStyle w:val="13"/>
          <w:rFonts w:hint="default" w:ascii="仿宋_GB2312" w:hAnsi="Tahoma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>大堡镇田园综合体项目编制总体规划及策划</w:t>
      </w:r>
      <w:r>
        <w:rPr>
          <w:rStyle w:val="13"/>
          <w:rFonts w:hint="eastAsia" w:ascii="仿宋_GB2312" w:hAnsi="Tahoma"/>
          <w:kern w:val="0"/>
          <w:sz w:val="32"/>
          <w:szCs w:val="32"/>
          <w:lang w:val="en-US" w:eastAsia="zh-CN" w:bidi="ar-SA"/>
        </w:rPr>
        <w:t>已全部完成编制，通过县级评审及县规划编制委员会。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 w:val="0"/>
          <w:bCs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/>
          <w:sz w:val="32"/>
          <w:szCs w:val="32"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sz w:val="32"/>
          <w:szCs w:val="32"/>
          <w:lang w:val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通过规划编制掌握项目建设发展科学可行性，项目建设意义，项目建成后改善</w:t>
      </w: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乡镇的整体环境，通过环境改善，绿地增加，使得周边土地增值，产生土地收益。</w:t>
      </w:r>
      <w:r>
        <w:rPr>
          <w:rFonts w:hint="default" w:ascii="Times New Roman" w:hAnsi="Times New Roman" w:cs="Times New Roman"/>
          <w:color w:val="auto"/>
          <w:sz w:val="32"/>
          <w:szCs w:val="32"/>
        </w:rPr>
        <w:t>工程建设完成后能大大提升</w:t>
      </w:r>
      <w:r>
        <w:rPr>
          <w:rFonts w:hint="default" w:ascii="Times New Roman" w:hAnsi="Times New Roman" w:cs="Times New Roman"/>
          <w:color w:val="auto"/>
          <w:sz w:val="32"/>
          <w:szCs w:val="32"/>
          <w:lang w:eastAsia="zh-CN"/>
        </w:rPr>
        <w:t>峨边</w:t>
      </w:r>
      <w:r>
        <w:rPr>
          <w:rFonts w:hint="default" w:ascii="Times New Roman" w:hAnsi="Times New Roman" w:cs="Times New Roman"/>
          <w:color w:val="auto"/>
          <w:sz w:val="32"/>
          <w:szCs w:val="32"/>
        </w:rPr>
        <w:t>乡村地区的人居环境，促进美丽宜居村庄和美丽</w:t>
      </w:r>
      <w:r>
        <w:rPr>
          <w:rFonts w:hint="default" w:ascii="Times New Roman" w:hAnsi="Times New Roman" w:cs="Times New Roman"/>
          <w:color w:val="auto"/>
          <w:sz w:val="32"/>
          <w:szCs w:val="32"/>
          <w:lang w:eastAsia="zh-CN"/>
        </w:rPr>
        <w:t>乡村</w:t>
      </w:r>
      <w:r>
        <w:rPr>
          <w:rFonts w:hint="default" w:ascii="Times New Roman" w:hAnsi="Times New Roman" w:cs="Times New Roman"/>
          <w:color w:val="auto"/>
          <w:sz w:val="32"/>
          <w:szCs w:val="32"/>
        </w:rPr>
        <w:t>建设，项目的建设是落实乡村振兴战略的重要举措。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 w:val="0"/>
          <w:bCs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/>
          <w:sz w:val="32"/>
          <w:szCs w:val="32"/>
          <w:lang w:val="zh-CN"/>
        </w:rPr>
        <w:t>（一）评价结论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color w:val="FF0000"/>
          <w:sz w:val="32"/>
          <w:szCs w:val="32"/>
          <w:bdr w:val="single" w:color="auto" w:sz="4" w:space="0"/>
          <w:lang w:val="zh-CN"/>
        </w:rPr>
      </w:pPr>
      <w:r>
        <w:rPr>
          <w:rFonts w:hint="eastAsia" w:ascii="仿宋_GB2312" w:hAnsi="宋体"/>
          <w:color w:val="auto"/>
          <w:sz w:val="32"/>
          <w:szCs w:val="32"/>
          <w:lang w:val="zh-CN"/>
        </w:rPr>
        <w:t>通过综合评价，一是严格</w:t>
      </w:r>
      <w:r>
        <w:rPr>
          <w:rFonts w:hint="eastAsia" w:ascii="仿宋_GB2312" w:hAnsi="宋体"/>
          <w:color w:val="auto"/>
          <w:sz w:val="32"/>
          <w:szCs w:val="32"/>
          <w:lang w:val="en-US" w:eastAsia="zh-CN"/>
        </w:rPr>
        <w:t>资料审核</w:t>
      </w:r>
      <w:r>
        <w:rPr>
          <w:rFonts w:hint="eastAsia" w:ascii="仿宋_GB2312" w:hAnsi="宋体"/>
          <w:color w:val="auto"/>
          <w:sz w:val="32"/>
          <w:szCs w:val="32"/>
          <w:lang w:val="zh-CN"/>
        </w:rPr>
        <w:t>，强化</w:t>
      </w:r>
      <w:r>
        <w:rPr>
          <w:rFonts w:hint="eastAsia" w:ascii="仿宋_GB2312" w:hAnsi="宋体"/>
          <w:color w:val="auto"/>
          <w:sz w:val="32"/>
          <w:szCs w:val="32"/>
          <w:lang w:val="en-US" w:eastAsia="zh-CN"/>
        </w:rPr>
        <w:t>企业</w:t>
      </w:r>
      <w:r>
        <w:rPr>
          <w:rFonts w:hint="eastAsia" w:ascii="仿宋_GB2312" w:hAnsi="宋体"/>
          <w:color w:val="auto"/>
          <w:sz w:val="32"/>
          <w:szCs w:val="32"/>
          <w:lang w:val="zh-CN"/>
        </w:rPr>
        <w:t>监管，使该项目得到有序推进，确保了项目任务按时、保质、保量完成。</w:t>
      </w:r>
      <w:r>
        <w:rPr>
          <w:rFonts w:hint="eastAsia" w:ascii="仿宋_GB2312" w:hAnsi="宋体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hAnsi="宋体"/>
          <w:color w:val="auto"/>
          <w:sz w:val="32"/>
          <w:szCs w:val="32"/>
          <w:lang w:val="zh-CN"/>
        </w:rPr>
        <w:t>是在项目绩效方面实现了项目预期目的，保障了各项工作正常开展，达成了预期指标。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 w:val="0"/>
          <w:bCs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/>
          <w:sz w:val="32"/>
          <w:szCs w:val="32"/>
          <w:lang w:val="zh-CN"/>
        </w:rPr>
        <w:t>（二）存在的问题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无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/>
          <w:sz w:val="32"/>
          <w:szCs w:val="32"/>
          <w:lang w:val="zh-CN"/>
        </w:rPr>
        <w:t>（三）相关建议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无</w:t>
      </w:r>
    </w:p>
    <w:p>
      <w:pPr>
        <w:spacing w:line="620" w:lineRule="exact"/>
        <w:ind w:firstLine="640" w:firstLineChars="200"/>
        <w:rPr>
          <w:rFonts w:hint="default" w:ascii="仿宋_GB2312" w:hAnsi="黑体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Times New Roman"/>
          <w:bCs/>
          <w:sz w:val="32"/>
          <w:szCs w:val="32"/>
          <w:lang w:val="en-US" w:eastAsia="zh-CN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50"/>
  <w:drawingGridVerticalSpacing w:val="5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UxNjFmMzVhYmRmMjFjZDYxYzZmMDA5NjI2ZjA5ZjcifQ=="/>
  </w:docVars>
  <w:rsids>
    <w:rsidRoot w:val="00F57F82"/>
    <w:rsid w:val="000101E1"/>
    <w:rsid w:val="00013704"/>
    <w:rsid w:val="00035C97"/>
    <w:rsid w:val="000732DA"/>
    <w:rsid w:val="00075CDC"/>
    <w:rsid w:val="000B1E8F"/>
    <w:rsid w:val="000B44DD"/>
    <w:rsid w:val="000B6964"/>
    <w:rsid w:val="000D70A6"/>
    <w:rsid w:val="00103D16"/>
    <w:rsid w:val="00111638"/>
    <w:rsid w:val="00111928"/>
    <w:rsid w:val="0012041C"/>
    <w:rsid w:val="00136AFD"/>
    <w:rsid w:val="00164D84"/>
    <w:rsid w:val="00172D91"/>
    <w:rsid w:val="00173016"/>
    <w:rsid w:val="0017509C"/>
    <w:rsid w:val="001808CA"/>
    <w:rsid w:val="001A4E46"/>
    <w:rsid w:val="001E03FE"/>
    <w:rsid w:val="002123E8"/>
    <w:rsid w:val="00250053"/>
    <w:rsid w:val="0029569C"/>
    <w:rsid w:val="002A5FA7"/>
    <w:rsid w:val="002B3EEF"/>
    <w:rsid w:val="002B54E4"/>
    <w:rsid w:val="002E5562"/>
    <w:rsid w:val="002F6705"/>
    <w:rsid w:val="00301FC0"/>
    <w:rsid w:val="00336A16"/>
    <w:rsid w:val="003663A3"/>
    <w:rsid w:val="00387DD5"/>
    <w:rsid w:val="003B0980"/>
    <w:rsid w:val="003C6374"/>
    <w:rsid w:val="003D2CB9"/>
    <w:rsid w:val="00413F12"/>
    <w:rsid w:val="00493012"/>
    <w:rsid w:val="004D2137"/>
    <w:rsid w:val="005D1514"/>
    <w:rsid w:val="005D7CC3"/>
    <w:rsid w:val="005E65C6"/>
    <w:rsid w:val="00615B16"/>
    <w:rsid w:val="006218A1"/>
    <w:rsid w:val="006229E2"/>
    <w:rsid w:val="00682A10"/>
    <w:rsid w:val="006A30E4"/>
    <w:rsid w:val="006A74BF"/>
    <w:rsid w:val="006C1CEE"/>
    <w:rsid w:val="006D5A86"/>
    <w:rsid w:val="00707C2E"/>
    <w:rsid w:val="00722A7D"/>
    <w:rsid w:val="00724A6B"/>
    <w:rsid w:val="0073331B"/>
    <w:rsid w:val="00733C2D"/>
    <w:rsid w:val="00756C7F"/>
    <w:rsid w:val="00767353"/>
    <w:rsid w:val="007D7E6E"/>
    <w:rsid w:val="00806713"/>
    <w:rsid w:val="00850797"/>
    <w:rsid w:val="00853FC4"/>
    <w:rsid w:val="00862EE9"/>
    <w:rsid w:val="008720F1"/>
    <w:rsid w:val="00882EFA"/>
    <w:rsid w:val="008B2F56"/>
    <w:rsid w:val="008F0996"/>
    <w:rsid w:val="00903791"/>
    <w:rsid w:val="009326CA"/>
    <w:rsid w:val="009600BD"/>
    <w:rsid w:val="00961C83"/>
    <w:rsid w:val="009922BC"/>
    <w:rsid w:val="009C7C42"/>
    <w:rsid w:val="009E0D8C"/>
    <w:rsid w:val="00A02AF3"/>
    <w:rsid w:val="00A0396B"/>
    <w:rsid w:val="00A25077"/>
    <w:rsid w:val="00A608E8"/>
    <w:rsid w:val="00A610CC"/>
    <w:rsid w:val="00A67963"/>
    <w:rsid w:val="00A76F8D"/>
    <w:rsid w:val="00A8737E"/>
    <w:rsid w:val="00AA19AF"/>
    <w:rsid w:val="00B7000A"/>
    <w:rsid w:val="00BC6882"/>
    <w:rsid w:val="00BD3FE0"/>
    <w:rsid w:val="00BE58CF"/>
    <w:rsid w:val="00C366CD"/>
    <w:rsid w:val="00C5043D"/>
    <w:rsid w:val="00CA5578"/>
    <w:rsid w:val="00CA7DAA"/>
    <w:rsid w:val="00D04826"/>
    <w:rsid w:val="00D2182A"/>
    <w:rsid w:val="00D61F12"/>
    <w:rsid w:val="00D63908"/>
    <w:rsid w:val="00D8718A"/>
    <w:rsid w:val="00D93453"/>
    <w:rsid w:val="00DA477A"/>
    <w:rsid w:val="00DC524D"/>
    <w:rsid w:val="00DD01DC"/>
    <w:rsid w:val="00E071D6"/>
    <w:rsid w:val="00E13047"/>
    <w:rsid w:val="00ED160B"/>
    <w:rsid w:val="00ED3E0F"/>
    <w:rsid w:val="00F015E4"/>
    <w:rsid w:val="00F57F82"/>
    <w:rsid w:val="00F75224"/>
    <w:rsid w:val="00F91EAE"/>
    <w:rsid w:val="00FA086C"/>
    <w:rsid w:val="00FA2093"/>
    <w:rsid w:val="00FA357A"/>
    <w:rsid w:val="0334330A"/>
    <w:rsid w:val="037D0BC8"/>
    <w:rsid w:val="05903851"/>
    <w:rsid w:val="06320582"/>
    <w:rsid w:val="0845082D"/>
    <w:rsid w:val="09E965F2"/>
    <w:rsid w:val="11484C4E"/>
    <w:rsid w:val="139840D3"/>
    <w:rsid w:val="143E091F"/>
    <w:rsid w:val="14862157"/>
    <w:rsid w:val="14865FC8"/>
    <w:rsid w:val="150C2DB0"/>
    <w:rsid w:val="161D764A"/>
    <w:rsid w:val="1E761F05"/>
    <w:rsid w:val="1FC7205C"/>
    <w:rsid w:val="1FFA555D"/>
    <w:rsid w:val="20843600"/>
    <w:rsid w:val="228B3D05"/>
    <w:rsid w:val="264F3EA2"/>
    <w:rsid w:val="284E74F8"/>
    <w:rsid w:val="2ADB48E8"/>
    <w:rsid w:val="2DAA7B46"/>
    <w:rsid w:val="2EFC04B3"/>
    <w:rsid w:val="319F43F4"/>
    <w:rsid w:val="360B72A8"/>
    <w:rsid w:val="36687282"/>
    <w:rsid w:val="369C4857"/>
    <w:rsid w:val="38EF7AD8"/>
    <w:rsid w:val="3E1672E6"/>
    <w:rsid w:val="415F08D8"/>
    <w:rsid w:val="44E2230F"/>
    <w:rsid w:val="454F2A78"/>
    <w:rsid w:val="47FA2801"/>
    <w:rsid w:val="48B51347"/>
    <w:rsid w:val="491B45FA"/>
    <w:rsid w:val="4A2039D6"/>
    <w:rsid w:val="4A55216A"/>
    <w:rsid w:val="4C3909BA"/>
    <w:rsid w:val="4EBA2C16"/>
    <w:rsid w:val="4EFA6BD8"/>
    <w:rsid w:val="4F500A4E"/>
    <w:rsid w:val="4FE0696A"/>
    <w:rsid w:val="514F3156"/>
    <w:rsid w:val="55673508"/>
    <w:rsid w:val="58296195"/>
    <w:rsid w:val="59584FCA"/>
    <w:rsid w:val="59595A6F"/>
    <w:rsid w:val="599330CA"/>
    <w:rsid w:val="5F4D2B8B"/>
    <w:rsid w:val="60D5009F"/>
    <w:rsid w:val="64AC2E11"/>
    <w:rsid w:val="65290ABB"/>
    <w:rsid w:val="655E3398"/>
    <w:rsid w:val="660721C9"/>
    <w:rsid w:val="661E6C75"/>
    <w:rsid w:val="66B10467"/>
    <w:rsid w:val="67F75FF5"/>
    <w:rsid w:val="681D4831"/>
    <w:rsid w:val="692E4B19"/>
    <w:rsid w:val="69513EF7"/>
    <w:rsid w:val="6A7F3FCF"/>
    <w:rsid w:val="6BF3256F"/>
    <w:rsid w:val="6CE7018A"/>
    <w:rsid w:val="6D116533"/>
    <w:rsid w:val="6D5035F2"/>
    <w:rsid w:val="6E3E3F2D"/>
    <w:rsid w:val="70C0427B"/>
    <w:rsid w:val="715B2F02"/>
    <w:rsid w:val="76A548F2"/>
    <w:rsid w:val="7765772E"/>
    <w:rsid w:val="77867685"/>
    <w:rsid w:val="781F36B6"/>
    <w:rsid w:val="790627AD"/>
    <w:rsid w:val="7ADC59FA"/>
    <w:rsid w:val="7DDD79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3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kern w:val="2"/>
    </w:r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szCs w:val="32"/>
    </w:rPr>
  </w:style>
  <w:style w:type="paragraph" w:customStyle="1" w:styleId="9">
    <w:name w:val="BodyText"/>
    <w:basedOn w:val="1"/>
    <w:qFormat/>
    <w:uiPriority w:val="0"/>
    <w:pPr>
      <w:spacing w:after="120"/>
      <w:jc w:val="both"/>
      <w:textAlignment w:val="baseline"/>
    </w:pPr>
    <w:rPr>
      <w:rFonts w:ascii="Calibri" w:hAnsi="Calibri"/>
      <w:kern w:val="0"/>
      <w:sz w:val="20"/>
      <w:szCs w:val="20"/>
      <w:lang w:val="en-US" w:eastAsia="zh-CN" w:bidi="ar-SA"/>
    </w:rPr>
  </w:style>
  <w:style w:type="character" w:customStyle="1" w:styleId="10">
    <w:name w:val="页脚 Char"/>
    <w:basedOn w:val="8"/>
    <w:link w:val="4"/>
    <w:qFormat/>
    <w:uiPriority w:val="99"/>
    <w:rPr>
      <w:rFonts w:eastAsia="仿宋_GB2312"/>
      <w:kern w:val="2"/>
      <w:sz w:val="18"/>
      <w:szCs w:val="18"/>
    </w:rPr>
  </w:style>
  <w:style w:type="character" w:customStyle="1" w:styleId="11">
    <w:name w:val="页眉 Char"/>
    <w:basedOn w:val="8"/>
    <w:link w:val="5"/>
    <w:qFormat/>
    <w:uiPriority w:val="0"/>
    <w:rPr>
      <w:rFonts w:eastAsia="仿宋_GB2312"/>
      <w:kern w:val="2"/>
      <w:sz w:val="18"/>
      <w:szCs w:val="18"/>
    </w:rPr>
  </w:style>
  <w:style w:type="character" w:customStyle="1" w:styleId="12">
    <w:name w:val="批注框文本 Char"/>
    <w:basedOn w:val="8"/>
    <w:link w:val="3"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NormalCharacter"/>
    <w:link w:val="1"/>
    <w:semiHidden/>
    <w:qFormat/>
    <w:uiPriority w:val="0"/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customStyle="1" w:styleId="14">
    <w:name w:val="章标题"/>
    <w:basedOn w:val="1"/>
    <w:next w:val="15"/>
    <w:qFormat/>
    <w:uiPriority w:val="0"/>
    <w:pPr>
      <w:widowControl/>
      <w:spacing w:line="323" w:lineRule="atLeast"/>
      <w:ind w:right="-120"/>
      <w:jc w:val="center"/>
      <w:textAlignment w:val="baseline"/>
    </w:pPr>
    <w:rPr>
      <w:color w:val="FF0000"/>
      <w:kern w:val="0"/>
      <w:sz w:val="18"/>
      <w:szCs w:val="18"/>
    </w:rPr>
  </w:style>
  <w:style w:type="paragraph" w:customStyle="1" w:styleId="15">
    <w:name w:val="节标题"/>
    <w:basedOn w:val="1"/>
    <w:next w:val="1"/>
    <w:qFormat/>
    <w:uiPriority w:val="0"/>
    <w:pPr>
      <w:widowControl/>
      <w:spacing w:line="289" w:lineRule="atLeast"/>
      <w:jc w:val="center"/>
      <w:textAlignment w:val="baseline"/>
    </w:pPr>
    <w:rPr>
      <w:color w:val="000000"/>
      <w:kern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B4B45-5FA1-439B-B6A5-176CD8ED44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1028</Words>
  <Characters>1048</Characters>
  <Lines>3</Lines>
  <Paragraphs>1</Paragraphs>
  <TotalTime>6</TotalTime>
  <ScaleCrop>false</ScaleCrop>
  <LinksUpToDate>false</LinksUpToDate>
  <CharactersWithSpaces>1067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2019-02-12T06:26:00Z</dcterms:created>
  <dc:creator>lhn</dc:creator>
  <cp:lastModifiedBy>ebzhanglj</cp:lastModifiedBy>
  <cp:lastPrinted>2020-03-26T09:32:00Z</cp:lastPrinted>
  <dcterms:modified xsi:type="dcterms:W3CDTF">2023-11-24T02:47:16Z</dcterms:modified>
  <dc:title>财政支出绩效评价报告</dc:title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BDD5EF98B27E4AB18C47DCC46FFADBBE_12</vt:lpwstr>
  </property>
</Properties>
</file>