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rPr>
          <w:rFonts w:ascii="宋体" w:hAnsi="宋体" w:eastAsia="宋体"/>
          <w:sz w:val="30"/>
          <w:szCs w:val="30"/>
        </w:rPr>
      </w:pPr>
    </w:p>
    <w:p>
      <w:pPr>
        <w:pStyle w:val="10"/>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省级农产品质量安全监管示范县</w:t>
      </w:r>
      <w:r>
        <w:rPr>
          <w:rFonts w:hint="eastAsia" w:ascii="方正小标宋简体" w:hAnsi="宋体" w:eastAsia="方正小标宋简体"/>
          <w:sz w:val="44"/>
          <w:szCs w:val="44"/>
        </w:rPr>
        <w:t>项目</w:t>
      </w:r>
    </w:p>
    <w:p>
      <w:pPr>
        <w:pStyle w:val="10"/>
        <w:spacing w:line="56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绩效自评报告</w:t>
      </w:r>
    </w:p>
    <w:p>
      <w:pPr>
        <w:pStyle w:val="10"/>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val="en-US" w:eastAsia="zh-CN"/>
        </w:rPr>
        <w:t>峨边彝族自治县农业农村局</w:t>
      </w:r>
      <w:r>
        <w:rPr>
          <w:rFonts w:hint="eastAsia" w:ascii="仿宋_GB2312" w:hAnsi="宋体" w:eastAsia="仿宋_GB2312"/>
          <w:color w:val="auto"/>
          <w:kern w:val="2"/>
          <w:sz w:val="32"/>
          <w:szCs w:val="32"/>
        </w:rPr>
        <w:t>）</w:t>
      </w:r>
    </w:p>
    <w:p>
      <w:pPr>
        <w:pStyle w:val="10"/>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宋体"/>
          <w:lang w:val="zh-CN"/>
        </w:rPr>
      </w:pPr>
      <w:bookmarkStart w:id="0" w:name="_GoBack"/>
      <w:bookmarkEnd w:id="0"/>
      <w:r>
        <w:rPr>
          <w:rFonts w:hint="eastAsia" w:ascii="仿宋" w:hAnsi="仿宋" w:eastAsia="仿宋"/>
          <w:sz w:val="32"/>
          <w:szCs w:val="32"/>
          <w:lang w:val="en-US" w:eastAsia="zh-CN"/>
        </w:rPr>
        <w:t>按照</w:t>
      </w:r>
      <w:r>
        <w:rPr>
          <w:rFonts w:hint="eastAsia" w:ascii="仿宋_GB2312" w:hAnsi="宋体"/>
          <w:lang w:val="en-US" w:eastAsia="zh-CN"/>
        </w:rPr>
        <w:t>省农业农村厅、省发改委、省财政厅、省食品药品监管局《关于印发〈四川省农产品质量安全监管示范县考核认定与动态管理办法〉的通知》（川农业〔2014〕61号）、《乐山市人民政府办公室关于加强农产品质量安全监管工作的实施意见》（乐府办发〔2015〕47号）、《乐山市人民政府办公室关于印发乐山市创建四川省农产品质量安全监管示范县实施方案的通知》（乐府办发〔2019〕26号）和《峨边彝族自治县人民政府办公室关于印发峨边彝族自治县创建省级农产品质量安全监管示范县实施方案的通知》（峨边府办发〔2020〕4号）</w:t>
      </w:r>
      <w:r>
        <w:rPr>
          <w:rFonts w:hint="eastAsia" w:ascii="仿宋_GB2312" w:hAnsi="宋体"/>
          <w:lang w:val="zh-CN"/>
        </w:rPr>
        <w:t>。</w:t>
      </w:r>
    </w:p>
    <w:p>
      <w:pPr>
        <w:numPr>
          <w:numId w:val="0"/>
        </w:numPr>
        <w:adjustRightInd w:val="0"/>
        <w:snapToGrid w:val="0"/>
        <w:spacing w:line="600" w:lineRule="exact"/>
        <w:ind w:firstLine="640" w:firstLineChars="200"/>
        <w:rPr>
          <w:rFonts w:ascii="仿宋_GB2312" w:hAnsi="宋体"/>
          <w:lang w:val="zh-CN"/>
        </w:rPr>
      </w:pPr>
      <w:r>
        <w:rPr>
          <w:rFonts w:hint="eastAsia" w:ascii="仿宋" w:hAnsi="仿宋" w:eastAsia="仿宋"/>
          <w:sz w:val="32"/>
          <w:szCs w:val="32"/>
          <w:lang w:val="en-US" w:eastAsia="zh-CN"/>
        </w:rPr>
        <w:t>根</w:t>
      </w:r>
      <w:r>
        <w:rPr>
          <w:rFonts w:hint="eastAsia" w:ascii="仿宋" w:hAnsi="仿宋" w:eastAsia="仿宋"/>
          <w:sz w:val="32"/>
          <w:szCs w:val="32"/>
        </w:rPr>
        <w:t>据省农业农村厅《关于印发〈四川省农产品质量安全监管示范县考核认定与动态管理办法〉的通知》（川农业〔2014〕61号）和乐山市人民政府办公室《关于加强农产品质量安全监管工作的实施意见》（乐府办发〔2015〕47号）文件精神，按照乐山市人民政府办公室《关于印发乐山市创建四川省农产品质量安全监管示范县实施方案的通知》（乐府办〔2019〕26号）文件精神，围绕农业标准化、品牌培育、农业投入品监管、产地环境监控、畜禽屠宰、质量监测、食用农产品产地准出和市场准入、农业执法、信息化建设、组织建设等为主要内容的创建要求，拟定了《创建省级农产品质量安全监管示范县实施方案》</w:t>
      </w:r>
      <w:r>
        <w:rPr>
          <w:rFonts w:hint="eastAsia" w:ascii="仿宋" w:hAnsi="仿宋" w:eastAsia="仿宋"/>
          <w:sz w:val="32"/>
          <w:szCs w:val="32"/>
          <w:lang w:eastAsia="zh-CN"/>
        </w:rPr>
        <w:t>。</w:t>
      </w:r>
      <w:r>
        <w:rPr>
          <w:rFonts w:hint="eastAsia" w:ascii="仿宋" w:hAnsi="仿宋" w:eastAsia="仿宋"/>
          <w:sz w:val="32"/>
          <w:szCs w:val="32"/>
        </w:rPr>
        <w:t>2020年3月8日</w:t>
      </w:r>
      <w:r>
        <w:rPr>
          <w:rFonts w:hint="eastAsia" w:ascii="仿宋" w:hAnsi="仿宋" w:eastAsia="仿宋"/>
          <w:sz w:val="32"/>
          <w:szCs w:val="32"/>
          <w:lang w:val="en-US" w:eastAsia="zh-CN"/>
        </w:rPr>
        <w:t>提交《</w:t>
      </w:r>
      <w:r>
        <w:rPr>
          <w:rFonts w:hint="eastAsia" w:ascii="仿宋" w:hAnsi="仿宋" w:eastAsia="仿宋"/>
          <w:sz w:val="32"/>
          <w:szCs w:val="32"/>
        </w:rPr>
        <w:t>峨边彝族自治县农业农村局关于解决峨边彝族自治县创建省级农产品质量安全监管示范县所需经费的请示</w:t>
      </w:r>
      <w:r>
        <w:rPr>
          <w:rFonts w:hint="eastAsia" w:ascii="仿宋" w:hAnsi="仿宋" w:eastAsia="仿宋"/>
          <w:sz w:val="32"/>
          <w:szCs w:val="32"/>
          <w:lang w:val="en-US" w:eastAsia="zh-CN"/>
        </w:rPr>
        <w:t>》，政府批示</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2020</w:t>
      </w:r>
      <w:r>
        <w:rPr>
          <w:rFonts w:hint="eastAsia" w:ascii="仿宋" w:hAnsi="仿宋" w:eastAsia="仿宋" w:cs="仿宋"/>
          <w:sz w:val="32"/>
          <w:szCs w:val="32"/>
          <w:lang w:val="en-US" w:eastAsia="zh-CN"/>
        </w:rPr>
        <w:t>〕</w:t>
      </w:r>
      <w:r>
        <w:rPr>
          <w:rFonts w:hint="eastAsia" w:ascii="仿宋" w:hAnsi="仿宋" w:eastAsia="仿宋"/>
          <w:sz w:val="32"/>
          <w:szCs w:val="32"/>
          <w:lang w:val="en-US" w:eastAsia="zh-CN"/>
        </w:rPr>
        <w:t>107号批复。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zh-CN"/>
        </w:rPr>
        <w:t>建立农产品质量安全监管检测体系</w:t>
      </w:r>
      <w:r>
        <w:rPr>
          <w:rFonts w:hint="eastAsia" w:ascii="仿宋_GB2312" w:hAnsi="宋体"/>
          <w:lang w:val="zh-CN" w:eastAsia="zh-CN"/>
        </w:rPr>
        <w:t>；</w:t>
      </w:r>
      <w:r>
        <w:rPr>
          <w:rFonts w:hint="eastAsia" w:ascii="仿宋_GB2312" w:hAnsi="宋体"/>
          <w:lang w:val="en-US" w:eastAsia="zh-CN"/>
        </w:rPr>
        <w:t>建成</w:t>
      </w:r>
      <w:r>
        <w:rPr>
          <w:rFonts w:hint="eastAsia" w:ascii="仿宋_GB2312" w:hAnsi="宋体" w:eastAsia="仿宋_GB2312" w:cs="Times New Roman"/>
          <w:kern w:val="2"/>
          <w:sz w:val="32"/>
          <w:szCs w:val="32"/>
          <w:lang w:val="en-US" w:eastAsia="zh-CN" w:bidi="ar-SA"/>
        </w:rPr>
        <w:t>建成县级农产品质量安全监督检验检测站1个</w:t>
      </w:r>
      <w:r>
        <w:rPr>
          <w:rFonts w:hint="eastAsia" w:ascii="仿宋_GB2312" w:hAnsi="宋体" w:cs="Times New Roman"/>
          <w:kern w:val="2"/>
          <w:sz w:val="32"/>
          <w:szCs w:val="32"/>
          <w:lang w:val="en-US" w:eastAsia="zh-CN" w:bidi="ar-SA"/>
        </w:rPr>
        <w:t>，建成13个快检室，县农产品质量安全监管平台覆盖全县区域，</w:t>
      </w:r>
      <w:r>
        <w:rPr>
          <w:rFonts w:hint="eastAsia" w:ascii="仿宋_GB2312" w:hAnsi="宋体"/>
          <w:lang w:val="zh-CN"/>
        </w:rPr>
        <w:t>依法做好农产品质量产地环境监测，强化农业投入品监管</w:t>
      </w:r>
      <w:r>
        <w:rPr>
          <w:rFonts w:hint="eastAsia" w:ascii="仿宋_GB2312" w:hAnsi="宋体"/>
          <w:lang w:val="zh-CN" w:eastAsia="zh-CN"/>
        </w:rPr>
        <w:t>；</w:t>
      </w:r>
      <w:r>
        <w:rPr>
          <w:rFonts w:hint="eastAsia" w:ascii="仿宋_GB2312" w:hAnsi="宋体"/>
          <w:lang w:val="zh-CN"/>
        </w:rPr>
        <w:t>推进现代农业标准化建设</w:t>
      </w:r>
      <w:r>
        <w:rPr>
          <w:rFonts w:hint="eastAsia" w:ascii="仿宋_GB2312" w:hAnsi="宋体"/>
          <w:lang w:val="zh-CN" w:eastAsia="zh-CN"/>
        </w:rPr>
        <w:t>；</w:t>
      </w:r>
      <w:r>
        <w:rPr>
          <w:rFonts w:hint="eastAsia" w:ascii="仿宋_GB2312" w:hAnsi="宋体"/>
          <w:lang w:val="zh-CN"/>
        </w:rPr>
        <w:t>培育优势农产品品牌</w:t>
      </w:r>
      <w:r>
        <w:rPr>
          <w:rFonts w:hint="eastAsia" w:ascii="仿宋_GB2312" w:hAnsi="宋体"/>
          <w:lang w:val="zh-CN" w:eastAsia="zh-CN"/>
        </w:rPr>
        <w:t>；</w:t>
      </w:r>
      <w:r>
        <w:rPr>
          <w:rFonts w:hint="eastAsia" w:ascii="仿宋_GB2312" w:hAnsi="宋体"/>
          <w:lang w:val="zh-CN"/>
        </w:rPr>
        <w:t>强化农产品质量安全监测</w:t>
      </w:r>
      <w:r>
        <w:rPr>
          <w:rFonts w:hint="eastAsia" w:ascii="仿宋_GB2312" w:hAnsi="宋体"/>
          <w:lang w:val="zh-CN" w:eastAsia="zh-CN"/>
        </w:rPr>
        <w:t>；</w:t>
      </w:r>
      <w:r>
        <w:rPr>
          <w:rFonts w:hint="eastAsia" w:ascii="仿宋_GB2312" w:hAnsi="宋体"/>
          <w:lang w:val="zh-CN"/>
        </w:rPr>
        <w:t>推行产地准出、市场准入和质量追溯制度</w:t>
      </w:r>
      <w:r>
        <w:rPr>
          <w:rFonts w:hint="eastAsia" w:ascii="仿宋_GB2312" w:hAnsi="宋体"/>
          <w:lang w:val="zh-CN" w:eastAsia="zh-CN"/>
        </w:rPr>
        <w:t>；</w:t>
      </w:r>
      <w:r>
        <w:rPr>
          <w:rFonts w:hint="eastAsia" w:ascii="仿宋_GB2312" w:hAnsi="宋体"/>
          <w:lang w:val="zh-CN"/>
        </w:rPr>
        <w:t>加强畜禽屠宰监管</w:t>
      </w:r>
      <w:r>
        <w:rPr>
          <w:rFonts w:hint="eastAsia" w:ascii="仿宋_GB2312" w:hAnsi="宋体"/>
          <w:lang w:val="zh-CN" w:eastAsia="zh-CN"/>
        </w:rPr>
        <w:t>；</w:t>
      </w:r>
      <w:r>
        <w:rPr>
          <w:rFonts w:hint="eastAsia" w:ascii="仿宋_GB2312" w:hAnsi="宋体"/>
          <w:lang w:val="zh-CN"/>
        </w:rPr>
        <w:t>增强农产品质量安全执法力度</w:t>
      </w:r>
      <w:r>
        <w:rPr>
          <w:rFonts w:hint="eastAsia" w:ascii="仿宋_GB2312" w:hAnsi="宋体"/>
          <w:lang w:val="zh-CN" w:eastAsia="zh-CN"/>
        </w:rPr>
        <w:t>；</w:t>
      </w:r>
      <w:r>
        <w:rPr>
          <w:rFonts w:hint="eastAsia" w:ascii="仿宋_GB2312" w:hAnsi="宋体"/>
          <w:lang w:val="zh-CN"/>
        </w:rPr>
        <w:t>健全落实监管制度，做好应急管理</w:t>
      </w:r>
      <w:r>
        <w:rPr>
          <w:rFonts w:hint="eastAsia" w:ascii="仿宋_GB2312" w:hAnsi="宋体"/>
          <w:lang w:val="zh-CN" w:eastAsia="zh-CN"/>
        </w:rPr>
        <w:t>。</w:t>
      </w:r>
    </w:p>
    <w:p>
      <w:pPr>
        <w:keepNext w:val="0"/>
        <w:keepLines w:val="0"/>
        <w:pageBreakBefore w:val="0"/>
        <w:kinsoku/>
        <w:wordWrap/>
        <w:overflowPunct/>
        <w:topLinePunct w:val="0"/>
        <w:bidi w:val="0"/>
        <w:adjustRightInd w:val="0"/>
        <w:snapToGrid w:val="0"/>
        <w:spacing w:line="560" w:lineRule="exact"/>
        <w:ind w:firstLine="964" w:firstLineChars="300"/>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b/>
          <w:lang w:val="zh-CN"/>
        </w:rPr>
        <w:t>（三）项目资金申报相符性。</w:t>
      </w:r>
      <w:r>
        <w:rPr>
          <w:rFonts w:hint="eastAsia" w:ascii="仿宋_GB2312" w:hAnsi="宋体" w:eastAsia="仿宋_GB2312" w:cs="Times New Roman"/>
          <w:color w:val="auto"/>
          <w:kern w:val="2"/>
          <w:sz w:val="32"/>
          <w:szCs w:val="32"/>
          <w:lang w:val="zh-CN" w:eastAsia="zh-CN" w:bidi="ar-SA"/>
        </w:rPr>
        <w:t>分析评价申报内容与实际相符，申报目标合理可行。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pStyle w:val="2"/>
        <w:rPr>
          <w:rFonts w:hint="eastAsia"/>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zh-CN" w:eastAsia="zh-CN" w:bidi="ar-SA"/>
        </w:rPr>
        <w:t>项目</w:t>
      </w:r>
      <w:r>
        <w:rPr>
          <w:rFonts w:hint="eastAsia" w:ascii="仿宋_GB2312" w:hAnsi="宋体" w:cs="Times New Roman"/>
          <w:color w:val="auto"/>
          <w:kern w:val="2"/>
          <w:sz w:val="32"/>
          <w:szCs w:val="32"/>
          <w:lang w:val="en-US" w:eastAsia="zh-CN" w:bidi="ar-SA"/>
        </w:rPr>
        <w:t>计划</w:t>
      </w:r>
      <w:r>
        <w:rPr>
          <w:rFonts w:hint="eastAsia" w:ascii="仿宋_GB2312" w:hAnsi="宋体" w:eastAsia="仿宋_GB2312" w:cs="Times New Roman"/>
          <w:color w:val="auto"/>
          <w:kern w:val="2"/>
          <w:sz w:val="32"/>
          <w:szCs w:val="32"/>
          <w:lang w:val="zh-CN" w:eastAsia="zh-CN" w:bidi="ar-SA"/>
        </w:rPr>
        <w:t>总投资</w:t>
      </w:r>
      <w:r>
        <w:rPr>
          <w:rFonts w:hint="eastAsia" w:ascii="仿宋_GB2312" w:hAnsi="宋体" w:cs="Times New Roman"/>
          <w:color w:val="auto"/>
          <w:kern w:val="2"/>
          <w:sz w:val="32"/>
          <w:szCs w:val="32"/>
          <w:lang w:val="en-US" w:eastAsia="zh-CN" w:bidi="ar-SA"/>
        </w:rPr>
        <w:t>120</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cs="Times New Roman"/>
          <w:color w:val="auto"/>
          <w:kern w:val="2"/>
          <w:sz w:val="32"/>
          <w:szCs w:val="32"/>
          <w:lang w:val="en-US" w:eastAsia="zh-CN" w:bidi="ar-SA"/>
        </w:rPr>
        <w:t>县级配套93.31万元。</w:t>
      </w:r>
    </w:p>
    <w:p>
      <w:pPr>
        <w:numPr>
          <w:ilvl w:val="0"/>
          <w:numId w:val="1"/>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截止</w:t>
      </w:r>
      <w:r>
        <w:rPr>
          <w:rFonts w:hint="eastAsia" w:ascii="仿宋_GB2312" w:hAnsi="宋体" w:eastAsia="仿宋_GB2312" w:cs="Times New Roman"/>
          <w:color w:val="auto"/>
          <w:kern w:val="2"/>
          <w:sz w:val="32"/>
          <w:szCs w:val="32"/>
          <w:lang w:val="zh-CN" w:eastAsia="zh-CN" w:bidi="ar-SA"/>
        </w:rPr>
        <w:t>目前</w:t>
      </w:r>
      <w:r>
        <w:rPr>
          <w:rFonts w:hint="eastAsia" w:ascii="仿宋_GB2312" w:hAnsi="宋体" w:eastAsia="仿宋_GB2312" w:cs="Times New Roman"/>
          <w:color w:val="auto"/>
          <w:kern w:val="2"/>
          <w:sz w:val="32"/>
          <w:szCs w:val="32"/>
          <w:lang w:val="en-US" w:eastAsia="zh-CN" w:bidi="ar-SA"/>
        </w:rPr>
        <w:t>所有</w:t>
      </w:r>
      <w:r>
        <w:rPr>
          <w:rFonts w:hint="eastAsia" w:ascii="仿宋_GB2312" w:hAnsi="宋体" w:eastAsia="仿宋_GB2312" w:cs="Times New Roman"/>
          <w:color w:val="auto"/>
          <w:kern w:val="2"/>
          <w:sz w:val="32"/>
          <w:szCs w:val="32"/>
          <w:lang w:val="zh-CN" w:eastAsia="zh-CN" w:bidi="ar-SA"/>
        </w:rPr>
        <w:t>资金已全部到位，资金到位率为100%。</w:t>
      </w:r>
    </w:p>
    <w:p>
      <w:pPr>
        <w:pStyle w:val="9"/>
        <w:rPr>
          <w:rFonts w:hint="eastAsia"/>
          <w:lang w:val="zh-CN"/>
        </w:rPr>
      </w:pPr>
    </w:p>
    <w:p>
      <w:pPr>
        <w:numPr>
          <w:ilvl w:val="0"/>
          <w:numId w:val="2"/>
        </w:numPr>
        <w:adjustRightInd w:val="0"/>
        <w:snapToGrid w:val="0"/>
        <w:spacing w:line="560" w:lineRule="exact"/>
        <w:ind w:firstLine="964" w:firstLineChars="300"/>
        <w:rPr>
          <w:rFonts w:hint="eastAsia" w:ascii="楷体_GB2312" w:hAnsi="宋体" w:eastAsia="楷体_GB2312"/>
          <w:b/>
          <w:lang w:val="zh-CN"/>
        </w:rPr>
      </w:pPr>
      <w:r>
        <w:rPr>
          <w:rFonts w:hint="eastAsia" w:ascii="楷体_GB2312" w:hAnsi="宋体" w:eastAsia="楷体_GB2312"/>
          <w:b/>
          <w:lang w:val="zh-CN"/>
        </w:rPr>
        <w:t>项目财务管理情况。</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仿宋_GB2312" w:eastAsia="仿宋_GB2312" w:cs="仿宋_GB2312"/>
          <w:kern w:val="0"/>
          <w:sz w:val="32"/>
          <w:szCs w:val="32"/>
          <w:lang w:eastAsia="zh-CN"/>
        </w:rPr>
      </w:pPr>
      <w:r>
        <w:rPr>
          <w:rFonts w:hint="eastAsia" w:ascii="仿宋_GB2312" w:hAnsi="宋体" w:eastAsia="仿宋_GB2312" w:cs="Times New Roman"/>
          <w:color w:val="auto"/>
          <w:kern w:val="2"/>
          <w:sz w:val="32"/>
          <w:szCs w:val="32"/>
          <w:lang w:val="en-US" w:eastAsia="zh-CN" w:bidi="ar-SA"/>
        </w:rPr>
        <w:t>峨边县2021年</w:t>
      </w:r>
      <w:r>
        <w:rPr>
          <w:rFonts w:hint="eastAsia" w:ascii="仿宋_GB2312" w:hAnsi="宋体" w:cs="Times New Roman"/>
          <w:color w:val="auto"/>
          <w:kern w:val="2"/>
          <w:sz w:val="32"/>
          <w:szCs w:val="32"/>
          <w:lang w:val="en-US" w:eastAsia="zh-CN" w:bidi="ar-SA"/>
        </w:rPr>
        <w:t>农产品质量安全监管示范县项目</w:t>
      </w:r>
      <w:r>
        <w:rPr>
          <w:rFonts w:hint="eastAsia" w:ascii="仿宋_GB2312" w:hAnsi="宋体" w:eastAsia="仿宋_GB2312" w:cs="Times New Roman"/>
          <w:color w:val="auto"/>
          <w:kern w:val="2"/>
          <w:sz w:val="32"/>
          <w:szCs w:val="32"/>
          <w:lang w:val="en-US" w:eastAsia="zh-CN" w:bidi="ar-SA"/>
        </w:rPr>
        <w:t>实行专款专用、任何单位和个人不得挪用和占用资金，同时接受审计部门的审计和监督。严格执行财务管理制度、财务处理及时、会计核算规范。</w:t>
      </w:r>
    </w:p>
    <w:p>
      <w:pPr>
        <w:pStyle w:val="9"/>
        <w:numPr>
          <w:ilvl w:val="0"/>
          <w:numId w:val="0"/>
        </w:numPr>
        <w:rPr>
          <w:lang w:val="zh-CN"/>
        </w:rPr>
      </w:pP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lang w:val="en-US" w:eastAsia="zh-CN"/>
        </w:rPr>
      </w:pPr>
      <w:r>
        <w:rPr>
          <w:rFonts w:hint="eastAsia"/>
          <w:lang w:val="en-US" w:eastAsia="zh-CN"/>
        </w:rPr>
        <w:t>由县农业农村局牵头，县市场监管局、综合执法局、公安局等部门配合，乡镇、村配备监管员和协管员建立网格化管理，对辖区的企业、专合社等进行监管、培训。县农检站负责定量检测全县区域内农产品，乡镇负责辖区内农产品定性检测。</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（一）项目完成情况。</w:t>
      </w:r>
    </w:p>
    <w:p>
      <w:pPr>
        <w:pStyle w:val="6"/>
        <w:keepNext w:val="0"/>
        <w:keepLines w:val="0"/>
        <w:widowControl/>
        <w:suppressLineNumbers w:val="0"/>
        <w:spacing w:before="0" w:beforeAutospacing="0" w:after="0" w:afterAutospacing="0"/>
        <w:ind w:left="0" w:right="0" w:firstLine="640" w:firstLineChars="200"/>
        <w:rPr>
          <w:rFonts w:hint="default" w:ascii="仿宋_GB2312" w:hAnsi="宋体" w:eastAsia="仿宋_GB2312" w:cs="Times New Roman"/>
          <w:kern w:val="2"/>
          <w:sz w:val="32"/>
          <w:szCs w:val="32"/>
          <w:lang w:val="en-US" w:eastAsia="zh-CN" w:bidi="ar-SA"/>
        </w:rPr>
      </w:pPr>
      <w:r>
        <w:rPr>
          <w:rFonts w:hint="eastAsia" w:ascii="仿宋_GB2312" w:hAnsi="宋体" w:cs="Times New Roman"/>
          <w:kern w:val="2"/>
          <w:sz w:val="32"/>
          <w:szCs w:val="32"/>
          <w:lang w:val="en-US" w:eastAsia="zh-CN" w:bidi="ar-SA"/>
        </w:rPr>
        <w:t>2021年11月现场核查通过，2022年6月获得省级农产品质量安全监管示范县称号。</w:t>
      </w:r>
      <w:r>
        <w:rPr>
          <w:rFonts w:hint="eastAsia" w:ascii="仿宋_GB2312" w:hAnsi="宋体" w:eastAsia="仿宋_GB2312" w:cs="Times New Roman"/>
          <w:kern w:val="2"/>
          <w:sz w:val="32"/>
          <w:szCs w:val="32"/>
          <w:lang w:val="en-US" w:eastAsia="zh-CN" w:bidi="ar-SA"/>
        </w:rPr>
        <w:t>建成县级农产品质量安全监督检验检测站1个</w:t>
      </w:r>
      <w:r>
        <w:rPr>
          <w:rFonts w:hint="eastAsia" w:ascii="仿宋_GB2312" w:hAnsi="宋体" w:cs="Times New Roman"/>
          <w:kern w:val="2"/>
          <w:sz w:val="32"/>
          <w:szCs w:val="32"/>
          <w:lang w:val="en-US" w:eastAsia="zh-CN" w:bidi="ar-SA"/>
        </w:rPr>
        <w:t>；</w:t>
      </w:r>
      <w:r>
        <w:rPr>
          <w:rFonts w:hint="eastAsia" w:ascii="仿宋_GB2312" w:hAnsi="宋体" w:eastAsia="仿宋_GB2312" w:cs="Times New Roman"/>
          <w:kern w:val="2"/>
          <w:sz w:val="32"/>
          <w:szCs w:val="32"/>
          <w:lang w:val="en-US" w:eastAsia="zh-CN" w:bidi="ar-SA"/>
        </w:rPr>
        <w:t>13个乡镇均配备快检室1个</w:t>
      </w:r>
      <w:r>
        <w:rPr>
          <w:rFonts w:hint="eastAsia" w:ascii="仿宋_GB2312" w:hAnsi="宋体" w:cs="Times New Roman"/>
          <w:kern w:val="2"/>
          <w:sz w:val="32"/>
          <w:szCs w:val="32"/>
          <w:lang w:val="en-US" w:eastAsia="zh-CN" w:bidi="ar-SA"/>
        </w:rPr>
        <w:t>；</w:t>
      </w:r>
      <w:r>
        <w:rPr>
          <w:rFonts w:hint="eastAsia" w:ascii="仿宋_GB2312" w:hAnsi="宋体" w:eastAsia="仿宋_GB2312" w:cs="Times New Roman"/>
          <w:kern w:val="2"/>
          <w:sz w:val="32"/>
          <w:szCs w:val="32"/>
          <w:lang w:val="zh-CN" w:eastAsia="zh-CN" w:bidi="ar-SA"/>
        </w:rPr>
        <w:t>县农产品质量安全监管平台</w:t>
      </w:r>
      <w:r>
        <w:rPr>
          <w:rFonts w:hint="eastAsia" w:ascii="仿宋_GB2312" w:hAnsi="宋体" w:cs="Times New Roman"/>
          <w:kern w:val="2"/>
          <w:sz w:val="32"/>
          <w:szCs w:val="32"/>
          <w:lang w:val="en-US" w:eastAsia="zh-CN" w:bidi="ar-SA"/>
        </w:rPr>
        <w:t>覆盖全县区域；</w:t>
      </w:r>
      <w:r>
        <w:rPr>
          <w:rFonts w:hint="eastAsia" w:ascii="仿宋_GB2312" w:hAnsi="宋体" w:eastAsia="仿宋_GB2312" w:cs="Times New Roman"/>
          <w:kern w:val="2"/>
          <w:sz w:val="32"/>
          <w:szCs w:val="32"/>
          <w:lang w:val="en-US" w:eastAsia="zh-CN" w:bidi="ar-SA"/>
        </w:rPr>
        <w:t>5家企业配备快检设备</w:t>
      </w:r>
      <w:r>
        <w:rPr>
          <w:rFonts w:hint="eastAsia" w:ascii="仿宋_GB2312" w:hAnsi="宋体" w:cs="Times New Roman"/>
          <w:kern w:val="2"/>
          <w:sz w:val="32"/>
          <w:szCs w:val="32"/>
          <w:lang w:val="en-US" w:eastAsia="zh-CN" w:bidi="ar-SA"/>
        </w:rPr>
        <w:t>；峨边彝族自治县惠康农业发展投资有限公司、四川润物生态农业发展有限公司、峨边惠民脱毒马铃薯专业合作社、峨边勇茂养殖专业合作社、四川奔乡农业科技有限公司、品鑫屠宰场配备可视化设备；峨边鹰峰香雪茶业有限公司、四川峨边雪山玉芝食品有限公司、峨边凤原黑鸡养殖专业合作社、峨边牧缘生态农业有限公司、峨边神农种植养殖专业合作社、峨边琼花生态农业发展有限公司、峨边松林菌业有限公司、峨边县金果王种植专业合作社、峨边县利友种植养殖专业合作社、峨边县贴民心种养殖专业合作社配备追溯相关设备。培训合作社、企业、乡镇监管员和检测员、村协管员3次。</w:t>
      </w:r>
    </w:p>
    <w:p>
      <w:pPr>
        <w:pStyle w:val="9"/>
        <w:rPr>
          <w:lang w:val="zh-CN"/>
        </w:rPr>
      </w:pPr>
    </w:p>
    <w:p>
      <w:pPr>
        <w:keepNext w:val="0"/>
        <w:keepLines w:val="0"/>
        <w:pageBreakBefore w:val="0"/>
        <w:numPr>
          <w:ilvl w:val="0"/>
          <w:numId w:val="2"/>
        </w:numPr>
        <w:kinsoku/>
        <w:wordWrap/>
        <w:overflowPunct/>
        <w:topLinePunct w:val="0"/>
        <w:bidi w:val="0"/>
        <w:adjustRightInd w:val="0"/>
        <w:snapToGrid w:val="0"/>
        <w:spacing w:line="560" w:lineRule="exact"/>
        <w:ind w:left="0" w:leftChars="0" w:firstLine="964" w:firstLineChars="30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spacing w:line="600" w:lineRule="exact"/>
        <w:ind w:firstLine="640" w:firstLineChars="200"/>
        <w:rPr>
          <w:rFonts w:hint="eastAsia" w:ascii="仿宋_GB2312" w:eastAsia="仿宋_GB2312"/>
          <w:sz w:val="32"/>
          <w:szCs w:val="32"/>
        </w:rPr>
      </w:pPr>
      <w:r>
        <w:rPr>
          <w:rFonts w:hint="eastAsia" w:ascii="仿宋_GB2312" w:hAnsi="仿宋" w:eastAsia="仿宋_GB2312"/>
          <w:sz w:val="32"/>
          <w:szCs w:val="32"/>
        </w:rPr>
        <w:t>为提升我县农产品质量安全监管能力，保障农产品生产和消费安全，</w:t>
      </w:r>
      <w:r>
        <w:rPr>
          <w:rFonts w:hint="eastAsia" w:ascii="仿宋_GB2312" w:eastAsia="仿宋_GB2312"/>
          <w:sz w:val="32"/>
          <w:szCs w:val="32"/>
        </w:rPr>
        <w:t>以《中华人民共和国农产品质量安全法》和《中华人民共和国食品安全法》为指导，以保障农产品质量安全、维护公众健康、促进农业和农村经济健康发展为目的，按照“属地管理，分级负责”的原则和“政府负总责、部门分工负责、生产经营者第一责任人”的要求，积极履行政府对农产品质量安全监管与服务职责，完善监管机制，增强监管手段，强化执法监督，提升农产品质量安全监管平台体系建设，完善农产品质量安全监管、检测和追溯体系，强化农产品产地环境监控、农业投入品监管、农产品生产、市场流通质量安全监管，推进农业生产标准化，打造优势农业品牌，积极推进农产品产地准出和市场准入，建成“工作体系健全、监管责任到位、机制制度完善、监管措施有力”的监管模式，实现农产品“从生产到市场”的全程监管，确保农产品优质安全，确保不发生重大农产品质量安全事故，更好的促进农业和农村经济的健康发展。</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600" w:lineRule="exact"/>
        <w:ind w:firstLine="960" w:firstLineChars="300"/>
        <w:rPr>
          <w:rFonts w:hint="eastAsia" w:ascii="仿宋_GB2312" w:hAnsi="宋体"/>
          <w:lang w:val="en-US" w:eastAsia="zh-CN"/>
        </w:rPr>
      </w:pPr>
      <w:r>
        <w:rPr>
          <w:rFonts w:hint="eastAsia" w:ascii="仿宋_GB2312" w:hAnsi="宋体"/>
          <w:lang w:val="en-US" w:eastAsia="zh-CN"/>
        </w:rPr>
        <w:t>1、检测人员配备不足，县级农检站目前只有2人，按照要求至少需要配备5人，乡镇检测人员变换较频繁，没有专职检测人员。2、乡镇快检抽样经费未得到解决。</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pPr>
        <w:ind w:firstLine="960" w:firstLineChars="300"/>
        <w:rPr>
          <w:rFonts w:hint="eastAsia" w:ascii="仿宋_GB2312" w:hAnsi="宋体"/>
          <w:lang w:val="en-US" w:eastAsia="zh-CN"/>
        </w:rPr>
      </w:pPr>
      <w:r>
        <w:rPr>
          <w:rFonts w:hint="eastAsia" w:ascii="仿宋_GB2312" w:hAnsi="宋体"/>
          <w:lang w:val="en-US" w:eastAsia="zh-CN"/>
        </w:rPr>
        <w:t>1、招聘检测相关专业技术人员；</w:t>
      </w:r>
    </w:p>
    <w:p>
      <w:pPr>
        <w:pStyle w:val="2"/>
        <w:ind w:firstLine="960" w:firstLineChars="300"/>
        <w:rPr>
          <w:rFonts w:hint="default"/>
          <w:lang w:val="en-US" w:eastAsia="zh-CN"/>
        </w:rPr>
      </w:pPr>
      <w:r>
        <w:rPr>
          <w:rFonts w:hint="eastAsia" w:ascii="仿宋_GB2312" w:hAnsi="宋体"/>
          <w:lang w:val="en-US" w:eastAsia="zh-CN"/>
        </w:rPr>
        <w:t>2、乡镇抽样检测经费纳入财政预算。</w:t>
      </w:r>
    </w:p>
    <w:p>
      <w:pPr>
        <w:pStyle w:val="2"/>
        <w:rPr>
          <w:rFonts w:hint="eastAsia"/>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29DF8"/>
    <w:multiLevelType w:val="singleLevel"/>
    <w:tmpl w:val="A6729DF8"/>
    <w:lvl w:ilvl="0" w:tentative="0">
      <w:start w:val="2"/>
      <w:numFmt w:val="decimal"/>
      <w:suff w:val="nothing"/>
      <w:lvlText w:val="%1．"/>
      <w:lvlJc w:val="left"/>
    </w:lvl>
  </w:abstractNum>
  <w:abstractNum w:abstractNumId="1">
    <w:nsid w:val="06D389AC"/>
    <w:multiLevelType w:val="singleLevel"/>
    <w:tmpl w:val="06D389A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jMyZDk3ODg0YWRkM2ZkOGM4NDZkOWFhZDFjYWIifQ=="/>
  </w:docVars>
  <w:rsids>
    <w:rsidRoot w:val="291C455A"/>
    <w:rsid w:val="00417211"/>
    <w:rsid w:val="004B6F67"/>
    <w:rsid w:val="00B53A36"/>
    <w:rsid w:val="01FF0067"/>
    <w:rsid w:val="0EDB478C"/>
    <w:rsid w:val="160F688F"/>
    <w:rsid w:val="1A354507"/>
    <w:rsid w:val="235E2EF7"/>
    <w:rsid w:val="24416AE1"/>
    <w:rsid w:val="291C455A"/>
    <w:rsid w:val="36926D0C"/>
    <w:rsid w:val="4DAF2BCF"/>
    <w:rsid w:val="4DDB6F66"/>
    <w:rsid w:val="50003162"/>
    <w:rsid w:val="551952E3"/>
    <w:rsid w:val="5C88275E"/>
    <w:rsid w:val="630B1BFB"/>
    <w:rsid w:val="64A46C3F"/>
    <w:rsid w:val="663F491A"/>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0">
    <w:name w:val="四号正文"/>
    <w:basedOn w:val="1"/>
    <w:qFormat/>
    <w:uiPriority w:val="0"/>
    <w:pPr>
      <w:spacing w:line="360" w:lineRule="auto"/>
    </w:pPr>
    <w:rPr>
      <w:rFonts w:ascii="??" w:hAnsi="??" w:eastAsia="宋体"/>
      <w:color w:val="000000"/>
      <w:kern w:val="0"/>
      <w:sz w:val="28"/>
      <w:szCs w:val="21"/>
      <w:lang w:val="zh-CN"/>
    </w:rPr>
  </w:style>
  <w:style w:type="character" w:customStyle="1" w:styleId="11">
    <w:name w:val="页眉 Char"/>
    <w:basedOn w:val="8"/>
    <w:link w:val="5"/>
    <w:qFormat/>
    <w:uiPriority w:val="0"/>
    <w:rPr>
      <w:rFonts w:ascii="Times New Roman" w:hAnsi="Times New Roman" w:eastAsia="仿宋_GB2312" w:cs="Times New Roman"/>
      <w:kern w:val="2"/>
      <w:sz w:val="18"/>
      <w:szCs w:val="18"/>
    </w:rPr>
  </w:style>
  <w:style w:type="character" w:customStyle="1" w:styleId="12">
    <w:name w:val="页脚 Char"/>
    <w:basedOn w:val="8"/>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2075</Words>
  <Characters>2131</Characters>
  <Lines>6</Lines>
  <Paragraphs>1</Paragraphs>
  <TotalTime>2</TotalTime>
  <ScaleCrop>false</ScaleCrop>
  <LinksUpToDate>false</LinksUpToDate>
  <CharactersWithSpaces>2184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2022-07-20T09:05:11Z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B49088DCA52C408DA0F68487C35D3CA3</vt:lpwstr>
  </property>
</Properties>
</file>