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3</w:t>
      </w:r>
    </w:p>
    <w:p>
      <w:pPr>
        <w:widowControl/>
        <w:spacing w:line="580" w:lineRule="exact"/>
        <w:ind w:firstLine="1767" w:firstLineChars="400"/>
        <w:contextualSpacing/>
        <w:jc w:val="both"/>
        <w:rPr>
          <w:rFonts w:hint="default" w:ascii="宋体" w:eastAsia="宋体"/>
          <w:b/>
          <w:sz w:val="44"/>
          <w:szCs w:val="44"/>
          <w:shd w:val="clear" w:color="auto" w:fill="FFFFFF"/>
          <w:lang w:val="en-US" w:eastAsia="zh-CN"/>
        </w:rPr>
      </w:pPr>
      <w:r>
        <w:rPr>
          <w:rFonts w:hint="eastAsia" w:ascii="宋体"/>
          <w:b/>
          <w:sz w:val="44"/>
          <w:szCs w:val="44"/>
          <w:shd w:val="clear" w:color="auto" w:fill="FFFFFF"/>
          <w:lang w:val="en-US" w:eastAsia="zh-CN"/>
        </w:rPr>
        <w:t>峨边彝族自治县农业农村局</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2021年</w:t>
      </w:r>
      <w:r>
        <w:rPr>
          <w:rFonts w:hint="eastAsia" w:ascii="方正小标宋简体" w:hAnsi="宋体" w:eastAsia="方正小标宋简体"/>
          <w:sz w:val="44"/>
          <w:szCs w:val="44"/>
          <w:shd w:val="clear" w:color="auto" w:fill="FFFFFF"/>
        </w:rPr>
        <w:t>整体支出绩效自评报告范本</w:t>
      </w:r>
    </w:p>
    <w:p>
      <w:pPr>
        <w:widowControl/>
        <w:spacing w:line="580" w:lineRule="exact"/>
        <w:ind w:firstLine="640" w:firstLineChars="200"/>
        <w:contextualSpacing/>
        <w:jc w:val="center"/>
        <w:rPr>
          <w:rFonts w:ascii="仿宋_GB2312" w:hAnsi="宋体" w:eastAsia="仿宋_GB2312"/>
          <w:szCs w:val="32"/>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部门（单位）概况</w:t>
      </w:r>
    </w:p>
    <w:p>
      <w:pPr>
        <w:widowControl/>
        <w:adjustRightInd w:val="0"/>
        <w:snapToGrid w:val="0"/>
        <w:spacing w:line="580" w:lineRule="exact"/>
        <w:ind w:firstLine="643" w:firstLineChars="200"/>
        <w:contextualSpacing/>
        <w:jc w:val="left"/>
        <w:rPr>
          <w:rFonts w:hint="eastAsia" w:ascii="楷体_GB2312" w:hAnsi="宋体" w:eastAsia="楷体_GB2312" w:cs="宋体"/>
          <w:b/>
          <w:bCs/>
          <w:color w:val="000000"/>
          <w:kern w:val="0"/>
          <w:szCs w:val="32"/>
          <w:shd w:val="clear" w:color="auto" w:fill="FFFFFF"/>
          <w:lang w:val="zh-CN"/>
        </w:rPr>
      </w:pPr>
      <w:r>
        <w:rPr>
          <w:rFonts w:hint="eastAsia" w:ascii="楷体_GB2312" w:hAnsi="宋体" w:eastAsia="楷体_GB2312" w:cs="宋体"/>
          <w:b/>
          <w:bCs/>
          <w:color w:val="000000"/>
          <w:kern w:val="0"/>
          <w:szCs w:val="32"/>
          <w:shd w:val="clear" w:color="auto" w:fill="FFFFFF"/>
          <w:lang w:val="zh-CN"/>
        </w:rPr>
        <w:t>（一）机构组成。</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en-US" w:eastAsia="zh-CN"/>
        </w:rPr>
      </w:pPr>
      <w:r>
        <w:rPr>
          <w:rFonts w:hint="eastAsia" w:ascii="仿宋" w:hAnsi="仿宋" w:eastAsia="仿宋" w:cs="仿宋"/>
          <w:b w:val="0"/>
          <w:bCs w:val="0"/>
          <w:color w:val="000000"/>
          <w:kern w:val="0"/>
          <w:sz w:val="30"/>
          <w:szCs w:val="30"/>
          <w:shd w:val="clear" w:color="auto" w:fill="FFFFFF"/>
          <w:lang w:val="zh-CN"/>
        </w:rPr>
        <w:t>峨边彝族自治县农业</w:t>
      </w:r>
      <w:r>
        <w:rPr>
          <w:rFonts w:hint="eastAsia" w:ascii="仿宋" w:hAnsi="仿宋" w:eastAsia="仿宋" w:cs="仿宋"/>
          <w:color w:val="000000"/>
          <w:kern w:val="0"/>
          <w:sz w:val="30"/>
          <w:szCs w:val="30"/>
          <w:shd w:val="clear" w:color="auto" w:fill="FFFFFF"/>
          <w:lang w:val="zh-CN"/>
        </w:rPr>
        <w:t>农村局下设办公室、农业农村综合股、畜牧兽医水产股、安全监管股、政策法规股、机关党委、</w:t>
      </w:r>
      <w:r>
        <w:rPr>
          <w:rFonts w:hint="eastAsia" w:ascii="仿宋" w:hAnsi="仿宋" w:eastAsia="仿宋" w:cs="仿宋"/>
          <w:color w:val="000000"/>
          <w:kern w:val="0"/>
          <w:sz w:val="30"/>
          <w:szCs w:val="30"/>
          <w:shd w:val="clear" w:color="auto" w:fill="FFFFFF"/>
          <w:lang w:val="en-US" w:eastAsia="zh-CN"/>
        </w:rPr>
        <w:t>土地整理中心、种子站、乡村促进中心、执法大队。</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（一）统筹研究和组织实施全县“三农”工作的发展战略、中长期规划、重大政策。组织起草“三农”有关规范性文件并组织实施。</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（二）统筹实施乡村振兴战略，牵头组织改善全县农村人居环境。统筹推动发展农村社会事业、农村公共服务、农村文化、农村基础设施和乡村治理。指导农村精神文明和优秀农耕文化建设。</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三）拟订深化全县农村经济体制改革和巩固完善农村基本经营制度的政策措施。负责农民承包地、农村宅基地管理和改革有关工作。负责农村集体产权制度改革，指导农村集体经济组织发展、集体资产和财务管理工作。拟订农业产业化经营的发展规划与政策并组织实施。指导农民合作经济组织、农业社会化服务体系、新型农业经营主体建设与发展。指导、监督减轻农民负担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四）指导全县乡村特色产业、农产品加工业（产地初加工）、休闲农业和乡村企业发展工作。指导特色农产品优势区建设和管理工作。组织拟订现代农业园区的政策与规划并组织实施，负责现代农业园区评定工作。提出促进大宗农产品流通政策和主要农产品进口建议，研究制定大宗农产品市场体系建设与发展规划。培育、保护和发展农产品品牌，组织协调“菜篮子”工程有关工作。负责农业信息体系建设，推动数字农业发展。发布农业农村经济信息，监测分析农业农村经济运行。承担农业统计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五）负责全县种植业、畜牧业、渔业、农垦、农业机械化等农业各产业的监督管理。指导粮食等农产品生产。指导粮食生产功能区和重要农产品生产保护区建设和管理工作。组织构建现代农业产业体系、生产体系、经营体系，指导农业标准化、规模化生产。落实促进粮油、畜禽、水产等主要农产品生产发展的相关政策措施，引导农业产业结构调整和产品品质改善，促进农业绿色发展。负责渔政渔港、网具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六）负责制定全县农业机械化、智能化、数字化发展规划并组织实施。组织开展农业机械重大技术攻关和关键技术开发，引进、示范和推广农业机械新技术、新机具，指导全县农业机械基础设施的规划建设和管理工作。指导设施农业、农机库棚、机电提灌、机耕道等基础设施建设。</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七）负责全县农产品质量安全监督管理。组织开展农产品质量安全监测、追溯、风险评估。发布有关农产品质量安全状况信息，提出技术性贸易措施建议。组织实施农产品质量安全标准。指导农业检验检测体系建设。依法组织实施符合安全标准的农产品生产基地认定、产品认证、农产品地理标志登记保护和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八）组织开展全县农业资源区划和资源保护工作。指导农用地、渔业水域以及农业生物物种资源的保护与管理，负责水生野生动植物保护、耕地及永久基本农田质量保护工作。负责农村能源建设和资源环境工作。指导农产品产地环境管理和农业清洁生产，提出划定农产品禁止生产区域的政策建议，指导设施农业、生态循环农业、节水农业发展以及农村可再生能源综合开发利用、农业生物质产业发展。</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九）负责全县有关农业生产资料和农业投入品的监督管理。组织农业生产资料市场体系建设，承担农作物种子（种苗）、食用菌种、蚕种、饲草良种、种畜禽、水产苗种、农药、兽药（渔药）、饲料、饲料添加剂等农业生产资料的监督管理职责，牵头负责“瘦肉精”监管工作。监督管理兽医医疗器械、肥料。制定有关农业生产资料地方标准并监督实施，会同有关部门监督实施农业生产资料国家标准。组织兽医医政、兽药(渔药)药政药检工作，负责执业兽医和畜禽屠宰行业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负责全县农业防灾减灾、农作物重大病虫害防治工作。牵头起草动植物防疫和检疫的规范性文件，会同有关部门制定动植物防疫检疫政策并指导实施。指导动植物防疫检疫体系建设，组织、监督市内动植物防疫检疫工作，发布疫情并组织扑灭。组织植物检疫性有害生物普查。牵头管理外来农业物种。监测、核查、发布农业灾情，组织种子、种苗、化肥、兽药（渔药）等农业生产救灾物资的储备和调拨，提出生产救灾资金安排建议，指导紧急救灾和灾后生产恢复。</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一）负责全县农业投资管理。提出农业投融资体制机制改革建议。编制中央、省级、市级和县级投资安排的农业投资项目建设规划，提出农业投资规模和方向、扶持农业农村发展财政项目的建议，按规定权限审批农业投资项目，负责农业投资项目资金安排和监督管理。</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二）负责全县农田建设管理。拟订农田建设发展规划，提出农田建设项目需求建议。负责全县农田建设管理、高标准农田建设和耕地质量管理。编制农业综合开发涉及农田建设项目、农田整治项目、农田水利建设项目的计划，并组织实施和管理。参与开展永久基本农田保护。</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三）制定全县农业科研、农技推广的规划、计划和有关政策并组织实施，牵头推动农业科技体制改革和农业科技创新体系建设。指导农业产业技术体系和农技推广体系建设，组织农作物、畜禽、水产养殖等新品种育种攻关和农业先进技术引进、试验、转化、示范、推广。负责农业转基因生物安全监督管理和农业植物新品种保护。</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（十四）指导全县农业农村人才工作。制定农业农村人才队伍建设规划并组织实施，指导农业教育和农业职业技能开发，指导新型职业农民培育、农业科技人才培养和农村实用人才培训工作。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（十五）牵头开展全县农业对外合作工作。承办政府间农业涉外事务，参与拟订农业对外开放政策和外向型农业发展规划，指导外向型农业发展。组织开展农业投资促进活动，推动农业开放合作。</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（十六）统筹协调和监督指导全县农业综合执法。负责监督指导、重大案件查处和跨区域执法的组织协调工作，承担由县本级办理的涉农违法案件。推进农业依法行政。</w:t>
      </w:r>
    </w:p>
    <w:p>
      <w:pPr>
        <w:spacing w:line="560" w:lineRule="exact"/>
        <w:ind w:firstLine="600" w:firstLineChars="200"/>
        <w:outlineLvl w:val="2"/>
        <w:rPr>
          <w:rFonts w:hint="eastAsia" w:ascii="仿宋" w:hAnsi="仿宋" w:eastAsia="仿宋" w:cs="仿宋"/>
          <w:sz w:val="30"/>
          <w:szCs w:val="30"/>
        </w:rPr>
      </w:pPr>
      <w:r>
        <w:rPr>
          <w:rFonts w:hint="eastAsia" w:ascii="仿宋" w:hAnsi="仿宋" w:eastAsia="仿宋" w:cs="仿宋"/>
          <w:sz w:val="30"/>
          <w:szCs w:val="30"/>
        </w:rPr>
        <w:t>（十七）负责职责范围内的安全生产和职业健康、生态环境保护、服务便民化等工作。</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sz w:val="30"/>
          <w:szCs w:val="30"/>
        </w:rPr>
        <w:t>（十八）完成县委、县政府交办的其他工作。</w:t>
      </w:r>
    </w:p>
    <w:p>
      <w:pPr>
        <w:widowControl/>
        <w:tabs>
          <w:tab w:val="left" w:pos="3840"/>
        </w:tabs>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（三）人员概况。</w:t>
      </w:r>
    </w:p>
    <w:p>
      <w:pPr>
        <w:spacing w:line="600" w:lineRule="exact"/>
        <w:ind w:firstLine="640" w:firstLineChars="200"/>
        <w:rPr>
          <w:rFonts w:hint="eastAsia" w:ascii="仿宋" w:hAnsi="仿宋" w:eastAsia="仿宋"/>
          <w:szCs w:val="32"/>
        </w:rPr>
      </w:pPr>
      <w:r>
        <w:rPr>
          <w:rFonts w:hint="eastAsia" w:ascii="仿宋" w:hAnsi="仿宋" w:eastAsia="仿宋"/>
          <w:szCs w:val="32"/>
        </w:rPr>
        <w:t>县农业农村局预算单位1个，其中：行政单位1个，事业单位0个。</w:t>
      </w:r>
    </w:p>
    <w:p>
      <w:pPr>
        <w:widowControl/>
        <w:tabs>
          <w:tab w:val="left" w:pos="3840"/>
        </w:tabs>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 w:hAnsi="仿宋" w:eastAsia="仿宋"/>
          <w:szCs w:val="32"/>
        </w:rPr>
        <w:t>县农业农村局总编制145名，其中：行政编制14名，工勤编制4名，事业编制127名。</w:t>
      </w:r>
      <w:r>
        <w:rPr>
          <w:rFonts w:hint="eastAsia" w:ascii="仿宋" w:hAnsi="仿宋" w:eastAsia="仿宋"/>
          <w:color w:val="auto"/>
          <w:szCs w:val="32"/>
        </w:rPr>
        <w:t>在职人员总数</w:t>
      </w:r>
      <w:r>
        <w:rPr>
          <w:rFonts w:hint="eastAsia" w:ascii="仿宋" w:hAnsi="仿宋" w:eastAsia="仿宋"/>
          <w:color w:val="auto"/>
          <w:szCs w:val="32"/>
          <w:lang w:val="en-US" w:eastAsia="zh-CN"/>
        </w:rPr>
        <w:t>116</w:t>
      </w:r>
      <w:r>
        <w:rPr>
          <w:rFonts w:hint="eastAsia" w:ascii="仿宋" w:hAnsi="仿宋" w:eastAsia="仿宋"/>
          <w:color w:val="auto"/>
          <w:szCs w:val="32"/>
        </w:rPr>
        <w:t>名，其中：行政</w:t>
      </w:r>
      <w:r>
        <w:rPr>
          <w:rFonts w:hint="eastAsia" w:ascii="仿宋" w:hAnsi="仿宋" w:eastAsia="仿宋"/>
          <w:color w:val="auto"/>
          <w:szCs w:val="32"/>
          <w:lang w:val="en-US" w:eastAsia="zh-CN"/>
        </w:rPr>
        <w:t>26</w:t>
      </w:r>
      <w:r>
        <w:rPr>
          <w:rFonts w:hint="eastAsia" w:ascii="仿宋" w:hAnsi="仿宋" w:eastAsia="仿宋"/>
          <w:color w:val="auto"/>
          <w:szCs w:val="32"/>
        </w:rPr>
        <w:t>名，事业</w:t>
      </w:r>
      <w:r>
        <w:rPr>
          <w:rFonts w:hint="eastAsia" w:ascii="仿宋" w:hAnsi="仿宋" w:eastAsia="仿宋"/>
          <w:color w:val="auto"/>
          <w:szCs w:val="32"/>
          <w:lang w:val="en-US" w:eastAsia="zh-CN"/>
        </w:rPr>
        <w:t>90</w:t>
      </w:r>
      <w:r>
        <w:rPr>
          <w:rFonts w:hint="eastAsia" w:ascii="仿宋" w:hAnsi="仿宋" w:eastAsia="仿宋"/>
          <w:color w:val="auto"/>
          <w:szCs w:val="32"/>
        </w:rPr>
        <w:t>名。</w:t>
      </w:r>
      <w:r>
        <w:rPr>
          <w:rFonts w:hint="eastAsia" w:ascii="仿宋" w:hAnsi="仿宋" w:eastAsia="仿宋"/>
          <w:szCs w:val="32"/>
        </w:rPr>
        <w:t>离休1名。</w:t>
      </w:r>
      <w:r>
        <w:rPr>
          <w:rFonts w:ascii="楷体_GB2312" w:hAnsi="宋体" w:eastAsia="楷体_GB2312" w:cs="宋体"/>
          <w:color w:val="000000"/>
          <w:kern w:val="0"/>
          <w:szCs w:val="32"/>
          <w:shd w:val="clear" w:color="auto" w:fill="FFFFFF"/>
          <w:lang w:val="zh-CN"/>
        </w:rPr>
        <w:tab/>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600" w:firstLineChars="200"/>
        <w:contextualSpacing/>
        <w:jc w:val="left"/>
        <w:rPr>
          <w:rFonts w:hint="default" w:ascii="仿宋_GB2312" w:hAnsi="宋体" w:cs="宋体"/>
          <w:color w:val="000000" w:themeColor="text1"/>
          <w:kern w:val="0"/>
          <w:szCs w:val="32"/>
          <w:shd w:val="clear" w:color="auto" w:fill="FFFFFF"/>
          <w:lang w:val="en-US" w:eastAsia="zh-CN"/>
          <w14:textFill>
            <w14:solidFill>
              <w14:schemeClr w14:val="tx1"/>
            </w14:solidFill>
          </w14:textFill>
        </w:rPr>
      </w:pPr>
      <w:r>
        <w:rPr>
          <w:rFonts w:hint="eastAsia" w:ascii="仿宋" w:hAnsi="仿宋" w:eastAsia="仿宋" w:cs="仿宋"/>
          <w:color w:val="000000"/>
          <w:kern w:val="0"/>
          <w:sz w:val="30"/>
          <w:szCs w:val="30"/>
          <w:shd w:val="clear" w:color="auto" w:fill="FFFFFF"/>
          <w:lang w:val="en-US" w:eastAsia="zh-CN"/>
        </w:rPr>
        <w:t>峨边彝族自治县农业农村局2021年财政拨款预算收入</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10712.33万元，其中一般公共预算资金9921.11万元，基金预算791.22万元</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w:t>
      </w:r>
    </w:p>
    <w:p>
      <w:pPr>
        <w:widowControl/>
        <w:numPr>
          <w:ilvl w:val="0"/>
          <w:numId w:val="0"/>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w:t>
      </w:r>
      <w:r>
        <w:rPr>
          <w:rFonts w:hint="eastAsia" w:ascii="楷体_GB2312" w:hAnsi="宋体" w:eastAsia="楷体_GB2312" w:cs="宋体"/>
          <w:color w:val="000000"/>
          <w:kern w:val="0"/>
          <w:szCs w:val="32"/>
          <w:shd w:val="clear" w:color="auto" w:fill="FFFFFF"/>
          <w:lang w:val="zh-CN" w:eastAsia="zh-CN"/>
        </w:rPr>
        <w:t>二</w:t>
      </w:r>
      <w:r>
        <w:rPr>
          <w:rFonts w:hint="eastAsia" w:ascii="楷体_GB2312" w:hAnsi="宋体" w:eastAsia="楷体_GB2312" w:cs="宋体"/>
          <w:color w:val="000000"/>
          <w:kern w:val="0"/>
          <w:szCs w:val="32"/>
          <w:shd w:val="clear" w:color="auto" w:fill="FFFFFF"/>
          <w:lang w:val="zh-CN"/>
        </w:rPr>
        <w:t>）部门财政资金支出情况。</w:t>
      </w:r>
    </w:p>
    <w:p>
      <w:pPr>
        <w:widowControl/>
        <w:adjustRightInd w:val="0"/>
        <w:snapToGrid w:val="0"/>
        <w:spacing w:line="580" w:lineRule="exact"/>
        <w:ind w:firstLine="600" w:firstLineChars="200"/>
        <w:contextualSpacing/>
        <w:jc w:val="left"/>
        <w:rPr>
          <w:rFonts w:hint="eastAsia" w:ascii="仿宋" w:hAnsi="仿宋" w:eastAsia="仿宋" w:cs="仿宋"/>
          <w:color w:val="auto"/>
          <w:kern w:val="0"/>
          <w:sz w:val="30"/>
          <w:szCs w:val="30"/>
          <w:shd w:val="clear" w:color="auto" w:fill="FFFFFF"/>
          <w:lang w:val="en-US" w:eastAsia="zh-CN"/>
        </w:rPr>
      </w:pPr>
      <w:r>
        <w:rPr>
          <w:rFonts w:hint="eastAsia" w:ascii="仿宋" w:hAnsi="仿宋" w:eastAsia="仿宋" w:cs="仿宋"/>
          <w:color w:val="000000"/>
          <w:kern w:val="0"/>
          <w:sz w:val="30"/>
          <w:szCs w:val="30"/>
          <w:shd w:val="clear" w:color="auto" w:fill="FFFFFF"/>
          <w:lang w:val="en-US" w:eastAsia="zh-CN"/>
        </w:rPr>
        <w:t>2021年我局本年财政拨款</w:t>
      </w:r>
      <w:r>
        <w:rPr>
          <w:rFonts w:hint="eastAsia" w:ascii="仿宋" w:hAnsi="仿宋" w:eastAsia="仿宋" w:cs="仿宋"/>
          <w:color w:val="000000"/>
          <w:kern w:val="0"/>
          <w:sz w:val="30"/>
          <w:szCs w:val="30"/>
          <w:highlight w:val="none"/>
          <w:shd w:val="clear" w:color="auto" w:fill="FFFFFF"/>
          <w:lang w:val="en-US" w:eastAsia="zh-CN"/>
        </w:rPr>
        <w:t>支出为</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10712.33</w:t>
      </w:r>
      <w:r>
        <w:rPr>
          <w:rFonts w:hint="eastAsia" w:ascii="仿宋" w:hAnsi="仿宋" w:eastAsia="仿宋" w:cs="仿宋"/>
          <w:color w:val="000000"/>
          <w:kern w:val="0"/>
          <w:sz w:val="30"/>
          <w:szCs w:val="30"/>
          <w:highlight w:val="none"/>
          <w:shd w:val="clear" w:color="auto" w:fill="FFFFFF"/>
          <w:lang w:val="en-US" w:eastAsia="zh-CN"/>
        </w:rPr>
        <w:t>万元。</w:t>
      </w:r>
      <w:r>
        <w:rPr>
          <w:rFonts w:hint="eastAsia" w:ascii="仿宋" w:hAnsi="仿宋" w:eastAsia="仿宋" w:cs="仿宋"/>
          <w:color w:val="000000"/>
          <w:kern w:val="0"/>
          <w:sz w:val="30"/>
          <w:szCs w:val="30"/>
          <w:highlight w:val="none"/>
          <w:shd w:val="clear" w:color="auto" w:fill="FFFFFF"/>
          <w:lang w:val="zh-CN"/>
        </w:rPr>
        <w:t>基本支出</w:t>
      </w:r>
      <w:r>
        <w:rPr>
          <w:rFonts w:hint="eastAsia" w:ascii="仿宋" w:hAnsi="仿宋" w:eastAsia="仿宋" w:cs="仿宋"/>
          <w:color w:val="000000" w:themeColor="text1"/>
          <w:kern w:val="0"/>
          <w:sz w:val="30"/>
          <w:szCs w:val="30"/>
          <w:highlight w:val="none"/>
          <w:shd w:val="clear" w:color="auto" w:fill="FFFFFF"/>
          <w:lang w:val="en-US" w:eastAsia="zh-CN"/>
          <w14:textFill>
            <w14:solidFill>
              <w14:schemeClr w14:val="tx1"/>
            </w14:solidFill>
          </w14:textFill>
        </w:rPr>
        <w:t>2491.84万元，项目支出8220.49万元</w:t>
      </w:r>
      <w:r>
        <w:rPr>
          <w:rFonts w:hint="eastAsia" w:ascii="仿宋" w:hAnsi="仿宋" w:eastAsia="仿宋" w:cs="仿宋"/>
          <w:color w:val="000000"/>
          <w:kern w:val="0"/>
          <w:sz w:val="30"/>
          <w:szCs w:val="30"/>
          <w:highlight w:val="none"/>
          <w:shd w:val="clear" w:color="auto" w:fill="FFFFFF"/>
          <w:lang w:val="en-US" w:eastAsia="zh-CN"/>
        </w:rPr>
        <w:t>，</w:t>
      </w:r>
      <w:r>
        <w:rPr>
          <w:rFonts w:hint="eastAsia" w:ascii="仿宋" w:hAnsi="仿宋" w:eastAsia="仿宋" w:cs="仿宋"/>
          <w:color w:val="000000"/>
          <w:kern w:val="0"/>
          <w:sz w:val="30"/>
          <w:szCs w:val="30"/>
          <w:shd w:val="clear" w:color="auto" w:fill="FFFFFF"/>
          <w:lang w:val="en-US" w:eastAsia="zh-CN"/>
        </w:rPr>
        <w:t>其中县本级项目支出1210.38万元，项目</w:t>
      </w:r>
      <w:r>
        <w:rPr>
          <w:rFonts w:hint="eastAsia" w:ascii="仿宋" w:hAnsi="仿宋" w:eastAsia="仿宋" w:cs="仿宋"/>
          <w:color w:val="000000" w:themeColor="text1"/>
          <w:kern w:val="0"/>
          <w:sz w:val="30"/>
          <w:szCs w:val="30"/>
          <w:shd w:val="clear" w:color="auto" w:fill="FFFFFF"/>
          <w:lang w:val="en-US" w:eastAsia="zh-CN"/>
          <w14:textFill>
            <w14:solidFill>
              <w14:schemeClr w14:val="tx1"/>
            </w14:solidFill>
          </w14:textFill>
        </w:rPr>
        <w:t>18</w:t>
      </w:r>
      <w:r>
        <w:rPr>
          <w:rFonts w:hint="eastAsia" w:ascii="仿宋" w:hAnsi="仿宋" w:eastAsia="仿宋" w:cs="仿宋"/>
          <w:color w:val="000000"/>
          <w:kern w:val="0"/>
          <w:sz w:val="30"/>
          <w:szCs w:val="30"/>
          <w:shd w:val="clear" w:color="auto" w:fill="FFFFFF"/>
          <w:lang w:val="en-US" w:eastAsia="zh-CN"/>
        </w:rPr>
        <w:t>个，具体支出为：</w:t>
      </w:r>
      <w:r>
        <w:rPr>
          <w:rFonts w:hint="eastAsia" w:ascii="仿宋" w:hAnsi="仿宋" w:eastAsia="仿宋" w:cs="仿宋"/>
          <w:color w:val="auto"/>
          <w:kern w:val="0"/>
          <w:sz w:val="30"/>
          <w:szCs w:val="30"/>
          <w:shd w:val="clear" w:color="auto" w:fill="FFFFFF"/>
          <w:lang w:val="en-US" w:eastAsia="zh-CN"/>
        </w:rPr>
        <w:t>一是2021年村级防疫员县级配套</w:t>
      </w:r>
      <w:r>
        <w:rPr>
          <w:rFonts w:hint="eastAsia" w:ascii="仿宋" w:hAnsi="仿宋" w:eastAsia="仿宋" w:cs="仿宋"/>
          <w:color w:val="auto"/>
          <w:kern w:val="0"/>
          <w:sz w:val="30"/>
          <w:szCs w:val="30"/>
          <w:highlight w:val="none"/>
          <w:shd w:val="clear" w:color="auto" w:fill="FFFFFF"/>
          <w:lang w:val="en-US" w:eastAsia="zh-CN"/>
        </w:rPr>
        <w:t>8万元;二是十年禁渔工作经费5万元;三是土地确权颁证72万元；四是无害化处理资金4.67万元；五是沼气池建设资金8万元；六是重大动物免疫防控、反应及免疫死亡处置经费0.32万元；七是秸秆粉碎机等农机购置费用及补贴33.3万元；八是重大项目前期经费102万元；九是美丽新村建设项目37.82万元，十是非洲猪瘟防控经费124.7万元；十一是涉农工作经费158.42万元；十二是解决2018年中央财政农业生产发展资金253万元。十三是县派第一书记及驻村工作队队员生活补助保障7.74万元；十四乡村振兴工作经费50万元；</w:t>
      </w:r>
      <w:r>
        <w:rPr>
          <w:rFonts w:hint="eastAsia" w:ascii="仿宋" w:hAnsi="仿宋" w:eastAsia="仿宋" w:cs="仿宋"/>
          <w:color w:val="auto"/>
          <w:kern w:val="0"/>
          <w:sz w:val="30"/>
          <w:szCs w:val="30"/>
          <w:highlight w:val="none"/>
          <w:shd w:val="clear" w:color="auto" w:fill="FFFFFF"/>
          <w:lang w:val="en-US" w:eastAsia="zh-CN"/>
        </w:rPr>
        <w:t>十五是新林镇瓦洛村小作坊建设等5个项目262.9万元；</w:t>
      </w:r>
      <w:r>
        <w:rPr>
          <w:rFonts w:hint="eastAsia" w:ascii="仿宋" w:hAnsi="仿宋" w:eastAsia="仿宋" w:cs="仿宋"/>
          <w:color w:val="auto"/>
          <w:kern w:val="0"/>
          <w:sz w:val="30"/>
          <w:szCs w:val="30"/>
          <w:highlight w:val="none"/>
          <w:shd w:val="clear" w:color="auto" w:fill="FFFFFF"/>
          <w:lang w:val="en-US" w:eastAsia="zh-CN"/>
        </w:rPr>
        <w:t>十六是2021年脱贫攻坚精准扶贫档案经费0.5万元</w:t>
      </w:r>
      <w:r>
        <w:rPr>
          <w:rFonts w:hint="eastAsia" w:ascii="仿宋" w:hAnsi="仿宋" w:eastAsia="仿宋" w:cs="仿宋"/>
          <w:color w:val="auto"/>
          <w:kern w:val="0"/>
          <w:sz w:val="30"/>
          <w:szCs w:val="30"/>
          <w:highlight w:val="none"/>
          <w:shd w:val="clear" w:color="auto" w:fill="FFFFFF"/>
          <w:lang w:val="en-US" w:eastAsia="zh-CN"/>
        </w:rPr>
        <w:t>；十七是山区现代农业扶持奖励资金57.6万元;</w:t>
      </w:r>
      <w:r>
        <w:rPr>
          <w:rFonts w:hint="eastAsia" w:ascii="仿宋" w:hAnsi="仿宋" w:eastAsia="仿宋" w:cs="仿宋"/>
          <w:color w:val="auto"/>
          <w:kern w:val="0"/>
          <w:sz w:val="30"/>
          <w:szCs w:val="30"/>
          <w:highlight w:val="none"/>
          <w:shd w:val="clear" w:color="auto" w:fill="FFFFFF"/>
          <w:lang w:val="en-US" w:eastAsia="zh-CN"/>
        </w:rPr>
        <w:t>十八是解决2018年南方现代草地畜牧业项目配套资金24.35万元</w:t>
      </w:r>
      <w:r>
        <w:rPr>
          <w:rFonts w:hint="eastAsia" w:ascii="仿宋" w:hAnsi="仿宋" w:eastAsia="仿宋" w:cs="仿宋"/>
          <w:color w:val="auto"/>
          <w:kern w:val="0"/>
          <w:sz w:val="30"/>
          <w:szCs w:val="30"/>
          <w:shd w:val="clear" w:color="auto" w:fill="FFFFFF"/>
          <w:lang w:val="en-US" w:eastAsia="zh-CN"/>
        </w:rPr>
        <w:t>。</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（一）部门预算管理。</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en-US" w:eastAsia="zh-CN"/>
        </w:rPr>
        <w:t>2021</w:t>
      </w:r>
      <w:r>
        <w:rPr>
          <w:rFonts w:hint="eastAsia" w:ascii="仿宋" w:hAnsi="仿宋" w:eastAsia="仿宋" w:cs="仿宋"/>
          <w:color w:val="000000"/>
          <w:kern w:val="0"/>
          <w:sz w:val="30"/>
          <w:szCs w:val="30"/>
          <w:shd w:val="clear" w:color="auto" w:fill="FFFFFF"/>
          <w:lang w:val="zh-CN"/>
        </w:rPr>
        <w:t>年部门预算项目整体经过严格评估论证，建立健全管理制度，预算编制准确、支出进度较快，预算完成情况较好，但是因为编制个别项目时，如：</w:t>
      </w:r>
      <w:r>
        <w:rPr>
          <w:rFonts w:hint="eastAsia" w:ascii="仿宋" w:hAnsi="仿宋" w:eastAsia="仿宋" w:cs="仿宋"/>
          <w:color w:val="000000"/>
          <w:kern w:val="0"/>
          <w:sz w:val="30"/>
          <w:szCs w:val="30"/>
          <w:shd w:val="clear" w:color="auto" w:fill="FFFFFF"/>
          <w:lang w:val="en-US" w:eastAsia="zh-CN"/>
        </w:rPr>
        <w:t>2021年农博会、茶博会、各级农产品展销支出项</w:t>
      </w:r>
      <w:r>
        <w:rPr>
          <w:rFonts w:hint="eastAsia" w:ascii="仿宋" w:hAnsi="仿宋" w:eastAsia="仿宋" w:cs="仿宋"/>
          <w:color w:val="auto"/>
          <w:kern w:val="0"/>
          <w:sz w:val="30"/>
          <w:szCs w:val="30"/>
          <w:shd w:val="clear" w:color="auto" w:fill="FFFFFF"/>
          <w:lang w:val="en-US" w:eastAsia="zh-CN"/>
        </w:rPr>
        <w:t>重大动物免疫防控、反应及免疫死亡处置经费项目</w:t>
      </w:r>
      <w:r>
        <w:rPr>
          <w:rFonts w:hint="eastAsia" w:ascii="仿宋" w:hAnsi="仿宋" w:eastAsia="仿宋" w:cs="仿宋"/>
          <w:color w:val="000000"/>
          <w:kern w:val="0"/>
          <w:sz w:val="30"/>
          <w:szCs w:val="30"/>
          <w:shd w:val="clear" w:color="auto" w:fill="FFFFFF"/>
          <w:lang w:val="en-US" w:eastAsia="zh-CN"/>
        </w:rPr>
        <w:t>时，没有细化量化，没有与上级部门沟通，导致绩效目标实际实现程度与预期目标的偏离。</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en-US" w:eastAsia="zh-CN"/>
        </w:rPr>
        <w:t>2021</w:t>
      </w:r>
      <w:r>
        <w:rPr>
          <w:rFonts w:hint="eastAsia" w:ascii="仿宋" w:hAnsi="仿宋" w:eastAsia="仿宋" w:cs="仿宋"/>
          <w:color w:val="000000"/>
          <w:kern w:val="0"/>
          <w:sz w:val="30"/>
          <w:szCs w:val="30"/>
          <w:shd w:val="clear" w:color="auto" w:fill="FFFFFF"/>
          <w:lang w:val="zh-CN"/>
        </w:rPr>
        <w:t>年我局基本支出为</w:t>
      </w:r>
      <w:r>
        <w:rPr>
          <w:rFonts w:hint="eastAsia" w:ascii="仿宋" w:hAnsi="仿宋" w:eastAsia="仿宋" w:cs="仿宋"/>
          <w:color w:val="000000"/>
          <w:kern w:val="0"/>
          <w:sz w:val="30"/>
          <w:szCs w:val="30"/>
          <w:highlight w:val="none"/>
          <w:shd w:val="clear" w:color="auto" w:fill="FFFFFF"/>
          <w:lang w:val="en-US" w:eastAsia="zh-CN"/>
        </w:rPr>
        <w:t>2491.84</w:t>
      </w:r>
      <w:r>
        <w:rPr>
          <w:rFonts w:hint="eastAsia" w:ascii="仿宋" w:hAnsi="仿宋" w:eastAsia="仿宋" w:cs="仿宋"/>
          <w:color w:val="000000"/>
          <w:kern w:val="0"/>
          <w:sz w:val="30"/>
          <w:szCs w:val="30"/>
          <w:highlight w:val="none"/>
          <w:shd w:val="clear" w:color="auto" w:fill="FFFFFF"/>
          <w:lang w:val="zh-CN"/>
        </w:rPr>
        <w:t>万元</w:t>
      </w:r>
      <w:r>
        <w:rPr>
          <w:rFonts w:hint="eastAsia" w:ascii="仿宋" w:hAnsi="仿宋" w:eastAsia="仿宋" w:cs="仿宋"/>
          <w:color w:val="000000"/>
          <w:kern w:val="0"/>
          <w:sz w:val="30"/>
          <w:szCs w:val="30"/>
          <w:shd w:val="clear" w:color="auto" w:fill="FFFFFF"/>
          <w:lang w:val="zh-CN"/>
        </w:rPr>
        <w:t>，主要用于：一是</w:t>
      </w:r>
      <w:r>
        <w:rPr>
          <w:rFonts w:hint="eastAsia" w:ascii="仿宋" w:hAnsi="仿宋" w:eastAsia="仿宋" w:cs="仿宋"/>
          <w:color w:val="000000"/>
          <w:kern w:val="0"/>
          <w:sz w:val="30"/>
          <w:szCs w:val="30"/>
          <w:shd w:val="clear" w:color="auto" w:fill="FFFFFF"/>
          <w:lang w:val="zh-CN" w:eastAsia="zh-CN"/>
        </w:rPr>
        <w:t>人员</w:t>
      </w:r>
      <w:r>
        <w:rPr>
          <w:rFonts w:hint="eastAsia" w:ascii="仿宋" w:hAnsi="仿宋" w:eastAsia="仿宋" w:cs="仿宋"/>
          <w:color w:val="000000"/>
          <w:kern w:val="0"/>
          <w:sz w:val="30"/>
          <w:szCs w:val="30"/>
          <w:shd w:val="clear" w:color="auto" w:fill="FFFFFF"/>
          <w:lang w:val="zh-CN"/>
        </w:rPr>
        <w:t>的基本工资、津补贴、养老保险、年金、伙食补助等人员经费支出，而是用于电费、水费、邮电费、差旅费、办公费等日常公用经费支出。</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en-US" w:eastAsia="zh-CN"/>
        </w:rPr>
        <w:t>2021</w:t>
      </w:r>
      <w:r>
        <w:rPr>
          <w:rFonts w:hint="eastAsia" w:ascii="仿宋" w:hAnsi="仿宋" w:eastAsia="仿宋" w:cs="仿宋"/>
          <w:color w:val="000000"/>
          <w:kern w:val="0"/>
          <w:sz w:val="30"/>
          <w:szCs w:val="30"/>
          <w:shd w:val="clear" w:color="auto" w:fill="FFFFFF"/>
          <w:lang w:val="zh-CN"/>
        </w:rPr>
        <w:t>年我局项目支出为</w:t>
      </w:r>
      <w:r>
        <w:rPr>
          <w:rFonts w:hint="eastAsia" w:ascii="仿宋" w:hAnsi="仿宋" w:eastAsia="仿宋" w:cs="仿宋"/>
          <w:color w:val="000000"/>
          <w:kern w:val="0"/>
          <w:sz w:val="30"/>
          <w:szCs w:val="30"/>
          <w:highlight w:val="none"/>
          <w:shd w:val="clear" w:color="auto" w:fill="FFFFFF"/>
          <w:lang w:val="en-US" w:eastAsia="zh-CN"/>
        </w:rPr>
        <w:t>8220.49</w:t>
      </w:r>
      <w:r>
        <w:rPr>
          <w:rFonts w:hint="eastAsia" w:ascii="仿宋" w:hAnsi="仿宋" w:eastAsia="仿宋" w:cs="仿宋"/>
          <w:color w:val="000000"/>
          <w:kern w:val="0"/>
          <w:sz w:val="30"/>
          <w:szCs w:val="30"/>
          <w:highlight w:val="none"/>
          <w:shd w:val="clear" w:color="auto" w:fill="FFFFFF"/>
          <w:lang w:val="zh-CN"/>
        </w:rPr>
        <w:t>万元</w:t>
      </w:r>
      <w:r>
        <w:rPr>
          <w:rFonts w:hint="eastAsia" w:ascii="仿宋" w:hAnsi="仿宋" w:eastAsia="仿宋" w:cs="仿宋"/>
          <w:color w:val="000000"/>
          <w:kern w:val="0"/>
          <w:sz w:val="30"/>
          <w:szCs w:val="30"/>
          <w:shd w:val="clear" w:color="auto" w:fill="FFFFFF"/>
          <w:lang w:val="zh-CN"/>
        </w:rPr>
        <w:t>，主要用于农产品质量安全双认证、扶贫资金、重大动物疫病强制免疫等项目支出。</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（二）项目预算管理。（有项目预算的部门需要阐述此部分）</w:t>
      </w:r>
    </w:p>
    <w:p>
      <w:pPr>
        <w:widowControl/>
        <w:adjustRightInd w:val="0"/>
        <w:snapToGrid w:val="0"/>
        <w:spacing w:line="580" w:lineRule="exact"/>
        <w:ind w:firstLine="600" w:firstLineChars="200"/>
        <w:contextualSpacing/>
        <w:jc w:val="left"/>
        <w:rPr>
          <w:rFonts w:hint="default" w:ascii="仿宋" w:hAnsi="仿宋" w:eastAsia="仿宋" w:cs="仿宋"/>
          <w:color w:val="000000"/>
          <w:kern w:val="0"/>
          <w:sz w:val="30"/>
          <w:szCs w:val="30"/>
          <w:shd w:val="clear" w:color="auto" w:fill="FFFFFF"/>
          <w:lang w:val="en-US" w:eastAsia="zh-CN"/>
        </w:rPr>
      </w:pPr>
      <w:r>
        <w:rPr>
          <w:rFonts w:hint="eastAsia" w:ascii="仿宋" w:hAnsi="仿宋" w:eastAsia="仿宋" w:cs="仿宋"/>
          <w:color w:val="000000"/>
          <w:kern w:val="0"/>
          <w:sz w:val="30"/>
          <w:szCs w:val="30"/>
          <w:shd w:val="clear" w:color="auto" w:fill="FFFFFF"/>
          <w:lang w:val="en-US" w:eastAsia="zh-CN"/>
        </w:rPr>
        <w:t>2021年我部门县级预算项目18个，一是2021年村级防疫员县级配套资金8万元，全县96个村级防疫员，每人每年0.24万元的补助资金，全部完成。二是十年禁渔工作经费5万元，该项目完成发放宣传清单10000余份，全面完成目标任务。三是土地确权颁证经费50万元，该项目为2015年实施项目，于2020年全面完成颁证工作，实现支出72万元，增加的22万元为中期调整（</w:t>
      </w:r>
      <w:r>
        <w:rPr>
          <w:rFonts w:hint="eastAsia" w:ascii="仿宋" w:hAnsi="仿宋" w:eastAsia="仿宋" w:cs="仿宋"/>
          <w:color w:val="auto"/>
          <w:kern w:val="0"/>
          <w:sz w:val="30"/>
          <w:szCs w:val="30"/>
          <w:shd w:val="clear" w:color="auto" w:fill="FFFFFF"/>
          <w:lang w:val="en-US" w:eastAsia="zh-CN"/>
        </w:rPr>
        <w:t>重大动物免疫防控、反应及免疫死亡处置经费项目</w:t>
      </w:r>
      <w:r>
        <w:rPr>
          <w:rFonts w:hint="eastAsia" w:ascii="仿宋" w:hAnsi="仿宋" w:eastAsia="仿宋" w:cs="仿宋"/>
          <w:color w:val="000000"/>
          <w:kern w:val="0"/>
          <w:sz w:val="30"/>
          <w:szCs w:val="30"/>
          <w:shd w:val="clear" w:color="auto" w:fill="FFFFFF"/>
          <w:lang w:val="en-US" w:eastAsia="zh-CN"/>
        </w:rPr>
        <w:t>）。四是养殖环节、屠宰环节无害化处理资金7.2万元，该项目实现支出4.67万元，完成养殖环节无害处理2085头，完成屠宰环节38头。五是沼气池建设资金，该项目为中期调整项目（</w:t>
      </w:r>
      <w:r>
        <w:rPr>
          <w:rFonts w:hint="eastAsia" w:ascii="仿宋" w:hAnsi="仿宋" w:eastAsia="仿宋" w:cs="仿宋"/>
          <w:color w:val="auto"/>
          <w:kern w:val="0"/>
          <w:sz w:val="30"/>
          <w:szCs w:val="30"/>
          <w:shd w:val="clear" w:color="auto" w:fill="FFFFFF"/>
          <w:lang w:val="en-US" w:eastAsia="zh-CN"/>
        </w:rPr>
        <w:t>重大动物免疫防控、反应及免疫死亡处置经费项目</w:t>
      </w:r>
      <w:r>
        <w:rPr>
          <w:rFonts w:hint="eastAsia" w:ascii="仿宋" w:hAnsi="仿宋" w:eastAsia="仿宋" w:cs="仿宋"/>
          <w:color w:val="000000"/>
          <w:kern w:val="0"/>
          <w:sz w:val="30"/>
          <w:szCs w:val="30"/>
          <w:shd w:val="clear" w:color="auto" w:fill="FFFFFF"/>
          <w:lang w:val="en-US" w:eastAsia="zh-CN"/>
        </w:rPr>
        <w:t>），实现支出8万元，全面完成目标任务。六是</w:t>
      </w:r>
      <w:r>
        <w:rPr>
          <w:rFonts w:hint="eastAsia" w:ascii="仿宋" w:hAnsi="仿宋" w:eastAsia="仿宋" w:cs="仿宋"/>
          <w:color w:val="auto"/>
          <w:kern w:val="0"/>
          <w:sz w:val="30"/>
          <w:szCs w:val="30"/>
          <w:shd w:val="clear" w:color="auto" w:fill="FFFFFF"/>
          <w:lang w:val="en-US" w:eastAsia="zh-CN"/>
        </w:rPr>
        <w:t>重大动物免疫防控、反应及免疫死亡处置经费35万元，该项目中期调整调减支出30万元，实现支出0.31万元。七是秸秆粉碎机等农机购置费用及补贴33.3万元，该项目完成对全年购置符合补贴要求的农机农户进行补贴，以及采购秸秆粉碎机用于全县秸秆粉碎工作。八是重大项目前期工作经费102万元，实现支出102万元。主要用于高标准农田建设项目、沙坪茶产业融合示范园项目、畜禽污资源化综合利用等重大项目编制。九是美丽新村建设项目37.82万元，该项目资金主要用于新场乡羊子岩村美丽新村项目建设及先锋村龚沟通组路项目建设。十是非洲猪瘟防控经费124.7万元，主要用于购置非洲猪瘟疫情防控所需物品以及处置费用。十一是涉农工作经费158.42万元，该项目主要是用于涉农项目资料编制展板制作打印复印等。十二是解决2018年中央财政农业生产发展资金253万元，主要用于兑付2018年南方种草项目、平等清溪粪污治理项目资金。十三是县派第一书记及驻村工作队队员生活补助保障项目7.74万元，主要是用于县派第一书记及驻村工作队生活补助。十四是乡村振兴工作经费50万元，主要是用于开展乡村振兴工作中日常打印复印、展板标语制作等费用。</w:t>
      </w:r>
      <w:r>
        <w:rPr>
          <w:rFonts w:hint="eastAsia" w:ascii="仿宋" w:hAnsi="仿宋" w:eastAsia="仿宋" w:cs="仿宋"/>
          <w:color w:val="auto"/>
          <w:kern w:val="0"/>
          <w:sz w:val="30"/>
          <w:szCs w:val="30"/>
          <w:highlight w:val="none"/>
          <w:shd w:val="clear" w:color="auto" w:fill="FFFFFF"/>
          <w:lang w:val="en-US" w:eastAsia="zh-CN"/>
        </w:rPr>
        <w:t>十五是新林镇瓦洛村小作坊建设等5个项目262.9万元，主要是用于新林镇瓦洛村小作坊建设项目。十六是2021年脱贫攻坚精准扶贫档案经费0.5万元，主要用于脱贫攻坚精准扶贫档案的规置费用。十七是山区现代农业扶持奖励资金57.6万元，该项目主要是对符合山区现代农业发展政策的企业进行奖补。十八是解决2018年南方现代草地畜牧业项目配套资金24.35万元</w:t>
      </w:r>
      <w:r>
        <w:rPr>
          <w:rFonts w:hint="eastAsia" w:ascii="仿宋" w:hAnsi="仿宋" w:eastAsia="仿宋" w:cs="仿宋"/>
          <w:color w:val="auto"/>
          <w:kern w:val="0"/>
          <w:sz w:val="30"/>
          <w:szCs w:val="30"/>
          <w:shd w:val="clear" w:color="auto" w:fill="FFFFFF"/>
          <w:lang w:val="en-US" w:eastAsia="zh-CN"/>
        </w:rPr>
        <w:t>。</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en-US" w:eastAsia="zh-CN"/>
        </w:rPr>
        <w:t>2021</w:t>
      </w:r>
      <w:r>
        <w:rPr>
          <w:rFonts w:hint="eastAsia" w:ascii="仿宋" w:hAnsi="仿宋" w:eastAsia="仿宋" w:cs="仿宋"/>
          <w:color w:val="000000"/>
          <w:kern w:val="0"/>
          <w:sz w:val="30"/>
          <w:szCs w:val="30"/>
          <w:shd w:val="clear" w:color="auto" w:fill="FFFFFF"/>
          <w:lang w:val="zh-CN"/>
        </w:rPr>
        <w:t>年我局部门财政资金收入为</w:t>
      </w:r>
      <w:r>
        <w:rPr>
          <w:rFonts w:hint="eastAsia" w:ascii="仿宋" w:hAnsi="仿宋" w:eastAsia="仿宋" w:cs="仿宋"/>
          <w:color w:val="000000"/>
          <w:kern w:val="0"/>
          <w:sz w:val="30"/>
          <w:szCs w:val="30"/>
          <w:highlight w:val="none"/>
          <w:shd w:val="clear" w:color="auto" w:fill="FFFFFF"/>
          <w:lang w:val="en-US" w:eastAsia="zh-CN"/>
        </w:rPr>
        <w:t>10712.33</w:t>
      </w:r>
      <w:r>
        <w:rPr>
          <w:rFonts w:hint="eastAsia" w:ascii="仿宋" w:hAnsi="仿宋" w:eastAsia="仿宋" w:cs="仿宋"/>
          <w:color w:val="000000"/>
          <w:kern w:val="0"/>
          <w:sz w:val="30"/>
          <w:szCs w:val="30"/>
          <w:highlight w:val="none"/>
          <w:shd w:val="clear" w:color="auto" w:fill="FFFFFF"/>
          <w:lang w:val="zh-CN"/>
        </w:rPr>
        <w:t>万元</w:t>
      </w:r>
      <w:r>
        <w:rPr>
          <w:rFonts w:hint="eastAsia" w:ascii="仿宋" w:hAnsi="仿宋" w:eastAsia="仿宋" w:cs="仿宋"/>
          <w:color w:val="000000"/>
          <w:kern w:val="0"/>
          <w:sz w:val="30"/>
          <w:szCs w:val="30"/>
          <w:shd w:val="clear" w:color="auto" w:fill="FFFFFF"/>
          <w:lang w:val="zh-CN"/>
        </w:rPr>
        <w:t>，</w:t>
      </w:r>
      <w:bookmarkStart w:id="0" w:name="_GoBack"/>
      <w:r>
        <w:rPr>
          <w:rFonts w:hint="eastAsia" w:ascii="仿宋" w:hAnsi="仿宋" w:eastAsia="仿宋" w:cs="仿宋"/>
          <w:color w:val="000000"/>
          <w:kern w:val="0"/>
          <w:sz w:val="30"/>
          <w:szCs w:val="30"/>
          <w:highlight w:val="none"/>
          <w:shd w:val="clear" w:color="auto" w:fill="FFFFFF"/>
          <w:lang w:val="zh-CN"/>
        </w:rPr>
        <w:t>支出为</w:t>
      </w:r>
      <w:r>
        <w:rPr>
          <w:rFonts w:hint="eastAsia" w:ascii="仿宋" w:hAnsi="仿宋" w:eastAsia="仿宋" w:cs="仿宋"/>
          <w:color w:val="000000"/>
          <w:kern w:val="0"/>
          <w:sz w:val="30"/>
          <w:szCs w:val="30"/>
          <w:highlight w:val="none"/>
          <w:shd w:val="clear" w:color="auto" w:fill="FFFFFF"/>
          <w:lang w:val="en-US" w:eastAsia="zh-CN"/>
        </w:rPr>
        <w:t>10712.33</w:t>
      </w:r>
      <w:bookmarkEnd w:id="0"/>
      <w:r>
        <w:rPr>
          <w:rFonts w:hint="eastAsia" w:ascii="仿宋" w:hAnsi="仿宋" w:eastAsia="仿宋" w:cs="仿宋"/>
          <w:color w:val="000000"/>
          <w:kern w:val="0"/>
          <w:sz w:val="30"/>
          <w:szCs w:val="30"/>
          <w:shd w:val="clear" w:color="auto" w:fill="FFFFFF"/>
          <w:lang w:val="zh-CN"/>
        </w:rPr>
        <w:t>万元，预算执行情况为</w:t>
      </w:r>
      <w:r>
        <w:rPr>
          <w:rFonts w:hint="eastAsia" w:ascii="仿宋" w:hAnsi="仿宋" w:eastAsia="仿宋" w:cs="仿宋"/>
          <w:color w:val="000000"/>
          <w:kern w:val="0"/>
          <w:sz w:val="30"/>
          <w:szCs w:val="30"/>
          <w:shd w:val="clear" w:color="auto" w:fill="FFFFFF"/>
          <w:lang w:val="en-US" w:eastAsia="zh-CN"/>
        </w:rPr>
        <w:t>100%</w:t>
      </w:r>
      <w:r>
        <w:rPr>
          <w:rFonts w:hint="eastAsia" w:ascii="仿宋" w:hAnsi="仿宋" w:eastAsia="仿宋" w:cs="仿宋"/>
          <w:color w:val="000000"/>
          <w:kern w:val="0"/>
          <w:sz w:val="30"/>
          <w:szCs w:val="30"/>
          <w:shd w:val="clear" w:color="auto" w:fill="FFFFFF"/>
          <w:lang w:val="zh-CN"/>
        </w:rPr>
        <w:t>，较好地完成了县委政府下达的目标任务，部门支出自评质量高，绩效目标及时公开，社会反映良好。</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00" w:firstLineChars="200"/>
        <w:contextualSpacing/>
        <w:jc w:val="left"/>
        <w:rPr>
          <w:rFonts w:hint="eastAsia" w:ascii="仿宋" w:hAnsi="仿宋" w:eastAsia="仿宋" w:cs="仿宋"/>
          <w:color w:val="000000"/>
          <w:kern w:val="0"/>
          <w:sz w:val="30"/>
          <w:szCs w:val="30"/>
          <w:shd w:val="clear" w:color="auto" w:fill="FFFFFF"/>
          <w:lang w:val="zh-CN"/>
        </w:rPr>
      </w:pPr>
      <w:r>
        <w:rPr>
          <w:rFonts w:hint="eastAsia" w:ascii="仿宋" w:hAnsi="仿宋" w:eastAsia="仿宋" w:cs="仿宋"/>
          <w:color w:val="000000"/>
          <w:kern w:val="0"/>
          <w:sz w:val="30"/>
          <w:szCs w:val="30"/>
          <w:shd w:val="clear" w:color="auto" w:fill="FFFFFF"/>
          <w:lang w:val="zh-CN"/>
        </w:rPr>
        <w:t>根据《峨边彝族自治县财政局 关于开展20</w:t>
      </w:r>
      <w:r>
        <w:rPr>
          <w:rFonts w:hint="eastAsia" w:ascii="仿宋" w:hAnsi="仿宋" w:eastAsia="仿宋" w:cs="仿宋"/>
          <w:color w:val="000000"/>
          <w:kern w:val="0"/>
          <w:sz w:val="30"/>
          <w:szCs w:val="30"/>
          <w:shd w:val="clear" w:color="auto" w:fill="FFFFFF"/>
          <w:lang w:val="en-US" w:eastAsia="zh-CN"/>
        </w:rPr>
        <w:t>21</w:t>
      </w:r>
      <w:r>
        <w:rPr>
          <w:rFonts w:hint="eastAsia" w:ascii="仿宋" w:hAnsi="仿宋" w:eastAsia="仿宋" w:cs="仿宋"/>
          <w:color w:val="000000"/>
          <w:kern w:val="0"/>
          <w:sz w:val="30"/>
          <w:szCs w:val="30"/>
          <w:shd w:val="clear" w:color="auto" w:fill="FFFFFF"/>
          <w:lang w:val="zh-CN"/>
        </w:rPr>
        <w:t>年财政绩效评价工作的通知》文件精神，</w:t>
      </w:r>
      <w:r>
        <w:rPr>
          <w:rFonts w:hint="eastAsia" w:ascii="仿宋" w:hAnsi="仿宋" w:eastAsia="仿宋" w:cs="仿宋"/>
          <w:color w:val="000000"/>
          <w:kern w:val="0"/>
          <w:sz w:val="30"/>
          <w:szCs w:val="30"/>
          <w:shd w:val="clear" w:color="auto" w:fill="FFFFFF"/>
          <w:lang w:val="en-US" w:eastAsia="zh-CN"/>
        </w:rPr>
        <w:t>峨边彝族自治县农业农村局认真组织开展了部门整体支出绩效评价工作，绩效评价</w:t>
      </w:r>
      <w:r>
        <w:rPr>
          <w:rFonts w:hint="eastAsia" w:ascii="仿宋" w:hAnsi="仿宋" w:eastAsia="仿宋" w:cs="仿宋"/>
          <w:color w:val="000000"/>
          <w:kern w:val="0"/>
          <w:sz w:val="30"/>
          <w:szCs w:val="30"/>
          <w:shd w:val="clear" w:color="auto" w:fill="FFFFFF"/>
          <w:lang w:val="zh-CN"/>
        </w:rPr>
        <w:t>得分：</w:t>
      </w:r>
      <w:r>
        <w:rPr>
          <w:rFonts w:hint="eastAsia" w:ascii="仿宋" w:hAnsi="仿宋" w:eastAsia="仿宋" w:cs="仿宋"/>
          <w:color w:val="000000"/>
          <w:kern w:val="0"/>
          <w:sz w:val="30"/>
          <w:szCs w:val="30"/>
          <w:shd w:val="clear" w:color="auto" w:fill="FFFFFF"/>
          <w:lang w:val="en-US" w:eastAsia="zh-CN"/>
        </w:rPr>
        <w:t xml:space="preserve"> 94.5 </w:t>
      </w:r>
      <w:r>
        <w:rPr>
          <w:rFonts w:hint="eastAsia" w:ascii="仿宋" w:hAnsi="仿宋" w:eastAsia="仿宋" w:cs="仿宋"/>
          <w:color w:val="000000"/>
          <w:kern w:val="0"/>
          <w:sz w:val="30"/>
          <w:szCs w:val="30"/>
          <w:shd w:val="clear" w:color="auto" w:fill="FFFFFF"/>
          <w:lang w:val="zh-CN"/>
        </w:rPr>
        <w:t>分。</w:t>
      </w:r>
    </w:p>
    <w:p>
      <w:pPr>
        <w:widowControl/>
        <w:numPr>
          <w:ilvl w:val="0"/>
          <w:numId w:val="2"/>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widowControl/>
        <w:numPr>
          <w:ilvl w:val="0"/>
          <w:numId w:val="0"/>
        </w:numPr>
        <w:adjustRightInd w:val="0"/>
        <w:snapToGrid w:val="0"/>
        <w:spacing w:line="580" w:lineRule="exact"/>
        <w:ind w:firstLine="640" w:firstLineChars="200"/>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zh-CN"/>
        </w:rPr>
        <w:t>在编制项目预算时，政府支出经济科目中期调整比较多。</w:t>
      </w:r>
    </w:p>
    <w:p>
      <w:pPr>
        <w:widowControl/>
        <w:numPr>
          <w:ilvl w:val="0"/>
          <w:numId w:val="2"/>
        </w:numPr>
        <w:adjustRightInd w:val="0"/>
        <w:snapToGrid w:val="0"/>
        <w:spacing w:line="580" w:lineRule="exact"/>
        <w:ind w:left="0" w:leftChars="0" w:firstLine="0" w:firstLineChars="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widowControl/>
        <w:numPr>
          <w:ilvl w:val="0"/>
          <w:numId w:val="0"/>
        </w:numPr>
        <w:adjustRightInd w:val="0"/>
        <w:snapToGrid w:val="0"/>
        <w:spacing w:line="580" w:lineRule="exact"/>
        <w:contextualSpacing/>
        <w:jc w:val="left"/>
        <w:rPr>
          <w:rFonts w:hint="eastAsia" w:ascii="仿宋" w:hAnsi="仿宋" w:eastAsia="仿宋" w:cs="仿宋"/>
          <w:color w:val="000000"/>
          <w:kern w:val="0"/>
          <w:szCs w:val="32"/>
          <w:shd w:val="clear" w:color="auto" w:fill="FFFFFF"/>
          <w:lang w:val="zh-CN"/>
        </w:rPr>
      </w:pPr>
      <w:r>
        <w:rPr>
          <w:rFonts w:hint="eastAsia" w:ascii="仿宋" w:hAnsi="仿宋" w:eastAsia="仿宋" w:cs="仿宋"/>
          <w:color w:val="000000"/>
          <w:kern w:val="0"/>
          <w:szCs w:val="32"/>
          <w:shd w:val="clear" w:color="auto" w:fill="FFFFFF"/>
          <w:lang w:val="en-US" w:eastAsia="zh-CN"/>
        </w:rPr>
        <w:t xml:space="preserve">   </w:t>
      </w:r>
      <w:r>
        <w:rPr>
          <w:rFonts w:hint="eastAsia" w:ascii="仿宋" w:hAnsi="仿宋" w:eastAsia="仿宋" w:cs="仿宋"/>
          <w:color w:val="000000"/>
          <w:kern w:val="0"/>
          <w:szCs w:val="32"/>
          <w:shd w:val="clear" w:color="auto" w:fill="FFFFFF"/>
          <w:lang w:val="zh-CN"/>
        </w:rPr>
        <w:t>加大对预算的科学化、精细化管理，进一步使项目支出更科学，更严谨。</w:t>
      </w:r>
    </w:p>
    <w:p>
      <w:pPr>
        <w:widowControl/>
        <w:numPr>
          <w:ilvl w:val="0"/>
          <w:numId w:val="0"/>
        </w:numPr>
        <w:adjustRightInd w:val="0"/>
        <w:snapToGrid w:val="0"/>
        <w:spacing w:line="580" w:lineRule="exact"/>
        <w:contextualSpacing/>
        <w:jc w:val="left"/>
        <w:rPr>
          <w:rFonts w:hint="eastAsia" w:ascii="仿宋" w:hAnsi="仿宋" w:eastAsia="仿宋" w:cs="仿宋"/>
          <w:color w:val="000000"/>
          <w:kern w:val="0"/>
          <w:szCs w:val="32"/>
          <w:shd w:val="clear" w:color="auto" w:fill="FFFFFF"/>
          <w:lang w:val="en-US" w:eastAsia="zh-CN"/>
        </w:rPr>
      </w:pPr>
      <w:r>
        <w:rPr>
          <w:rFonts w:hint="eastAsia" w:ascii="仿宋" w:hAnsi="仿宋" w:eastAsia="仿宋" w:cs="仿宋"/>
          <w:color w:val="000000"/>
          <w:kern w:val="0"/>
          <w:szCs w:val="32"/>
          <w:shd w:val="clear" w:color="auto" w:fill="FFFFFF"/>
          <w:lang w:val="en-US" w:eastAsia="zh-CN"/>
        </w:rPr>
        <w:t xml:space="preserve">     </w:t>
      </w:r>
    </w:p>
    <w:p>
      <w:pPr>
        <w:widowControl/>
        <w:numPr>
          <w:ilvl w:val="0"/>
          <w:numId w:val="0"/>
        </w:numPr>
        <w:adjustRightInd w:val="0"/>
        <w:snapToGrid w:val="0"/>
        <w:spacing w:line="580" w:lineRule="exact"/>
        <w:ind w:leftChars="0"/>
        <w:contextualSpacing/>
        <w:jc w:val="left"/>
        <w:rPr>
          <w:rFonts w:hint="eastAsia"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egoe UI">
    <w:panose1 w:val="020B0502040204020203"/>
    <w:charset w:val="00"/>
    <w:family w:val="auto"/>
    <w:pitch w:val="default"/>
    <w:sig w:usb0="E10022FF" w:usb1="C000E47F" w:usb2="00000029" w:usb3="00000000" w:csb0="200001DF" w:csb1="2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413DC"/>
    <w:multiLevelType w:val="singleLevel"/>
    <w:tmpl w:val="F5D413DC"/>
    <w:lvl w:ilvl="0" w:tentative="0">
      <w:start w:val="2"/>
      <w:numFmt w:val="chineseCounting"/>
      <w:suff w:val="nothing"/>
      <w:lvlText w:val="（%1）"/>
      <w:lvlJc w:val="left"/>
      <w:rPr>
        <w:rFonts w:hint="eastAsia"/>
      </w:rPr>
    </w:lvl>
  </w:abstractNum>
  <w:abstractNum w:abstractNumId="1">
    <w:nsid w:val="F7AD35F6"/>
    <w:multiLevelType w:val="singleLevel"/>
    <w:tmpl w:val="F7AD35F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jMTMzMjE3YTY2MDNjM2U4YjA2NzE4YmMwNjcxNjkifQ=="/>
  </w:docVars>
  <w:rsids>
    <w:rsidRoot w:val="00EC0174"/>
    <w:rsid w:val="00006E4D"/>
    <w:rsid w:val="00021652"/>
    <w:rsid w:val="00030311"/>
    <w:rsid w:val="00030782"/>
    <w:rsid w:val="00030B66"/>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54C87"/>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2164"/>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8592512"/>
    <w:rsid w:val="10441036"/>
    <w:rsid w:val="14F700B6"/>
    <w:rsid w:val="19927F78"/>
    <w:rsid w:val="1AD35B7C"/>
    <w:rsid w:val="21AE59D8"/>
    <w:rsid w:val="286F56EA"/>
    <w:rsid w:val="2D527252"/>
    <w:rsid w:val="329102D6"/>
    <w:rsid w:val="35097891"/>
    <w:rsid w:val="3A9520B3"/>
    <w:rsid w:val="3DBD4858"/>
    <w:rsid w:val="3DE562B7"/>
    <w:rsid w:val="3E6507EA"/>
    <w:rsid w:val="42745E2B"/>
    <w:rsid w:val="47550EBA"/>
    <w:rsid w:val="4B9E30CE"/>
    <w:rsid w:val="4C7F3668"/>
    <w:rsid w:val="50BB3388"/>
    <w:rsid w:val="551E30A1"/>
    <w:rsid w:val="56640FAC"/>
    <w:rsid w:val="5B1769FD"/>
    <w:rsid w:val="61B15C2F"/>
    <w:rsid w:val="6636451A"/>
    <w:rsid w:val="6B20565B"/>
    <w:rsid w:val="6B456583"/>
    <w:rsid w:val="6BE94116"/>
    <w:rsid w:val="6F9F0D56"/>
    <w:rsid w:val="6FDA2517"/>
    <w:rsid w:val="72C708B1"/>
    <w:rsid w:val="75877431"/>
    <w:rsid w:val="78916378"/>
    <w:rsid w:val="7BC20073"/>
    <w:rsid w:val="7C631402"/>
    <w:rsid w:val="7D411B8E"/>
    <w:rsid w:val="7DCC0F6E"/>
    <w:rsid w:val="7E140770"/>
    <w:rsid w:val="9BFF6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Pages>
  <Words>309</Words>
  <Characters>309</Characters>
  <Lines>2</Lines>
  <Paragraphs>1</Paragraphs>
  <TotalTime>0</TotalTime>
  <ScaleCrop>false</ScaleCrop>
  <LinksUpToDate>false</LinksUpToDate>
  <CharactersWithSpaces>310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2022-08-24T07:13:19Z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1D52263B664E44ECBC76681F688D2F46</vt:lpwstr>
  </property>
</Properties>
</file>