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59374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5CE36FD5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070C1B1F"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福彩圆梦・孤儿助学工程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56AEAA7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（项目单位自评）</w:t>
      </w:r>
    </w:p>
    <w:p w14:paraId="0C17EF0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66EBFD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6D2BA6DC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（一）项目基本情况。</w:t>
      </w:r>
    </w:p>
    <w:p w14:paraId="0CBFC053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厅办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〔2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019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〕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号文件要求，从20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年起，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实施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“福彩圆梦・孤儿助学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工程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”项目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。</w:t>
      </w:r>
    </w:p>
    <w:p w14:paraId="116382BA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项目基本情况：</w:t>
      </w:r>
    </w:p>
    <w:p w14:paraId="5B0B8160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职能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：乡镇人民政府初审、县级民政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部门受理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审查认定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为散居孤儿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，做好审查认定工作，按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季度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及时足额发放该项补贴。</w:t>
      </w:r>
    </w:p>
    <w:p w14:paraId="1A511F79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项目依据：根据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厅办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〔2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019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〕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35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号《四川省民政厅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办公室关于做好“福彩圆梦・孤儿助学工程”》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实施本项目。</w:t>
      </w:r>
    </w:p>
    <w:p w14:paraId="76AFFDE5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3、资金管理：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“福彩圆梦・孤儿助学工程”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由县民政局列入民政预算并负责实施，资金监管由县监察局、县审计局、县财政局负责监管。</w:t>
      </w:r>
    </w:p>
    <w:p w14:paraId="629D217E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资金全部用于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“福彩圆梦・孤儿助学工程”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补贴发放。</w:t>
      </w:r>
    </w:p>
    <w:p w14:paraId="0921AF32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leftChars="20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（二）项目绩效目标。</w:t>
      </w:r>
    </w:p>
    <w:p w14:paraId="4A405A8C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leftChars="20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1.项目内容：做好审查认定工作，并及时按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季度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足额社会化发放该项补助资金。</w:t>
      </w:r>
    </w:p>
    <w:p w14:paraId="0D62B64F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leftChars="20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2.项目绩效目标：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“福彩圆梦・孤儿助学工程”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工作引导全社会更加关心、关爱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孤儿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。目前，补贴对象4人，每人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全年助学金1万元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在实施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zh-CN"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中，确保资金及时发放、金额准确、到位，以此保证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“福彩圆梦・孤儿助学工程”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发放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得到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 w:eastAsia="zh-CN"/>
        </w:rPr>
        <w:t>有效保障。</w:t>
      </w:r>
    </w:p>
    <w:p w14:paraId="5E828A4C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leftChars="20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3.申报内容与实际相符，申报目标合理可行。</w:t>
      </w:r>
    </w:p>
    <w:p w14:paraId="4C11A853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leftChars="20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   （三）项目自评步骤及方法。</w:t>
      </w:r>
    </w:p>
    <w:p w14:paraId="7DF01A2B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leftChars="20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通过听取乡镇汇报、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受助对象全覆盖检查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进行评估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8F2F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二、项目资金申报及使用情况</w:t>
      </w:r>
    </w:p>
    <w:p w14:paraId="0CB6DF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（一）项目资金申报及批复情况。</w:t>
      </w:r>
    </w:p>
    <w:p w14:paraId="5A725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严格按照资金文件要求对资金进行规划使用和拨付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C305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（二）资金计划、到位及使用情况（可用表格形式反映）。</w:t>
      </w:r>
    </w:p>
    <w:p w14:paraId="01AC7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资金计划。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资金均由中央级配套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分别为中央</w:t>
      </w:r>
      <w:r>
        <w:rPr>
          <w:rFonts w:hint="eastAsia" w:ascii="仿宋_GB2312" w:hAnsi="仿宋_GB2312" w:cs="仿宋_GB2312"/>
          <w:sz w:val="32"/>
          <w:szCs w:val="32"/>
          <w:highlight w:val="none"/>
          <w:lang w:val="en-US" w:eastAsia="zh-CN"/>
        </w:rPr>
        <w:t>3.63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万元，省市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万元，县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级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万元。</w:t>
      </w:r>
    </w:p>
    <w:p w14:paraId="6ABD70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资金到位。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年该项目资金到位情况分别为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中央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3.63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万元，省市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万元，县级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资金到位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 w14:paraId="58D70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资金使用。</w:t>
      </w:r>
      <w:r>
        <w:rPr>
          <w:rFonts w:hint="eastAsia" w:ascii="仿宋_GB2312" w:hAnsi="仿宋_GB2312" w:cs="仿宋_GB2312"/>
          <w:sz w:val="32"/>
          <w:szCs w:val="32"/>
          <w:highlight w:val="none"/>
          <w:lang w:eastAsia="zh-CN"/>
        </w:rPr>
        <w:t>截至2023年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12月31日，</w:t>
      </w:r>
      <w:r>
        <w:rPr>
          <w:rFonts w:hint="eastAsia" w:ascii="仿宋_GB2312" w:hAnsi="仿宋_GB2312" w:eastAsia="仿宋_GB2312" w:cs="仿宋_GB2312"/>
          <w:sz w:val="32"/>
          <w:szCs w:val="32"/>
        </w:rPr>
        <w:t>该项目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全县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资金支出情况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：分别为中央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3.63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万元，省市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万元，县级</w:t>
      </w:r>
      <w:r>
        <w:rPr>
          <w:rFonts w:hint="eastAsia" w:ascii="仿宋_GB2312" w:hAnsi="仿宋_GB2312" w:cs="仿宋_GB2312"/>
          <w:color w:val="auto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</w:t>
      </w:r>
      <w:r>
        <w:rPr>
          <w:rFonts w:hint="eastAsia" w:ascii="仿宋_GB2312" w:hAnsi="仿宋_GB2312" w:eastAsia="仿宋_GB2312" w:cs="仿宋_GB2312"/>
          <w:sz w:val="32"/>
          <w:szCs w:val="32"/>
        </w:rPr>
        <w:t>对资金使用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严格按照文件规定按时足额实行社会化发放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DF5E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项目财务管理情况。</w:t>
      </w:r>
    </w:p>
    <w:p w14:paraId="10D38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我局对该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项目实施严格执行财务管理制度，账务处理及时，会计核算规范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BA60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三、项目实施及管理情况</w:t>
      </w:r>
    </w:p>
    <w:p w14:paraId="07727C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结合项目组织实施管理办法，重点围绕以下内容进行分析评价，并对自评中发现的问题分析说明。</w:t>
      </w:r>
    </w:p>
    <w:p w14:paraId="00887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（一）项目组织架构及实施流程。</w:t>
      </w:r>
    </w:p>
    <w:p w14:paraId="57A8E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相关政策文件依据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民政局作为项目主管部门负责对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救助对象进行审核审批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，各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乡镇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负责具体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受理调查核实工作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符合救助条件的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lang w:eastAsia="zh-CN"/>
        </w:rPr>
        <w:t>县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民政局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按时足额进行社会化发放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</w:rPr>
        <w:t>补助资金。</w:t>
      </w:r>
    </w:p>
    <w:p w14:paraId="71C7A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（二）项目管理情况。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严格按照政策文件依据审核审批。</w:t>
      </w:r>
    </w:p>
    <w:p w14:paraId="314FA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（三）项目监管情况。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严格按照政策文件依据执行该救助项目，并接受纪委监委、财政局、审计局等多方监管，保证项目实施效果。</w:t>
      </w:r>
    </w:p>
    <w:p w14:paraId="2A861CF8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四、项目绩效情况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 w14:paraId="2C26B5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（一）项目完成情况。</w:t>
      </w:r>
    </w:p>
    <w:p w14:paraId="1E1D10E1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560" w:lineRule="exact"/>
        <w:ind w:left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caps w:val="0"/>
          <w:color w:val="auto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截至2023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caps w:val="0"/>
          <w:color w:val="auto"/>
          <w:kern w:val="0"/>
          <w:sz w:val="32"/>
          <w:szCs w:val="32"/>
          <w:highlight w:val="none"/>
          <w:shd w:val="clear" w:color="auto" w:fill="FFFFFF"/>
          <w:vertAlign w:val="baseline"/>
          <w:lang w:val="en-US" w:eastAsia="zh-CN" w:bidi="ar"/>
        </w:rPr>
        <w:t>年底，该项目已全面完成，资金全部按实及时发放到位。</w:t>
      </w:r>
    </w:p>
    <w:p w14:paraId="59BB14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（二）项目效益情况。</w:t>
      </w:r>
    </w:p>
    <w:p w14:paraId="5025869E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beforeAutospacing="0" w:afterAutospacing="0" w:line="560" w:lineRule="exact"/>
        <w:ind w:firstLine="627" w:firstLineChars="196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该项目实施以来，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通过对各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乡镇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的综合调查项目实施情况看，资金发放及时到位，申报及审批程序总体趋于公平、公正、公开，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救助对象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该救助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项目满意度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比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较高，为维护社会稳定、社会和谐发挥了积极作用，取得了较好的社会效益。</w:t>
      </w:r>
    </w:p>
    <w:p w14:paraId="68809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五、评价结论及建议</w:t>
      </w:r>
    </w:p>
    <w:p w14:paraId="465BA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（一）评价结论。</w:t>
      </w:r>
    </w:p>
    <w:p w14:paraId="4CA37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</w:t>
      </w:r>
      <w:r>
        <w:rPr>
          <w:rFonts w:hint="eastAsia" w:ascii="仿宋_GB2312" w:hAnsi="仿宋_GB2312" w:cs="仿宋_GB2312"/>
          <w:b w:val="0"/>
          <w:bCs w:val="0"/>
          <w:color w:val="auto"/>
          <w:sz w:val="32"/>
          <w:szCs w:val="32"/>
          <w:lang w:val="en-US" w:eastAsia="zh-CN"/>
        </w:rPr>
        <w:t>“福彩圆梦・孤儿助学工程”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项目支出绩效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目标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项目决策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项目实施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项目效果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，管理制度健全，综合效益明显，总体绩效评价良好，自评得分</w:t>
      </w:r>
      <w:r>
        <w:rPr>
          <w:rFonts w:hint="eastAsia" w:ascii="仿宋_GB2312" w:hAnsi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分。</w:t>
      </w:r>
    </w:p>
    <w:p w14:paraId="3CF68887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1243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存在的问题。</w:t>
      </w:r>
    </w:p>
    <w:p w14:paraId="1AFE457A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spacing w:beforeAutospacing="0" w:afterAutospacing="0"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因社会生活水平逐步提高，救助对象期望现救助标准能适当提高。</w:t>
      </w:r>
    </w:p>
    <w:p w14:paraId="1D1948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（三）相关建议。</w:t>
      </w:r>
    </w:p>
    <w:p w14:paraId="3E18A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建议加大资金投入力度，提高该救助项目资金标准。</w:t>
      </w:r>
    </w:p>
    <w:p w14:paraId="70B36B83"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02E053CE"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6B9301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N/>
        <w:bidi w:val="0"/>
        <w:spacing w:beforeAutospacing="0" w:afterAutospacing="0" w:line="560" w:lineRule="exac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 w14:paraId="2E91B04F"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42C97E5-9E3F-445E-81BC-4A7A3966F44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40F567A-639A-4B6E-972A-1D1834C1B50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4295B01-36CB-4555-92B6-BCF5832BD631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831E5AFB-E114-45FB-B188-5BCA7DF16CEB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D527A0C"/>
    <w:multiLevelType w:val="singleLevel"/>
    <w:tmpl w:val="5D527A0C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3722809"/>
    <w:rsid w:val="167612C6"/>
    <w:rsid w:val="19B536B9"/>
    <w:rsid w:val="19BD5C47"/>
    <w:rsid w:val="1E0A5785"/>
    <w:rsid w:val="291C455A"/>
    <w:rsid w:val="2A502512"/>
    <w:rsid w:val="36926D0C"/>
    <w:rsid w:val="414A628B"/>
    <w:rsid w:val="539454CB"/>
    <w:rsid w:val="58DD2C8C"/>
    <w:rsid w:val="673E27F9"/>
    <w:rsid w:val="6D950364"/>
    <w:rsid w:val="6EF16389"/>
    <w:rsid w:val="72F00E86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nhideWhenUsed/>
    <w:qFormat/>
    <w:uiPriority w:val="99"/>
    <w:rPr>
      <w:sz w:val="24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1321</Words>
  <Characters>1370</Characters>
  <Lines>9</Lines>
  <Paragraphs>2</Paragraphs>
  <TotalTime>2</TotalTime>
  <ScaleCrop>false</ScaleCrop>
  <LinksUpToDate>false</LinksUpToDate>
  <CharactersWithSpaces>1395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2024-10-30T03:47:00Z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