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9778A">
      <w:pPr>
        <w:pStyle w:val="9"/>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597"/>
      <w:bookmarkStart w:id="2" w:name="_Toc15396475"/>
      <w:bookmarkStart w:id="3" w:name="_Toc15377193"/>
      <w:bookmarkStart w:id="4" w:name="_Toc15377425"/>
      <w:bookmarkStart w:id="5" w:name="_Toc15306267"/>
    </w:p>
    <w:p w14:paraId="4030A8ED">
      <w:pPr>
        <w:pStyle w:val="9"/>
        <w:rPr>
          <w:rFonts w:hint="eastAsia" w:ascii="Times New Roman" w:hAnsi="Times New Roman" w:eastAsia="方正小标宋简体" w:cs="Times New Roman"/>
          <w:color w:val="auto"/>
          <w:kern w:val="2"/>
          <w:sz w:val="72"/>
          <w:szCs w:val="72"/>
          <w:highlight w:val="none"/>
          <w:lang w:val="en-US" w:eastAsia="zh-CN" w:bidi="ar-SA"/>
        </w:rPr>
      </w:pPr>
    </w:p>
    <w:p w14:paraId="0079485B">
      <w:pPr>
        <w:pStyle w:val="9"/>
        <w:rPr>
          <w:rFonts w:hint="eastAsia" w:ascii="Times New Roman" w:hAnsi="Times New Roman" w:eastAsia="方正小标宋简体" w:cs="Times New Roman"/>
          <w:color w:val="auto"/>
          <w:kern w:val="2"/>
          <w:sz w:val="72"/>
          <w:szCs w:val="72"/>
          <w:highlight w:val="none"/>
          <w:lang w:val="en-US" w:eastAsia="zh-CN" w:bidi="ar-SA"/>
        </w:rPr>
      </w:pPr>
    </w:p>
    <w:p w14:paraId="19758100">
      <w:pPr>
        <w:pStyle w:val="9"/>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2024年度省级部门（单位）决算</w:t>
      </w:r>
    </w:p>
    <w:p w14:paraId="7FAEF69D">
      <w:pPr>
        <w:pStyle w:val="9"/>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公开文字说明范本</w:t>
      </w:r>
    </w:p>
    <w:p w14:paraId="79B3CDA8">
      <w:pPr>
        <w:spacing w:line="600" w:lineRule="exact"/>
        <w:jc w:val="center"/>
        <w:outlineLvl w:val="0"/>
        <w:rPr>
          <w:rFonts w:ascii="Times New Roman" w:hAnsi="Times New Roman" w:eastAsia="方正小标宋简体"/>
          <w:color w:val="auto"/>
          <w:sz w:val="72"/>
          <w:szCs w:val="72"/>
          <w:highlight w:val="none"/>
        </w:rPr>
      </w:pPr>
    </w:p>
    <w:p w14:paraId="1D44939D">
      <w:pPr>
        <w:pStyle w:val="20"/>
        <w:rPr>
          <w:rFonts w:ascii="Times New Roman" w:hAnsi="Times New Roman"/>
        </w:rPr>
        <w:sectPr>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pPr>
    </w:p>
    <w:p w14:paraId="13548A42">
      <w:pPr>
        <w:rPr>
          <w:rFonts w:ascii="Times New Roman" w:hAnsi="Times New Roman"/>
        </w:rPr>
      </w:pPr>
    </w:p>
    <w:p w14:paraId="0DD5806D">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2C6689F4">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70E86300">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7BEDB536">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90F661B">
      <w:pPr>
        <w:pStyle w:val="9"/>
        <w:jc w:val="center"/>
        <w:rPr>
          <w:rFonts w:hint="eastAsia" w:ascii="Times New Roman" w:eastAsia="方正小标宋简体" w:cs="Times New Roman"/>
          <w:color w:val="auto"/>
          <w:kern w:val="2"/>
          <w:sz w:val="44"/>
          <w:szCs w:val="44"/>
          <w:highlight w:val="none"/>
          <w:lang w:val="en-US" w:eastAsia="zh-CN" w:bidi="ar-SA"/>
        </w:rPr>
      </w:pPr>
      <w:bookmarkStart w:id="6" w:name="_Toc15377426"/>
      <w:bookmarkStart w:id="7" w:name="_Toc15396598"/>
      <w:bookmarkStart w:id="8" w:name="_Toc15396476"/>
      <w:bookmarkStart w:id="9" w:name="_Toc15378442"/>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峨边彝族自治县</w:t>
      </w:r>
    </w:p>
    <w:p w14:paraId="4D15C333">
      <w:pPr>
        <w:pStyle w:val="9"/>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国有林场单位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7FD6D715">
      <w:pPr>
        <w:widowControl/>
        <w:jc w:val="center"/>
        <w:rPr>
          <w:rFonts w:hint="eastAsia" w:ascii="Times New Roman" w:hAnsi="Times New Roman" w:eastAsia="黑体"/>
          <w:color w:val="auto"/>
          <w:sz w:val="48"/>
          <w:szCs w:val="48"/>
          <w:highlight w:val="none"/>
        </w:rPr>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pPr>
    </w:p>
    <w:p w14:paraId="56901C58">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D5071F9">
      <w:pPr>
        <w:widowControl/>
        <w:jc w:val="center"/>
        <w:rPr>
          <w:rFonts w:ascii="Times New Roman" w:hAnsi="Times New Roman" w:eastAsia="黑体" w:cstheme="minorBidi"/>
          <w:color w:val="auto"/>
          <w:sz w:val="28"/>
          <w:szCs w:val="28"/>
          <w:highlight w:val="none"/>
        </w:rPr>
      </w:pPr>
    </w:p>
    <w:p w14:paraId="09431122">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15 </w:t>
      </w:r>
      <w:r>
        <w:rPr>
          <w:rFonts w:hint="eastAsia" w:ascii="Times New Roman" w:hAnsi="Times New Roman" w:eastAsia="仿宋_GB2312" w:cs="仿宋_GB2312"/>
          <w:color w:val="auto"/>
          <w:sz w:val="32"/>
          <w:szCs w:val="32"/>
          <w:highlight w:val="none"/>
        </w:rPr>
        <w:t>日</w:t>
      </w:r>
    </w:p>
    <w:p w14:paraId="7699703A">
      <w:pPr>
        <w:rPr>
          <w:rFonts w:ascii="Times New Roman" w:hAnsi="Times New Roman"/>
          <w:color w:val="auto"/>
          <w:highlight w:val="none"/>
        </w:rPr>
      </w:pPr>
    </w:p>
    <w:p w14:paraId="41E66125">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6E4617F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15C95C5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37B62D9B">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w:t>
      </w:r>
    </w:p>
    <w:p w14:paraId="1D0F00A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52B0914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740DA86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7024ED0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3E21C1D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41C24A7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4071155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40A8BCF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0D373DC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5526B13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59959025">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w:t>
      </w:r>
    </w:p>
    <w:p w14:paraId="532594CF">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15</w:t>
      </w:r>
    </w:p>
    <w:p w14:paraId="133D2257">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5782E5C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1A58B64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7EE3BA8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79374C4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75AB998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4550B80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155EE79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4B3D194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6F1BFEE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636D431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026E46E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1F0000E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1404C9B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66D72BFB">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5D65231B">
      <w:pPr>
        <w:pStyle w:val="5"/>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0E5B98BB">
      <w:pPr>
        <w:widowControl/>
        <w:jc w:val="left"/>
        <w:rPr>
          <w:rFonts w:ascii="Times New Roman" w:hAnsi="Times New Roman" w:eastAsia="黑体"/>
          <w:color w:val="auto"/>
          <w:sz w:val="32"/>
          <w:szCs w:val="32"/>
          <w:highlight w:val="none"/>
        </w:rPr>
      </w:pPr>
    </w:p>
    <w:p w14:paraId="382E0662">
      <w:pPr>
        <w:pStyle w:val="3"/>
        <w:pageBreakBefore w:val="0"/>
        <w:kinsoku/>
        <w:wordWrap/>
        <w:overflowPunct/>
        <w:topLinePunct w:val="0"/>
        <w:autoSpaceDE/>
        <w:autoSpaceDN/>
        <w:bidi w:val="0"/>
        <w:adjustRightInd/>
        <w:spacing w:line="240" w:lineRule="auto"/>
        <w:ind w:left="0" w:leftChars="0" w:firstLine="0" w:firstLineChars="0"/>
        <w:textAlignment w:val="auto"/>
        <w:rPr>
          <w:rFonts w:hint="eastAsia" w:ascii="Times New Roman" w:hAnsi="Times New Roman" w:eastAsia="黑体"/>
          <w:b w:val="0"/>
          <w:color w:val="auto"/>
          <w:sz w:val="32"/>
          <w:szCs w:val="32"/>
          <w:highlight w:val="none"/>
          <w:lang w:eastAsia="zh-CN"/>
        </w:rPr>
      </w:pPr>
      <w:bookmarkStart w:id="14" w:name="_Toc15396600"/>
      <w:bookmarkStart w:id="15" w:name="_Toc15377197"/>
      <w:r>
        <w:rPr>
          <w:rFonts w:hint="eastAsia" w:ascii="Times New Roman" w:hAnsi="Times New Roman" w:eastAsia="黑体"/>
          <w:b w:val="0"/>
          <w:color w:val="auto"/>
          <w:sz w:val="32"/>
          <w:szCs w:val="32"/>
          <w:highlight w:val="none"/>
        </w:rPr>
        <w:t>一、</w:t>
      </w:r>
      <w:bookmarkEnd w:id="14"/>
      <w:bookmarkEnd w:id="15"/>
      <w:r>
        <w:rPr>
          <w:rFonts w:hint="eastAsia" w:ascii="Times New Roman" w:eastAsia="黑体"/>
          <w:b w:val="0"/>
          <w:color w:val="auto"/>
          <w:sz w:val="32"/>
          <w:szCs w:val="32"/>
          <w:highlight w:val="none"/>
          <w:lang w:val="en-US" w:eastAsia="zh-CN"/>
        </w:rPr>
        <w:t>主要</w:t>
      </w:r>
      <w:r>
        <w:rPr>
          <w:rFonts w:hint="eastAsia" w:ascii="Times New Roman" w:hAnsi="Times New Roman" w:eastAsia="黑体"/>
          <w:b w:val="0"/>
          <w:color w:val="auto"/>
          <w:sz w:val="32"/>
          <w:szCs w:val="32"/>
          <w:highlight w:val="none"/>
          <w:lang w:eastAsia="zh-CN"/>
        </w:rPr>
        <w:t>职责</w:t>
      </w:r>
    </w:p>
    <w:p w14:paraId="0BB59E2B">
      <w:pPr>
        <w:pStyle w:val="3"/>
        <w:pageBreakBefore w:val="0"/>
        <w:kinsoku/>
        <w:wordWrap/>
        <w:overflowPunct/>
        <w:topLinePunct w:val="0"/>
        <w:autoSpaceDE/>
        <w:autoSpaceDN/>
        <w:bidi w:val="0"/>
        <w:adjustRightInd/>
        <w:spacing w:line="240" w:lineRule="auto"/>
        <w:ind w:left="0" w:leftChars="0" w:firstLine="640" w:firstLineChars="200"/>
        <w:textAlignment w:val="auto"/>
        <w:rPr>
          <w:rStyle w:val="30"/>
          <w:rFonts w:hint="eastAsia" w:ascii="Times New Roman" w:hAnsi="Times New Roman" w:eastAsia="黑体"/>
          <w:b w:val="0"/>
          <w:bCs w:val="0"/>
          <w:color w:val="auto"/>
          <w:highlight w:val="none"/>
          <w:lang w:eastAsia="zh-CN"/>
        </w:rPr>
      </w:pPr>
      <w:r>
        <w:rPr>
          <w:rFonts w:hint="eastAsia" w:ascii="仿宋" w:hAnsi="仿宋" w:eastAsia="仿宋" w:cs="仿宋"/>
          <w:color w:val="auto"/>
          <w:sz w:val="32"/>
          <w:szCs w:val="32"/>
          <w:lang w:val="en-US" w:eastAsia="zh-CN"/>
        </w:rPr>
        <w:t>保护培育森林资源、维护国土生态安全和提供生态公益。</w:t>
      </w:r>
    </w:p>
    <w:p w14:paraId="32599EFA">
      <w:pPr>
        <w:pStyle w:val="6"/>
        <w:rPr>
          <w:rStyle w:val="30"/>
          <w:rFonts w:ascii="Times New Roman" w:hAnsi="Times New Roman"/>
          <w:b w:val="0"/>
          <w:bCs w:val="0"/>
          <w:color w:val="auto"/>
          <w:highlight w:val="none"/>
        </w:rPr>
      </w:pPr>
      <w:bookmarkStart w:id="16" w:name="_Toc15396601"/>
      <w:bookmarkStart w:id="17"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6"/>
      <w:bookmarkEnd w:id="17"/>
    </w:p>
    <w:p w14:paraId="03FE3DAC">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峨边彝族自治县国有林场</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5D219AE5">
      <w:pPr>
        <w:pStyle w:val="9"/>
        <w:adjustRightInd w:val="0"/>
        <w:snapToGrid w:val="0"/>
        <w:spacing w:before="93" w:line="600" w:lineRule="exact"/>
        <w:ind w:firstLine="672" w:firstLineChars="210"/>
        <w:rPr>
          <w:rFonts w:ascii="Times New Roman" w:hAnsi="Times New Roman" w:eastAsia="仿宋"/>
          <w:color w:val="auto"/>
          <w:kern w:val="0"/>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峨边彝族自治县国有林场</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r>
        <w:rPr>
          <w:rFonts w:ascii="Times New Roman" w:hAnsi="Times New Roman" w:eastAsia="仿宋"/>
          <w:color w:val="auto"/>
          <w:sz w:val="32"/>
          <w:szCs w:val="32"/>
          <w:highlight w:val="none"/>
        </w:rPr>
        <w:br w:type="page"/>
      </w:r>
    </w:p>
    <w:p w14:paraId="221F2AED">
      <w:pPr>
        <w:pStyle w:val="5"/>
        <w:jc w:val="center"/>
        <w:rPr>
          <w:rFonts w:hint="eastAsia" w:ascii="Times New Roman" w:hAnsi="Times New Roman" w:eastAsia="方正小标宋简体" w:cs="方正小标宋简体"/>
          <w:b w:val="0"/>
          <w:color w:val="auto"/>
          <w:highlight w:val="none"/>
        </w:rPr>
      </w:pPr>
      <w:bookmarkStart w:id="18" w:name="_Toc15396602"/>
      <w:bookmarkStart w:id="19"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6A56731D">
      <w:pPr>
        <w:rPr>
          <w:rFonts w:ascii="Times New Roman" w:hAnsi="Times New Roman"/>
          <w:color w:val="auto"/>
          <w:highlight w:val="none"/>
        </w:rPr>
      </w:pPr>
    </w:p>
    <w:p w14:paraId="2BD299E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0"/>
      <w:bookmarkEnd w:id="21"/>
    </w:p>
    <w:p w14:paraId="1C9A051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618.76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10.35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1.65</w:t>
      </w:r>
      <w:r>
        <w:rPr>
          <w:rFonts w:hint="eastAsia" w:ascii="Times New Roman" w:hAnsi="Times New Roman" w:eastAsia="仿宋_GB2312" w:cs="仿宋_GB2312"/>
          <w:color w:val="auto"/>
          <w:sz w:val="32"/>
          <w:szCs w:val="32"/>
          <w:highlight w:val="none"/>
        </w:rPr>
        <w:t>%。主要变动原因是人员变动，人数减少</w:t>
      </w:r>
      <w:r>
        <w:rPr>
          <w:rFonts w:hint="eastAsia" w:eastAsia="仿宋_GB2312" w:cs="仿宋_GB2312"/>
          <w:color w:val="auto"/>
          <w:sz w:val="32"/>
          <w:szCs w:val="32"/>
          <w:highlight w:val="none"/>
          <w:lang w:val="en-US" w:eastAsia="zh-CN"/>
        </w:rPr>
        <w:t>经费减少。</w:t>
      </w:r>
    </w:p>
    <w:p w14:paraId="006F3F8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drawing>
          <wp:inline distT="0" distB="0" distL="114300" distR="114300">
            <wp:extent cx="4378960" cy="2458085"/>
            <wp:effectExtent l="4445" t="4445" r="1714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F6FB4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14:paraId="2E7ED2A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618.76万元，其中：一般公共预算财政拨款收入618.76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2BF275F9">
      <w:pPr>
        <w:ind w:firstLine="525" w:firstLineChars="250"/>
        <w:rPr>
          <w:rFonts w:hint="eastAsia"/>
          <w:lang w:eastAsia="zh-CN"/>
        </w:rPr>
      </w:pPr>
      <w:r>
        <w:drawing>
          <wp:inline distT="0" distB="0" distL="114300" distR="114300">
            <wp:extent cx="3597910" cy="2361565"/>
            <wp:effectExtent l="5080" t="4445" r="16510" b="1524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D13A0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4"/>
      <w:bookmarkEnd w:id="25"/>
    </w:p>
    <w:p w14:paraId="0FDDCE7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618.76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618.76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736666FD">
      <w:pPr>
        <w:ind w:firstLine="525" w:firstLineChars="250"/>
        <w:rPr>
          <w:rFonts w:hint="eastAsia"/>
          <w:lang w:eastAsia="zh-CN"/>
        </w:rPr>
      </w:pPr>
      <w:r>
        <w:drawing>
          <wp:inline distT="0" distB="0" distL="114300" distR="114300">
            <wp:extent cx="42164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28491E">
      <w:pPr>
        <w:spacing w:line="600" w:lineRule="exact"/>
        <w:ind w:firstLine="640" w:firstLineChars="200"/>
        <w:outlineLvl w:val="1"/>
        <w:rPr>
          <w:rStyle w:val="30"/>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6"/>
      <w:bookmarkEnd w:id="27"/>
    </w:p>
    <w:p w14:paraId="231522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618.76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10.35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1.65</w:t>
      </w:r>
      <w:r>
        <w:rPr>
          <w:rFonts w:hint="eastAsia" w:ascii="Times New Roman" w:hAnsi="Times New Roman" w:eastAsia="仿宋_GB2312" w:cs="仿宋_GB2312"/>
          <w:color w:val="auto"/>
          <w:sz w:val="32"/>
          <w:szCs w:val="32"/>
          <w:highlight w:val="none"/>
        </w:rPr>
        <w:t>%。主要变动原因是人员变动</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人数减少</w:t>
      </w:r>
      <w:r>
        <w:rPr>
          <w:rFonts w:hint="eastAsia" w:eastAsia="仿宋_GB2312" w:cs="仿宋_GB2312"/>
          <w:color w:val="auto"/>
          <w:sz w:val="32"/>
          <w:szCs w:val="32"/>
          <w:highlight w:val="none"/>
          <w:lang w:val="en-US" w:eastAsia="zh-CN"/>
        </w:rPr>
        <w:t>经费减少。</w:t>
      </w:r>
    </w:p>
    <w:p w14:paraId="5DABD74A">
      <w:pPr>
        <w:pStyle w:val="2"/>
        <w:rPr>
          <w:rFonts w:hint="eastAsia"/>
          <w:lang w:val="en-US" w:eastAsia="zh-CN"/>
        </w:rPr>
      </w:pPr>
    </w:p>
    <w:p w14:paraId="2EAC526F">
      <w:pPr>
        <w:pStyle w:val="3"/>
        <w:rPr>
          <w:rFonts w:hint="eastAsia"/>
          <w:lang w:val="en-US" w:eastAsia="zh-CN"/>
        </w:rPr>
      </w:pPr>
      <w:r>
        <w:drawing>
          <wp:inline distT="0" distB="0" distL="114300" distR="114300">
            <wp:extent cx="4378325" cy="2239010"/>
            <wp:effectExtent l="4445" t="4445" r="17780" b="2349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586DA5">
      <w:pPr>
        <w:rPr>
          <w:rFonts w:hint="eastAsia"/>
          <w:lang w:val="en-US" w:eastAsia="zh-CN"/>
        </w:rPr>
      </w:pPr>
    </w:p>
    <w:p w14:paraId="6DF794F9">
      <w:pPr>
        <w:rPr>
          <w:rFonts w:hint="eastAsia"/>
          <w:lang w:val="en-US" w:eastAsia="zh-CN"/>
        </w:rPr>
      </w:pPr>
    </w:p>
    <w:p w14:paraId="09A88687">
      <w:pPr>
        <w:spacing w:line="600" w:lineRule="exact"/>
        <w:ind w:firstLine="640" w:firstLineChars="200"/>
        <w:outlineLvl w:val="1"/>
        <w:rPr>
          <w:rFonts w:hint="eastAsia" w:ascii="Times New Roman" w:hAnsi="Times New Roman" w:eastAsia="黑体"/>
          <w:color w:val="auto"/>
          <w:sz w:val="32"/>
          <w:szCs w:val="32"/>
          <w:highlight w:val="none"/>
        </w:rPr>
      </w:pPr>
      <w:bookmarkStart w:id="28" w:name="_Toc15377209"/>
      <w:bookmarkStart w:id="29" w:name="_Toc15396607"/>
    </w:p>
    <w:p w14:paraId="7A5CDBA2">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8"/>
      <w:bookmarkEnd w:id="29"/>
    </w:p>
    <w:p w14:paraId="549CC02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752F4EC7">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618.76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10.35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1.65</w:t>
      </w:r>
      <w:r>
        <w:rPr>
          <w:rFonts w:hint="eastAsia" w:ascii="Times New Roman" w:hAnsi="Times New Roman" w:eastAsia="仿宋_GB2312" w:cs="仿宋_GB2312"/>
          <w:color w:val="auto"/>
          <w:sz w:val="32"/>
          <w:szCs w:val="32"/>
          <w:highlight w:val="none"/>
        </w:rPr>
        <w:t>%。主要变动原因是人员变动</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人数减少</w:t>
      </w:r>
      <w:r>
        <w:rPr>
          <w:rFonts w:hint="eastAsia" w:eastAsia="仿宋_GB2312" w:cs="仿宋_GB2312"/>
          <w:color w:val="auto"/>
          <w:sz w:val="32"/>
          <w:szCs w:val="32"/>
          <w:highlight w:val="none"/>
          <w:lang w:val="en-US" w:eastAsia="zh-CN"/>
        </w:rPr>
        <w:t>经费减少。</w:t>
      </w:r>
    </w:p>
    <w:p w14:paraId="0ACBFD32">
      <w:pPr>
        <w:rPr>
          <w:rFonts w:hint="eastAsia" w:eastAsia="仿宋_GB2312" w:cs="仿宋_GB2312"/>
          <w:color w:val="auto"/>
          <w:sz w:val="32"/>
          <w:szCs w:val="32"/>
          <w:highlight w:val="none"/>
          <w:lang w:val="en-US" w:eastAsia="zh-CN"/>
        </w:rPr>
      </w:pPr>
      <w:r>
        <w:drawing>
          <wp:inline distT="0" distB="0" distL="114300" distR="114300">
            <wp:extent cx="4759325" cy="2962275"/>
            <wp:effectExtent l="4445" t="5080" r="17780" b="444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0F2A28">
      <w:pPr>
        <w:pStyle w:val="2"/>
        <w:rPr>
          <w:rFonts w:hint="eastAsia" w:eastAsia="仿宋_GB2312" w:cs="仿宋_GB2312"/>
          <w:color w:val="auto"/>
          <w:sz w:val="32"/>
          <w:szCs w:val="32"/>
          <w:highlight w:val="none"/>
          <w:lang w:val="en-US" w:eastAsia="zh-CN"/>
        </w:rPr>
      </w:pPr>
    </w:p>
    <w:p w14:paraId="417C2DC5">
      <w:pPr>
        <w:pStyle w:val="3"/>
        <w:ind w:left="0" w:leftChars="0" w:firstLine="0" w:firstLineChars="0"/>
        <w:rPr>
          <w:rFonts w:hint="eastAsia"/>
          <w:lang w:val="en-US" w:eastAsia="zh-CN"/>
        </w:rPr>
      </w:pPr>
    </w:p>
    <w:p w14:paraId="45F0557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7249EBDF">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618.76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85.02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13.74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2.58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农林水支出473.1万元，占76.47%；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44.63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7.21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87549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B08A0DF">
      <w:pPr>
        <w:pStyle w:val="2"/>
        <w:rPr>
          <w:rFonts w:hint="eastAsia"/>
          <w:lang w:val="en-US" w:eastAsia="zh-CN"/>
        </w:rPr>
      </w:pPr>
    </w:p>
    <w:p w14:paraId="2EBF4810">
      <w:pPr>
        <w:pStyle w:val="3"/>
        <w:rPr>
          <w:rFonts w:hint="eastAsia"/>
          <w:lang w:val="en-US" w:eastAsia="zh-CN"/>
        </w:rPr>
      </w:pPr>
    </w:p>
    <w:p w14:paraId="23722372">
      <w:pPr>
        <w:rPr>
          <w:rFonts w:hint="eastAsia"/>
          <w:lang w:val="en-US" w:eastAsia="zh-CN"/>
        </w:rPr>
      </w:pPr>
    </w:p>
    <w:p w14:paraId="05A70CB2">
      <w:pPr>
        <w:rPr>
          <w:rFonts w:hint="eastAsia"/>
          <w:lang w:val="en-US" w:eastAsia="zh-CN"/>
        </w:rPr>
      </w:pPr>
    </w:p>
    <w:p w14:paraId="76C6D010">
      <w:pPr>
        <w:pStyle w:val="2"/>
        <w:rPr>
          <w:rFonts w:hint="eastAsia"/>
          <w:lang w:val="en-US" w:eastAsia="zh-CN"/>
        </w:rPr>
      </w:pPr>
    </w:p>
    <w:p w14:paraId="5EDE7E22">
      <w:pPr>
        <w:pStyle w:val="3"/>
        <w:rPr>
          <w:rFonts w:hint="eastAsia"/>
          <w:lang w:val="en-US" w:eastAsia="zh-CN"/>
        </w:rPr>
      </w:pPr>
      <w:r>
        <w:drawing>
          <wp:inline distT="0" distB="0" distL="114300" distR="114300">
            <wp:extent cx="4254500" cy="247650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84252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3554D2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213"/>
      <w:bookmarkStart w:id="34" w:name="_Toc15377444"/>
      <w:bookmarkStart w:id="35"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618.76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4984951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40.86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A401D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6363D9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社会保障和就业支出（类）抚恤（款）死亡抚恤（项）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10.64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41791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社会保障和就业支出（类）其他社会保障和就业支出（款）其他社会保障和就业支出（项）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16.41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052918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198E37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.农林水支出（类）林业和草原（款）事业机构（项）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473.1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FC450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w:t>
      </w:r>
      <w:r>
        <w:rPr>
          <w:rFonts w:hint="eastAsia"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44.63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E03FFE3">
      <w:pPr>
        <w:tabs>
          <w:tab w:val="right" w:pos="8306"/>
        </w:tabs>
        <w:spacing w:line="600" w:lineRule="exact"/>
        <w:ind w:firstLine="640"/>
        <w:outlineLvl w:val="1"/>
        <w:rPr>
          <w:rStyle w:val="30"/>
          <w:rFonts w:ascii="Times New Roman" w:hAnsi="Times New Roman"/>
          <w:color w:val="auto"/>
          <w:highlight w:val="none"/>
        </w:rPr>
      </w:pPr>
      <w:bookmarkStart w:id="36" w:name="_Toc15396608"/>
      <w:bookmarkStart w:id="3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6"/>
      <w:bookmarkEnd w:id="37"/>
      <w:r>
        <w:rPr>
          <w:rStyle w:val="30"/>
          <w:rFonts w:ascii="Times New Roman" w:hAnsi="Times New Roman" w:eastAsia="黑体"/>
          <w:b w:val="0"/>
          <w:color w:val="auto"/>
          <w:highlight w:val="none"/>
        </w:rPr>
        <w:tab/>
      </w:r>
    </w:p>
    <w:p w14:paraId="0A9709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618.76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55E0C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549.91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68.85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7C63750">
      <w:pPr>
        <w:spacing w:line="600" w:lineRule="exact"/>
        <w:ind w:firstLine="640"/>
        <w:outlineLvl w:val="1"/>
        <w:rPr>
          <w:rStyle w:val="30"/>
          <w:rFonts w:ascii="Times New Roman" w:hAnsi="Times New Roman" w:eastAsia="黑体"/>
          <w:b w:val="0"/>
          <w:color w:val="auto"/>
          <w:highlight w:val="none"/>
        </w:rPr>
      </w:pPr>
      <w:bookmarkStart w:id="38" w:name="_Toc15396609"/>
      <w:bookmarkStart w:id="39"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8"/>
      <w:bookmarkEnd w:id="39"/>
    </w:p>
    <w:p w14:paraId="76F6E5F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73B869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6.07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6.07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%。主要原因是上年度无公务用车运行维护费</w:t>
      </w:r>
      <w:r>
        <w:rPr>
          <w:rFonts w:hint="eastAsia" w:eastAsia="仿宋_GB2312" w:cs="仿宋_GB2312"/>
          <w:color w:val="auto"/>
          <w:kern w:val="2"/>
          <w:sz w:val="32"/>
          <w:szCs w:val="32"/>
          <w:highlight w:val="none"/>
          <w:lang w:val="en-US" w:eastAsia="zh-CN" w:bidi="ar-SA"/>
        </w:rPr>
        <w:t>。</w:t>
      </w:r>
    </w:p>
    <w:p w14:paraId="1E53675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48EEE8B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6.07</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3C74B6CF">
      <w:pPr>
        <w:rPr>
          <w:rFonts w:hint="eastAsia" w:ascii="仿宋_GB2312" w:hAnsi="仿宋_GB2312" w:eastAsia="仿宋_GB2312" w:cs="仿宋_GB2312"/>
          <w:color w:val="auto"/>
          <w:kern w:val="2"/>
          <w:sz w:val="32"/>
          <w:szCs w:val="32"/>
          <w:highlight w:val="none"/>
          <w:lang w:val="en-US" w:eastAsia="zh-CN" w:bidi="ar-SA"/>
        </w:rPr>
      </w:pPr>
      <w:r>
        <w:drawing>
          <wp:inline distT="0" distB="0" distL="114300" distR="114300">
            <wp:extent cx="49403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A866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45087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6.07万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6.07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%。主要原因是上年度无公务用车运行维护费</w:t>
      </w:r>
      <w:r>
        <w:rPr>
          <w:rFonts w:hint="eastAsia" w:eastAsia="仿宋_GB2312" w:cs="仿宋_GB2312"/>
          <w:color w:val="auto"/>
          <w:kern w:val="2"/>
          <w:sz w:val="32"/>
          <w:szCs w:val="32"/>
          <w:highlight w:val="none"/>
          <w:lang w:val="en-US" w:eastAsia="zh-CN" w:bidi="ar-SA"/>
        </w:rPr>
        <w:t>。</w:t>
      </w:r>
    </w:p>
    <w:p w14:paraId="371746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F8251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6.07</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14:paraId="6555A4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w:t>
      </w:r>
    </w:p>
    <w:p w14:paraId="2F40FD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w:t>
      </w:r>
      <w:r>
        <w:rPr>
          <w:rFonts w:hint="eastAsia" w:ascii="Times New Roman" w:hAnsi="Times New Roman" w:eastAsia="仿宋_GB2312" w:cs="仿宋_GB2312"/>
          <w:color w:val="auto"/>
          <w:kern w:val="2"/>
          <w:sz w:val="32"/>
          <w:szCs w:val="32"/>
          <w:highlight w:val="none"/>
          <w:lang w:val="en-US" w:eastAsia="zh-CN" w:bidi="ar-SA"/>
        </w:rPr>
        <w:t>。</w:t>
      </w:r>
      <w:bookmarkStart w:id="42" w:name="_Toc15396610"/>
      <w:bookmarkStart w:id="43" w:name="_Toc15377218"/>
    </w:p>
    <w:p w14:paraId="7D39D569">
      <w:pPr>
        <w:spacing w:line="600" w:lineRule="exact"/>
        <w:ind w:firstLine="640"/>
        <w:outlineLvl w:val="1"/>
        <w:rPr>
          <w:rFonts w:hint="eastAsia" w:ascii="Times New Roman" w:hAnsi="Times New Roman" w:eastAsia="黑体"/>
          <w:color w:val="auto"/>
          <w:sz w:val="32"/>
          <w:szCs w:val="32"/>
          <w:highlight w:val="none"/>
        </w:rPr>
      </w:pPr>
    </w:p>
    <w:p w14:paraId="0D82F578">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2"/>
      <w:bookmarkEnd w:id="43"/>
    </w:p>
    <w:p w14:paraId="60931C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5E3DFC0">
      <w:pPr>
        <w:pStyle w:val="2"/>
        <w:rPr>
          <w:rFonts w:hint="eastAsia"/>
          <w:lang w:val="en-US" w:eastAsia="zh-CN"/>
        </w:rPr>
      </w:pPr>
    </w:p>
    <w:p w14:paraId="6A0885C7">
      <w:pPr>
        <w:numPr>
          <w:ilvl w:val="0"/>
          <w:numId w:val="0"/>
        </w:numPr>
        <w:spacing w:line="600" w:lineRule="exact"/>
        <w:ind w:left="630" w:leftChars="0"/>
        <w:outlineLvl w:val="1"/>
        <w:rPr>
          <w:rStyle w:val="30"/>
          <w:rFonts w:hint="eastAsia" w:ascii="Times New Roman" w:hAnsi="Times New Roman" w:eastAsia="黑体"/>
          <w:b w:val="0"/>
          <w:color w:val="auto"/>
          <w:highlight w:val="none"/>
          <w:lang w:eastAsia="zh-CN"/>
        </w:rPr>
      </w:pPr>
      <w:bookmarkStart w:id="44" w:name="_Toc15396611"/>
      <w:bookmarkStart w:id="45" w:name="_Toc15377219"/>
    </w:p>
    <w:p w14:paraId="09E4B9E5">
      <w:pPr>
        <w:numPr>
          <w:ilvl w:val="0"/>
          <w:numId w:val="0"/>
        </w:numPr>
        <w:spacing w:line="600" w:lineRule="exact"/>
        <w:ind w:left="630" w:leftChars="0"/>
        <w:outlineLvl w:val="1"/>
        <w:rPr>
          <w:rStyle w:val="30"/>
          <w:rFonts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4"/>
      <w:bookmarkEnd w:id="45"/>
    </w:p>
    <w:p w14:paraId="6229CA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6B6F38F">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6" w:name="_Toc15377221"/>
      <w:bookmarkStart w:id="47"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6"/>
      <w:bookmarkEnd w:id="47"/>
    </w:p>
    <w:p w14:paraId="5055DB9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337B9193">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峨边彝族自治县国有林场</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%（或与2023年度决算数持平）。</w:t>
      </w:r>
      <w:bookmarkStart w:id="49" w:name="_Toc15377223"/>
    </w:p>
    <w:p w14:paraId="608C539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49"/>
    </w:p>
    <w:p w14:paraId="0B9EAC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峨边彝族自治县国有林场</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096FCCD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536B8E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峨边彝族自治县国有林场</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68878E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61A6C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2C9FB2E">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p>
    <w:p w14:paraId="03A16AC7">
      <w:pPr>
        <w:pStyle w:val="2"/>
        <w:rPr>
          <w:rFonts w:hint="eastAsia"/>
        </w:rPr>
      </w:pPr>
    </w:p>
    <w:p w14:paraId="4F3EFCB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E9F3E47">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6334E13C">
      <w:pPr>
        <w:spacing w:line="600" w:lineRule="exact"/>
        <w:jc w:val="left"/>
        <w:rPr>
          <w:rFonts w:ascii="Times New Roman" w:hAnsi="Times New Roman"/>
          <w:b/>
          <w:color w:val="auto"/>
          <w:sz w:val="44"/>
          <w:szCs w:val="44"/>
          <w:highlight w:val="none"/>
        </w:rPr>
      </w:pPr>
    </w:p>
    <w:p w14:paraId="70945A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4F5DF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43B782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1324FD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0E1B86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7B5F84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163084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3EBA7F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0273108C">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：指养老保险的缴费支出。</w:t>
      </w:r>
    </w:p>
    <w:p w14:paraId="0AFF38FA">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社会保障和就业支出（类）行政事业单位养老支出（款）机关事业单位职业年金缴费支出（项）</w:t>
      </w:r>
      <w:r>
        <w:rPr>
          <w:rFonts w:hint="eastAsia" w:eastAsia="仿宋_GB2312" w:cs="仿宋_GB2312"/>
          <w:color w:val="auto"/>
          <w:kern w:val="2"/>
          <w:sz w:val="32"/>
          <w:szCs w:val="32"/>
          <w:highlight w:val="none"/>
          <w:lang w:val="en-US" w:eastAsia="zh-CN" w:bidi="ar-SA"/>
        </w:rPr>
        <w:t>：指职业年金的缴费支出。</w:t>
      </w:r>
    </w:p>
    <w:p w14:paraId="1CB401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5FEF3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社会保障和就业支出（类）抚恤（款）死亡抚恤（项）</w:t>
      </w:r>
      <w:r>
        <w:rPr>
          <w:rFonts w:hint="eastAsia" w:eastAsia="仿宋_GB2312" w:cs="仿宋_GB2312"/>
          <w:color w:val="auto"/>
          <w:kern w:val="2"/>
          <w:sz w:val="32"/>
          <w:szCs w:val="32"/>
          <w:highlight w:val="none"/>
          <w:lang w:val="en-US" w:eastAsia="zh-CN" w:bidi="ar-SA"/>
        </w:rPr>
        <w:t>：指死亡抚恤的支出。</w:t>
      </w:r>
    </w:p>
    <w:p w14:paraId="4CFCCF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社会保障和就业支出（类）其他社会保障和就业支出（款）其他社会保障和就业支出（项）</w:t>
      </w:r>
      <w:r>
        <w:rPr>
          <w:rFonts w:hint="eastAsia" w:eastAsia="仿宋_GB2312" w:cs="仿宋_GB2312"/>
          <w:color w:val="auto"/>
          <w:kern w:val="2"/>
          <w:sz w:val="32"/>
          <w:szCs w:val="32"/>
          <w:highlight w:val="none"/>
          <w:lang w:val="en-US" w:eastAsia="zh-CN" w:bidi="ar-SA"/>
        </w:rPr>
        <w:t>：指失业、工伤保险等的缴费支出。</w:t>
      </w:r>
    </w:p>
    <w:p w14:paraId="01C23C2C">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w:t>
      </w:r>
      <w:r>
        <w:rPr>
          <w:rFonts w:hint="eastAsia" w:eastAsia="仿宋_GB2312" w:cs="仿宋_GB2312"/>
          <w:color w:val="auto"/>
          <w:kern w:val="2"/>
          <w:sz w:val="32"/>
          <w:szCs w:val="32"/>
          <w:highlight w:val="none"/>
          <w:lang w:val="en-US" w:eastAsia="zh-CN" w:bidi="ar-SA"/>
        </w:rPr>
        <w:t>：指医疗保险的缴费支出。</w:t>
      </w:r>
    </w:p>
    <w:p w14:paraId="7CF8D334">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.农林水支出（类）林业和草原（款）事业机构（项）</w:t>
      </w:r>
      <w:r>
        <w:rPr>
          <w:rFonts w:hint="eastAsia" w:eastAsia="仿宋_GB2312" w:cs="仿宋_GB2312"/>
          <w:color w:val="auto"/>
          <w:kern w:val="2"/>
          <w:sz w:val="32"/>
          <w:szCs w:val="32"/>
          <w:highlight w:val="none"/>
          <w:lang w:val="en-US" w:eastAsia="zh-CN" w:bidi="ar-SA"/>
        </w:rPr>
        <w:t>：指林业和草原的事业机构支出。</w:t>
      </w:r>
    </w:p>
    <w:p w14:paraId="0708BFDE">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w:t>
      </w:r>
      <w:r>
        <w:rPr>
          <w:rFonts w:hint="eastAsia"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：指住房公积金的缴费支出。</w:t>
      </w:r>
    </w:p>
    <w:p w14:paraId="56C02E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062B3A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36F4FF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6E39F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10D673">
      <w:pPr>
        <w:spacing w:line="600" w:lineRule="exact"/>
        <w:jc w:val="center"/>
        <w:rPr>
          <w:rStyle w:val="29"/>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0CCD5435">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826746C">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9" w:name="_GoBack"/>
      <w:bookmarkEnd w:id="69"/>
      <w:r>
        <w:rPr>
          <w:rFonts w:hint="eastAsia" w:eastAsia="仿宋_GB2312" w:cs="仿宋_GB2312"/>
          <w:b w:val="0"/>
          <w:bCs w:val="0"/>
          <w:kern w:val="0"/>
          <w:position w:val="0"/>
          <w:sz w:val="32"/>
          <w:szCs w:val="32"/>
          <w:highlight w:val="none"/>
          <w:lang w:val="en-US" w:eastAsia="zh-CN" w:bidi="ar-SA"/>
        </w:rPr>
        <w:t>无</w:t>
      </w:r>
      <w:commentRangeStart w:id="0"/>
    </w:p>
    <w:p w14:paraId="3400A52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5"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commentRangeEnd w:id="0"/>
      <w:r>
        <w:commentReference w:id="0"/>
      </w:r>
    </w:p>
    <w:p w14:paraId="78CD2377">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3"/>
      <w:bookmarkEnd w:id="55"/>
      <w:bookmarkStart w:id="56" w:name="_Toc15396619"/>
    </w:p>
    <w:p w14:paraId="4AE0A7D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DA7B6B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14:paraId="6EAD560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14:paraId="4DF848B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14:paraId="56B03A2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14:paraId="4097C54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14:paraId="6C13681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14:paraId="76DDEAE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14:paraId="4C5C83D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14:paraId="51F4E1B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14:paraId="085E508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14:paraId="002A8C2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586F57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14:paraId="5CC2C7E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14:paraId="4629D448">
      <w:pPr>
        <w:rPr>
          <w:rFonts w:hint="eastAsia" w:ascii="Times New Roman" w:hAnsi="Times New Roman"/>
          <w:lang w:eastAsia="zh-CN"/>
        </w:rPr>
      </w:pPr>
    </w:p>
    <w:sectPr>
      <w:footerReference r:id="rId10" w:type="first"/>
      <w:footerReference r:id="rId9" w:type="default"/>
      <w:pgSz w:w="11906" w:h="16838"/>
      <w:pgMar w:top="1440" w:right="1800" w:bottom="1440" w:left="1800" w:header="851" w:footer="992" w:gutter="0"/>
      <w:pgNumType w:fmt="numberInDash"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10-27T17:05:18Z" w:initials="A">
    <w:p w14:paraId="2FD7308A">
      <w:pPr>
        <w:pStyle w:val="8"/>
        <w:rPr>
          <w:rFonts w:hint="eastAsia" w:eastAsia="宋体"/>
          <w:lang w:eastAsia="zh-CN"/>
        </w:rPr>
      </w:pPr>
      <w:r>
        <w:rPr>
          <w:rFonts w:hint="eastAsia"/>
          <w:lang w:eastAsia="zh-CN"/>
        </w:rPr>
        <w:t>如有项目需附自评表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FD730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4B64E">
    <w:pPr>
      <w:pStyle w:val="12"/>
      <w:jc w:val="center"/>
    </w:pPr>
  </w:p>
  <w:p w14:paraId="50C12B7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15F84">
    <w:pPr>
      <w:pStyle w:val="12"/>
      <w:jc w:val="center"/>
    </w:pPr>
  </w:p>
  <w:p w14:paraId="28993C5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E88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336E">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F04C7">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AAF04C7">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3D3DE660">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72BA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D9BFB">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C3D9BFB">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F4CA0">
    <w:pPr>
      <w:pStyle w:val="13"/>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7B14"/>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C74429"/>
    <w:rsid w:val="02FEBE30"/>
    <w:rsid w:val="04916F1E"/>
    <w:rsid w:val="061E35DE"/>
    <w:rsid w:val="066E0107"/>
    <w:rsid w:val="07666493"/>
    <w:rsid w:val="07996F6E"/>
    <w:rsid w:val="07BE007D"/>
    <w:rsid w:val="07DFD8BA"/>
    <w:rsid w:val="09867E8F"/>
    <w:rsid w:val="0A2032A3"/>
    <w:rsid w:val="0AC51722"/>
    <w:rsid w:val="0C796C68"/>
    <w:rsid w:val="0CA8290A"/>
    <w:rsid w:val="0D35B1ED"/>
    <w:rsid w:val="0E254B6B"/>
    <w:rsid w:val="0F98263C"/>
    <w:rsid w:val="101860EC"/>
    <w:rsid w:val="101F47CC"/>
    <w:rsid w:val="10C055FF"/>
    <w:rsid w:val="11694EBD"/>
    <w:rsid w:val="11772AA4"/>
    <w:rsid w:val="118107EC"/>
    <w:rsid w:val="12E24EE2"/>
    <w:rsid w:val="13082AF4"/>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21943D6"/>
    <w:rsid w:val="23860B96"/>
    <w:rsid w:val="240371BF"/>
    <w:rsid w:val="244F3473"/>
    <w:rsid w:val="24C97D99"/>
    <w:rsid w:val="25A718F0"/>
    <w:rsid w:val="25BB59F6"/>
    <w:rsid w:val="260F557C"/>
    <w:rsid w:val="26970054"/>
    <w:rsid w:val="281408E2"/>
    <w:rsid w:val="297E088B"/>
    <w:rsid w:val="29B521F3"/>
    <w:rsid w:val="29E277A3"/>
    <w:rsid w:val="29FD04D3"/>
    <w:rsid w:val="2B6A7A50"/>
    <w:rsid w:val="2BFF7BC6"/>
    <w:rsid w:val="2C8A61B5"/>
    <w:rsid w:val="2DF04E50"/>
    <w:rsid w:val="2E586DFA"/>
    <w:rsid w:val="2F040D46"/>
    <w:rsid w:val="2F6B035B"/>
    <w:rsid w:val="2FAE5751"/>
    <w:rsid w:val="2FB1A395"/>
    <w:rsid w:val="2FD9A7D8"/>
    <w:rsid w:val="2FDBF714"/>
    <w:rsid w:val="30AB6865"/>
    <w:rsid w:val="319F7F4E"/>
    <w:rsid w:val="32BD1EF1"/>
    <w:rsid w:val="3304709D"/>
    <w:rsid w:val="3371744F"/>
    <w:rsid w:val="33A773CB"/>
    <w:rsid w:val="349D6851"/>
    <w:rsid w:val="35AB1391"/>
    <w:rsid w:val="36AA5135"/>
    <w:rsid w:val="36BE0DA7"/>
    <w:rsid w:val="376B6AA6"/>
    <w:rsid w:val="376D39B2"/>
    <w:rsid w:val="37E16F03"/>
    <w:rsid w:val="37F53A3B"/>
    <w:rsid w:val="389B6C89"/>
    <w:rsid w:val="38D469F0"/>
    <w:rsid w:val="38D64977"/>
    <w:rsid w:val="38F90665"/>
    <w:rsid w:val="39627CCD"/>
    <w:rsid w:val="397BAF1F"/>
    <w:rsid w:val="3AB79AF3"/>
    <w:rsid w:val="3AE834C0"/>
    <w:rsid w:val="3B7EF35A"/>
    <w:rsid w:val="3B9FDB6C"/>
    <w:rsid w:val="3BF5BC2F"/>
    <w:rsid w:val="3CCA47F2"/>
    <w:rsid w:val="3CEBA265"/>
    <w:rsid w:val="3D98207C"/>
    <w:rsid w:val="3DEE7CF3"/>
    <w:rsid w:val="3E740A63"/>
    <w:rsid w:val="3E78745D"/>
    <w:rsid w:val="3EE17838"/>
    <w:rsid w:val="3F55381A"/>
    <w:rsid w:val="3F7F7599"/>
    <w:rsid w:val="3F9D7F9C"/>
    <w:rsid w:val="3FF4CAE0"/>
    <w:rsid w:val="3FF7B227"/>
    <w:rsid w:val="42F35236"/>
    <w:rsid w:val="44E268DA"/>
    <w:rsid w:val="450D13D7"/>
    <w:rsid w:val="45506656"/>
    <w:rsid w:val="486A6C7A"/>
    <w:rsid w:val="4A627F82"/>
    <w:rsid w:val="4B0E749A"/>
    <w:rsid w:val="4B2477C4"/>
    <w:rsid w:val="4B337A07"/>
    <w:rsid w:val="4B4F25DA"/>
    <w:rsid w:val="4BE068DB"/>
    <w:rsid w:val="4D577224"/>
    <w:rsid w:val="4DBF1CEB"/>
    <w:rsid w:val="4DF0007C"/>
    <w:rsid w:val="4EAB630A"/>
    <w:rsid w:val="4ECE2238"/>
    <w:rsid w:val="4F833267"/>
    <w:rsid w:val="4FE9BD67"/>
    <w:rsid w:val="4FFB052F"/>
    <w:rsid w:val="522400A9"/>
    <w:rsid w:val="537E6D0A"/>
    <w:rsid w:val="53AA50E8"/>
    <w:rsid w:val="53F74C96"/>
    <w:rsid w:val="542E3461"/>
    <w:rsid w:val="55170BA8"/>
    <w:rsid w:val="552F123F"/>
    <w:rsid w:val="553218C9"/>
    <w:rsid w:val="567E1AA5"/>
    <w:rsid w:val="56E47B74"/>
    <w:rsid w:val="57175D52"/>
    <w:rsid w:val="57AD28EF"/>
    <w:rsid w:val="57BD3DD4"/>
    <w:rsid w:val="58E10AA2"/>
    <w:rsid w:val="5AF92295"/>
    <w:rsid w:val="5B250254"/>
    <w:rsid w:val="5BDD79E6"/>
    <w:rsid w:val="5BF561CA"/>
    <w:rsid w:val="5BFF5DFC"/>
    <w:rsid w:val="5C2B5842"/>
    <w:rsid w:val="5CD71FC4"/>
    <w:rsid w:val="5D1F11B5"/>
    <w:rsid w:val="5D695134"/>
    <w:rsid w:val="5DAE1B18"/>
    <w:rsid w:val="5DE7D9E5"/>
    <w:rsid w:val="5ECEC941"/>
    <w:rsid w:val="5FBF9FF3"/>
    <w:rsid w:val="5FCD4E2C"/>
    <w:rsid w:val="5FEF394A"/>
    <w:rsid w:val="5FF67715"/>
    <w:rsid w:val="621A7F14"/>
    <w:rsid w:val="62606EDB"/>
    <w:rsid w:val="62BF3928"/>
    <w:rsid w:val="63B3701E"/>
    <w:rsid w:val="647F5392"/>
    <w:rsid w:val="65393A14"/>
    <w:rsid w:val="65E66580"/>
    <w:rsid w:val="664B1D71"/>
    <w:rsid w:val="664B4E8E"/>
    <w:rsid w:val="667A42E4"/>
    <w:rsid w:val="67277B67"/>
    <w:rsid w:val="67740C83"/>
    <w:rsid w:val="67AA3209"/>
    <w:rsid w:val="683B7530"/>
    <w:rsid w:val="698D0931"/>
    <w:rsid w:val="6A7FE5F3"/>
    <w:rsid w:val="6B053271"/>
    <w:rsid w:val="6BDD78B3"/>
    <w:rsid w:val="6C4A05C8"/>
    <w:rsid w:val="6C8742B8"/>
    <w:rsid w:val="6DBF5E93"/>
    <w:rsid w:val="6DFF077E"/>
    <w:rsid w:val="6E714EF0"/>
    <w:rsid w:val="6E7E3605"/>
    <w:rsid w:val="6E7FDCC7"/>
    <w:rsid w:val="6ED6A62E"/>
    <w:rsid w:val="6EE00B15"/>
    <w:rsid w:val="6F3A2A8B"/>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4B05"/>
    <w:rsid w:val="74BBD01D"/>
    <w:rsid w:val="74ED5379"/>
    <w:rsid w:val="75653498"/>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AE1935"/>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629.11</c:v>
                </c:pt>
                <c:pt idx="1">
                  <c:v>618.76</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d1670e5e-ccbc-4041-ab84-b8067485212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manualLayout>
          <c:layoutTarget val="inner"/>
          <c:xMode val="edge"/>
          <c:yMode val="edge"/>
          <c:x val="0.319985880691846"/>
          <c:y val="0.26190911535359"/>
          <c:w val="0.354733498058595"/>
          <c:h val="0.540446356547459"/>
        </c:manualLayout>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884b72a-178e-4189-bc57-180d6590e70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c:f>
              <c:strCache>
                <c:ptCount val="1"/>
                <c:pt idx="0">
                  <c:v>基本支出</c:v>
                </c:pt>
              </c:strCache>
            </c:strRef>
          </c:cat>
          <c:val>
            <c:numRef>
              <c:f>[画图.xlsx]Sheet2!$C$49</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b71b298-5543-4492-8a7a-c40b8cf5226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629.11</c:v>
                </c:pt>
                <c:pt idx="1">
                  <c:v>618.76</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915e405e-a4ef-409c-b73f-7eba262b6dc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manualLayout>
          <c:xMode val="edge"/>
          <c:yMode val="edge"/>
          <c:x val="0.127084723148766"/>
          <c:y val="0.0289389067524116"/>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629.11</c:v>
                </c:pt>
                <c:pt idx="1">
                  <c:v>618.76</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fa6df92f-3e52-4ac9-9857-8ea5f99e3ca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[画图.xlsx]Sheet2!$B$120:$B$124</c:f>
              <c:strCache>
                <c:ptCount val="5"/>
                <c:pt idx="0">
                  <c:v>社会保障和就业支出</c:v>
                </c:pt>
                <c:pt idx="2">
                  <c:v>卫生健康支出</c:v>
                </c:pt>
                <c:pt idx="3">
                  <c:v>住房保障支出</c:v>
                </c:pt>
                <c:pt idx="4">
                  <c:v>农林水支出</c:v>
                </c:pt>
              </c:strCache>
            </c:strRef>
          </c:cat>
          <c:val>
            <c:numRef>
              <c:f>[画图.xlsx]Sheet2!$C$120:$C$124</c:f>
              <c:numCache>
                <c:formatCode>0.00%</c:formatCode>
                <c:ptCount val="5"/>
                <c:pt idx="0">
                  <c:v>0.1374</c:v>
                </c:pt>
                <c:pt idx="2">
                  <c:v>0.0258</c:v>
                </c:pt>
                <c:pt idx="3">
                  <c:v>0.0721</c:v>
                </c:pt>
                <c:pt idx="4">
                  <c:v>0.7647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8c14a92-9077-4d48-a0b2-bc2c540020d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1</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ad001c-c92c-4dd3-a2ba-7ce88a8053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4308</Words>
  <Characters>4688</Characters>
  <Lines>61</Lines>
  <Paragraphs>17</Paragraphs>
  <TotalTime>11</TotalTime>
  <ScaleCrop>false</ScaleCrop>
  <LinksUpToDate>false</LinksUpToDate>
  <CharactersWithSpaces>4742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深沉次主义</cp:lastModifiedBy>
  <cp:lastPrinted>2025-08-06T17:34:00Z</cp:lastPrinted>
  <dcterms:modified xsi:type="dcterms:W3CDTF">2025-11-25T01:37:37Z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eyJoZGlkIjoiMzk0NTQ4YTViNDdhNGEzNDMyYmRlOTUxMjZlZGQxMzgiLCJ1c2VySWQiOiI1MTIxMDU4MzYifQ==</vt:lpwstr>
  </property>
</Properties>
</file>