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theme/themeOverride1.xml" ContentType="application/vnd.openxmlformats-officedocument.themeOverride+xml"/>
  <Override PartName="/word/theme/themeOverride2.xml" ContentType="application/vnd.openxmlformats-officedocument.themeOverride+xml"/>
  <Override PartName="/word/theme/themeOverride3.xml" ContentType="application/vnd.openxmlformats-officedocument.themeOverrid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DF24FA">
      <w:pPr>
        <w:spacing w:line="600" w:lineRule="exact"/>
        <w:jc w:val="center"/>
        <w:outlineLvl w:val="9"/>
        <w:rPr>
          <w:rFonts w:ascii="方正小标宋简体" w:hAnsi="宋体" w:eastAsia="方正小标宋简体"/>
          <w:sz w:val="72"/>
          <w:szCs w:val="72"/>
        </w:rPr>
      </w:pPr>
      <w:bookmarkStart w:id="0" w:name="_Toc15396475"/>
      <w:bookmarkStart w:id="1" w:name="_Toc15396597"/>
      <w:bookmarkStart w:id="2" w:name="_Toc15377193"/>
      <w:bookmarkStart w:id="3" w:name="_Toc15377425"/>
      <w:bookmarkStart w:id="4" w:name="_Toc15378441"/>
      <w:bookmarkStart w:id="5" w:name="_Toc15306267"/>
    </w:p>
    <w:p w14:paraId="285F1FD2">
      <w:pPr>
        <w:pStyle w:val="11"/>
        <w:spacing w:before="93"/>
      </w:pPr>
    </w:p>
    <w:p w14:paraId="21B11CFE">
      <w:pPr>
        <w:spacing w:line="600" w:lineRule="exact"/>
        <w:jc w:val="center"/>
        <w:outlineLvl w:val="9"/>
        <w:rPr>
          <w:rFonts w:ascii="方正小标宋简体" w:hAnsi="宋体" w:eastAsia="方正小标宋简体"/>
          <w:sz w:val="72"/>
          <w:szCs w:val="72"/>
        </w:rPr>
      </w:pPr>
    </w:p>
    <w:p w14:paraId="2B07B8CC">
      <w:pPr>
        <w:spacing w:line="600" w:lineRule="exact"/>
        <w:jc w:val="center"/>
        <w:outlineLvl w:val="9"/>
        <w:rPr>
          <w:rFonts w:ascii="方正小标宋简体" w:hAnsi="宋体" w:eastAsia="方正小标宋简体"/>
          <w:sz w:val="72"/>
          <w:szCs w:val="72"/>
        </w:rPr>
      </w:pPr>
    </w:p>
    <w:p w14:paraId="4C1B8585">
      <w:pPr>
        <w:adjustRightInd w:val="0"/>
        <w:snapToGrid w:val="0"/>
        <w:spacing w:line="360" w:lineRule="auto"/>
        <w:jc w:val="center"/>
        <w:outlineLvl w:val="0"/>
        <w:rPr>
          <w:rFonts w:ascii="方正小标宋简体" w:hAnsi="方正小标宋简体" w:eastAsia="方正小标宋简体" w:cs="方正小标宋简体"/>
          <w:sz w:val="72"/>
          <w:szCs w:val="72"/>
        </w:rPr>
      </w:pPr>
      <w:bookmarkStart w:id="6" w:name="_Toc690"/>
      <w:bookmarkStart w:id="7" w:name="_Toc15603"/>
      <w:r>
        <w:rPr>
          <w:rFonts w:hint="eastAsia" w:ascii="方正小标宋简体" w:hAnsi="方正小标宋简体" w:eastAsia="方正小标宋简体" w:cs="方正小标宋简体"/>
          <w:sz w:val="72"/>
          <w:szCs w:val="72"/>
        </w:rPr>
        <w:t>2023年度</w:t>
      </w:r>
      <w:bookmarkEnd w:id="0"/>
      <w:bookmarkEnd w:id="1"/>
      <w:bookmarkEnd w:id="2"/>
      <w:bookmarkEnd w:id="3"/>
      <w:bookmarkEnd w:id="4"/>
      <w:bookmarkEnd w:id="6"/>
      <w:bookmarkEnd w:id="7"/>
    </w:p>
    <w:bookmarkEnd w:id="5"/>
    <w:p w14:paraId="6A860ED2">
      <w:pPr>
        <w:adjustRightInd w:val="0"/>
        <w:snapToGrid w:val="0"/>
        <w:spacing w:line="360" w:lineRule="auto"/>
        <w:jc w:val="center"/>
        <w:outlineLvl w:val="0"/>
        <w:rPr>
          <w:rFonts w:ascii="方正小标宋简体" w:hAnsi="方正小标宋简体" w:eastAsia="方正小标宋简体" w:cs="方正小标宋简体"/>
          <w:sz w:val="72"/>
          <w:szCs w:val="72"/>
        </w:rPr>
      </w:pPr>
      <w:bookmarkStart w:id="8" w:name="_Toc2222"/>
      <w:bookmarkStart w:id="9" w:name="_Toc15377194"/>
      <w:bookmarkStart w:id="10" w:name="_Toc15378442"/>
      <w:bookmarkStart w:id="11" w:name="_Toc15396598"/>
      <w:bookmarkStart w:id="12" w:name="_Toc15396476"/>
      <w:bookmarkStart w:id="13" w:name="_Toc21324"/>
      <w:bookmarkStart w:id="14" w:name="_Toc15377426"/>
      <w:bookmarkStart w:id="15" w:name="_Toc15306268"/>
      <w:r>
        <w:rPr>
          <w:rFonts w:hint="eastAsia" w:ascii="方正小标宋简体" w:hAnsi="方正小标宋简体" w:eastAsia="方正小标宋简体" w:cs="方正小标宋简体"/>
          <w:sz w:val="72"/>
          <w:szCs w:val="72"/>
          <w:lang w:val="en-US" w:eastAsia="zh-CN"/>
        </w:rPr>
        <w:t>峨边彝族自治县科学技术协会</w:t>
      </w:r>
      <w:r>
        <w:rPr>
          <w:rFonts w:hint="eastAsia" w:ascii="方正小标宋简体" w:hAnsi="方正小标宋简体" w:eastAsia="方正小标宋简体" w:cs="方正小标宋简体"/>
          <w:sz w:val="72"/>
          <w:szCs w:val="72"/>
        </w:rPr>
        <w:t>部门决算</w:t>
      </w:r>
      <w:bookmarkEnd w:id="8"/>
      <w:bookmarkEnd w:id="9"/>
      <w:bookmarkEnd w:id="10"/>
      <w:bookmarkEnd w:id="11"/>
      <w:bookmarkEnd w:id="12"/>
      <w:bookmarkEnd w:id="13"/>
      <w:bookmarkEnd w:id="14"/>
      <w:bookmarkEnd w:id="15"/>
    </w:p>
    <w:p w14:paraId="37929C7B">
      <w:pPr>
        <w:widowControl/>
        <w:jc w:val="center"/>
        <w:rPr>
          <w:rFonts w:ascii="黑体" w:hAnsi="黑体" w:eastAsia="黑体"/>
          <w:sz w:val="48"/>
          <w:szCs w:val="48"/>
        </w:rPr>
      </w:pPr>
      <w:r>
        <w:rPr>
          <w:rFonts w:ascii="方正小标宋简体" w:hAnsi="宋体" w:eastAsia="方正小标宋简体"/>
          <w:sz w:val="36"/>
          <w:szCs w:val="36"/>
        </w:rPr>
        <w:br w:type="page"/>
      </w:r>
      <w:r>
        <w:rPr>
          <w:rFonts w:hint="eastAsia" w:ascii="黑体" w:hAnsi="黑体" w:eastAsia="黑体"/>
          <w:sz w:val="48"/>
          <w:szCs w:val="48"/>
        </w:rPr>
        <w:t>目录</w:t>
      </w:r>
    </w:p>
    <w:p w14:paraId="41640333">
      <w:pPr>
        <w:widowControl/>
        <w:jc w:val="center"/>
        <w:rPr>
          <w:rFonts w:ascii="黑体" w:hAnsi="黑体" w:eastAsia="黑体" w:cstheme="minorBidi"/>
          <w:sz w:val="28"/>
          <w:szCs w:val="28"/>
        </w:rPr>
      </w:pPr>
    </w:p>
    <w:p w14:paraId="7962AD4D">
      <w:pPr>
        <w:pStyle w:val="16"/>
        <w:rPr>
          <w:rFonts w:hint="eastAsia" w:ascii="仿宋" w:hAnsi="仿宋" w:eastAsia="仿宋" w:cs="仿宋"/>
          <w:sz w:val="32"/>
          <w:szCs w:val="32"/>
        </w:rPr>
      </w:pPr>
      <w:r>
        <w:rPr>
          <w:rFonts w:hint="eastAsia" w:ascii="仿宋" w:hAnsi="仿宋" w:eastAsia="仿宋" w:cs="仿宋"/>
          <w:sz w:val="32"/>
          <w:szCs w:val="32"/>
        </w:rPr>
        <w:t>公开时间：202</w:t>
      </w:r>
      <w:r>
        <w:rPr>
          <w:rFonts w:hint="eastAsia" w:ascii="仿宋" w:hAnsi="仿宋" w:eastAsia="仿宋" w:cs="仿宋"/>
          <w:sz w:val="32"/>
          <w:szCs w:val="32"/>
          <w:lang w:val="en-US" w:eastAsia="zh-CN"/>
        </w:rPr>
        <w:t>4</w:t>
      </w:r>
      <w:r>
        <w:rPr>
          <w:rFonts w:hint="eastAsia" w:ascii="仿宋" w:hAnsi="仿宋" w:eastAsia="仿宋" w:cs="仿宋"/>
          <w:sz w:val="32"/>
          <w:szCs w:val="32"/>
        </w:rPr>
        <w:t>年</w:t>
      </w:r>
      <w:r>
        <w:rPr>
          <w:rFonts w:hint="eastAsia" w:ascii="仿宋" w:hAnsi="仿宋" w:eastAsia="仿宋" w:cs="仿宋"/>
          <w:sz w:val="32"/>
          <w:szCs w:val="32"/>
          <w:lang w:val="en-US" w:eastAsia="zh-CN"/>
        </w:rPr>
        <w:t>9</w:t>
      </w:r>
      <w:r>
        <w:rPr>
          <w:rFonts w:hint="eastAsia" w:ascii="仿宋" w:hAnsi="仿宋" w:eastAsia="仿宋" w:cs="仿宋"/>
          <w:sz w:val="32"/>
          <w:szCs w:val="32"/>
        </w:rPr>
        <w:t>月</w:t>
      </w:r>
      <w:r>
        <w:rPr>
          <w:rFonts w:hint="eastAsia" w:ascii="仿宋" w:hAnsi="仿宋" w:eastAsia="仿宋" w:cs="仿宋"/>
          <w:sz w:val="32"/>
          <w:szCs w:val="32"/>
          <w:lang w:val="en-US" w:eastAsia="zh-CN"/>
        </w:rPr>
        <w:t>29</w:t>
      </w:r>
      <w:r>
        <w:rPr>
          <w:rFonts w:hint="eastAsia" w:ascii="仿宋" w:hAnsi="仿宋" w:eastAsia="仿宋" w:cs="仿宋"/>
          <w:sz w:val="32"/>
          <w:szCs w:val="32"/>
        </w:rPr>
        <w:t>日</w:t>
      </w:r>
    </w:p>
    <w:p w14:paraId="50626A58">
      <w:pPr>
        <w:rPr>
          <w:rFonts w:hint="eastAsia" w:ascii="仿宋" w:hAnsi="仿宋" w:eastAsia="仿宋" w:cs="仿宋"/>
          <w:sz w:val="32"/>
          <w:szCs w:val="32"/>
        </w:rPr>
      </w:pPr>
    </w:p>
    <w:sdt>
      <w:sdtPr>
        <w:rPr>
          <w:rFonts w:hint="eastAsia" w:ascii="仿宋" w:hAnsi="仿宋" w:eastAsia="仿宋" w:cs="仿宋"/>
          <w:kern w:val="2"/>
          <w:sz w:val="32"/>
          <w:szCs w:val="32"/>
          <w:lang w:val="en-US" w:eastAsia="zh-CN" w:bidi="ar-SA"/>
        </w:rPr>
        <w:id w:val="147481307"/>
        <w15:color w:val="DBDBDB"/>
        <w:docPartObj>
          <w:docPartGallery w:val="Table of Contents"/>
          <w:docPartUnique/>
        </w:docPartObj>
      </w:sdtPr>
      <w:sdtEndPr>
        <w:rPr>
          <w:rFonts w:hint="eastAsia" w:ascii="宋体" w:hAnsi="宋体" w:eastAsia="宋体" w:cs="Times New Roman"/>
          <w:b/>
          <w:kern w:val="2"/>
          <w:sz w:val="21"/>
          <w:szCs w:val="24"/>
          <w:lang w:val="en-US" w:eastAsia="zh-CN" w:bidi="ar-SA"/>
        </w:rPr>
      </w:sdtEndPr>
      <w:sdtContent>
        <w:p w14:paraId="71248549">
          <w:pPr>
            <w:spacing w:before="0" w:beforeLines="0" w:after="0" w:afterLines="0" w:line="240" w:lineRule="auto"/>
            <w:ind w:left="0" w:leftChars="0" w:right="0" w:rightChars="0" w:firstLine="0" w:firstLineChars="0"/>
            <w:jc w:val="center"/>
            <w:rPr>
              <w:rFonts w:hint="eastAsia" w:ascii="仿宋" w:hAnsi="仿宋" w:eastAsia="仿宋" w:cs="仿宋"/>
              <w:sz w:val="32"/>
              <w:szCs w:val="32"/>
            </w:rPr>
          </w:pPr>
          <w:bookmarkStart w:id="16" w:name="_Toc15396599"/>
          <w:bookmarkStart w:id="17" w:name="_Toc15377196"/>
          <w:r>
            <w:rPr>
              <w:rFonts w:hint="eastAsia" w:ascii="仿宋" w:hAnsi="仿宋" w:eastAsia="仿宋" w:cs="仿宋"/>
              <w:sz w:val="32"/>
              <w:szCs w:val="32"/>
            </w:rPr>
            <w:t>目录</w:t>
          </w:r>
        </w:p>
        <w:p w14:paraId="3FAB6F95">
          <w:pPr>
            <w:pStyle w:val="16"/>
            <w:tabs>
              <w:tab w:val="right" w:leader="dot" w:pos="8306"/>
              <w:tab w:val="clear" w:pos="8296"/>
            </w:tabs>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TOC \o "1-2" \h \u </w:instrText>
          </w:r>
          <w:r>
            <w:rPr>
              <w:rFonts w:hint="eastAsia" w:ascii="仿宋" w:hAnsi="仿宋" w:eastAsia="仿宋" w:cs="仿宋"/>
              <w:sz w:val="32"/>
              <w:szCs w:val="32"/>
            </w:rPr>
            <w:fldChar w:fldCharType="separate"/>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_Toc32530 </w:instrText>
          </w:r>
          <w:r>
            <w:rPr>
              <w:rFonts w:hint="eastAsia" w:ascii="仿宋" w:hAnsi="仿宋" w:eastAsia="仿宋" w:cs="仿宋"/>
              <w:sz w:val="32"/>
              <w:szCs w:val="32"/>
            </w:rPr>
            <w:fldChar w:fldCharType="separate"/>
          </w:r>
          <w:r>
            <w:rPr>
              <w:rFonts w:hint="eastAsia" w:ascii="仿宋" w:hAnsi="仿宋" w:eastAsia="仿宋" w:cs="仿宋"/>
              <w:sz w:val="32"/>
              <w:szCs w:val="32"/>
            </w:rPr>
            <w:t xml:space="preserve">第一部分 </w:t>
          </w:r>
          <w:r>
            <w:rPr>
              <w:rFonts w:hint="eastAsia" w:ascii="仿宋" w:hAnsi="仿宋" w:eastAsia="仿宋" w:cs="仿宋"/>
              <w:bCs w:val="0"/>
              <w:sz w:val="32"/>
              <w:szCs w:val="32"/>
            </w:rPr>
            <w:t>部门概况</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_Toc32530 \h </w:instrText>
          </w:r>
          <w:r>
            <w:rPr>
              <w:rFonts w:hint="eastAsia" w:ascii="仿宋" w:hAnsi="仿宋" w:eastAsia="仿宋" w:cs="仿宋"/>
              <w:sz w:val="32"/>
              <w:szCs w:val="32"/>
            </w:rPr>
            <w:fldChar w:fldCharType="separate"/>
          </w:r>
          <w:r>
            <w:rPr>
              <w:rFonts w:hint="eastAsia" w:ascii="仿宋" w:hAnsi="仿宋" w:eastAsia="仿宋" w:cs="仿宋"/>
              <w:sz w:val="32"/>
              <w:szCs w:val="32"/>
            </w:rPr>
            <w:t>4</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13D78BD7">
          <w:pPr>
            <w:pStyle w:val="17"/>
            <w:tabs>
              <w:tab w:val="right" w:leader="dot" w:pos="8306"/>
              <w:tab w:val="clear" w:pos="8296"/>
            </w:tabs>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_Toc15250 </w:instrText>
          </w:r>
          <w:r>
            <w:rPr>
              <w:rFonts w:hint="eastAsia" w:ascii="仿宋" w:hAnsi="仿宋" w:eastAsia="仿宋" w:cs="仿宋"/>
              <w:sz w:val="32"/>
              <w:szCs w:val="32"/>
            </w:rPr>
            <w:fldChar w:fldCharType="separate"/>
          </w:r>
          <w:r>
            <w:rPr>
              <w:rFonts w:hint="eastAsia" w:ascii="仿宋" w:hAnsi="仿宋" w:eastAsia="仿宋" w:cs="仿宋"/>
              <w:sz w:val="32"/>
              <w:szCs w:val="32"/>
            </w:rPr>
            <w:t>一、部门职责</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_Toc15250 \h </w:instrText>
          </w:r>
          <w:r>
            <w:rPr>
              <w:rFonts w:hint="eastAsia" w:ascii="仿宋" w:hAnsi="仿宋" w:eastAsia="仿宋" w:cs="仿宋"/>
              <w:sz w:val="32"/>
              <w:szCs w:val="32"/>
            </w:rPr>
            <w:fldChar w:fldCharType="separate"/>
          </w:r>
          <w:r>
            <w:rPr>
              <w:rFonts w:hint="eastAsia" w:ascii="仿宋" w:hAnsi="仿宋" w:eastAsia="仿宋" w:cs="仿宋"/>
              <w:sz w:val="32"/>
              <w:szCs w:val="32"/>
            </w:rPr>
            <w:t>4</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2455E176">
          <w:pPr>
            <w:pStyle w:val="17"/>
            <w:tabs>
              <w:tab w:val="right" w:leader="dot" w:pos="8306"/>
              <w:tab w:val="clear" w:pos="8296"/>
            </w:tabs>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_Toc15611 </w:instrText>
          </w:r>
          <w:r>
            <w:rPr>
              <w:rFonts w:hint="eastAsia" w:ascii="仿宋" w:hAnsi="仿宋" w:eastAsia="仿宋" w:cs="仿宋"/>
              <w:sz w:val="32"/>
              <w:szCs w:val="32"/>
            </w:rPr>
            <w:fldChar w:fldCharType="separate"/>
          </w:r>
          <w:r>
            <w:rPr>
              <w:rFonts w:hint="eastAsia" w:ascii="仿宋" w:hAnsi="仿宋" w:eastAsia="仿宋" w:cs="仿宋"/>
              <w:sz w:val="32"/>
              <w:szCs w:val="32"/>
            </w:rPr>
            <w:t>二、机</w:t>
          </w:r>
          <w:r>
            <w:rPr>
              <w:rFonts w:hint="eastAsia" w:ascii="仿宋" w:hAnsi="仿宋" w:eastAsia="仿宋" w:cs="仿宋"/>
              <w:bCs w:val="0"/>
              <w:sz w:val="32"/>
              <w:szCs w:val="32"/>
            </w:rPr>
            <w:t>构设置</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_Toc15611 \h </w:instrText>
          </w:r>
          <w:r>
            <w:rPr>
              <w:rFonts w:hint="eastAsia" w:ascii="仿宋" w:hAnsi="仿宋" w:eastAsia="仿宋" w:cs="仿宋"/>
              <w:sz w:val="32"/>
              <w:szCs w:val="32"/>
            </w:rPr>
            <w:fldChar w:fldCharType="separate"/>
          </w:r>
          <w:r>
            <w:rPr>
              <w:rFonts w:hint="eastAsia" w:ascii="仿宋" w:hAnsi="仿宋" w:eastAsia="仿宋" w:cs="仿宋"/>
              <w:sz w:val="32"/>
              <w:szCs w:val="32"/>
            </w:rPr>
            <w:t>4</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56C8E021">
          <w:pPr>
            <w:pStyle w:val="16"/>
            <w:tabs>
              <w:tab w:val="right" w:leader="dot" w:pos="8306"/>
              <w:tab w:val="clear" w:pos="8296"/>
            </w:tabs>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_Toc4658 </w:instrText>
          </w:r>
          <w:r>
            <w:rPr>
              <w:rFonts w:hint="eastAsia" w:ascii="仿宋" w:hAnsi="仿宋" w:eastAsia="仿宋" w:cs="仿宋"/>
              <w:sz w:val="32"/>
              <w:szCs w:val="32"/>
            </w:rPr>
            <w:fldChar w:fldCharType="separate"/>
          </w:r>
          <w:r>
            <w:rPr>
              <w:rFonts w:hint="eastAsia" w:ascii="仿宋" w:hAnsi="仿宋" w:eastAsia="仿宋" w:cs="仿宋"/>
              <w:sz w:val="32"/>
              <w:szCs w:val="32"/>
            </w:rPr>
            <w:t>第二部分 2023年度</w:t>
          </w:r>
          <w:r>
            <w:rPr>
              <w:rFonts w:hint="eastAsia" w:ascii="仿宋" w:hAnsi="仿宋" w:eastAsia="仿宋" w:cs="仿宋"/>
              <w:bCs/>
              <w:sz w:val="32"/>
              <w:szCs w:val="32"/>
            </w:rPr>
            <w:t>部门决算情况说明</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_Toc4658 \h </w:instrText>
          </w:r>
          <w:r>
            <w:rPr>
              <w:rFonts w:hint="eastAsia" w:ascii="仿宋" w:hAnsi="仿宋" w:eastAsia="仿宋" w:cs="仿宋"/>
              <w:sz w:val="32"/>
              <w:szCs w:val="32"/>
            </w:rPr>
            <w:fldChar w:fldCharType="separate"/>
          </w:r>
          <w:r>
            <w:rPr>
              <w:rFonts w:hint="eastAsia" w:ascii="仿宋" w:hAnsi="仿宋" w:eastAsia="仿宋" w:cs="仿宋"/>
              <w:sz w:val="32"/>
              <w:szCs w:val="32"/>
            </w:rPr>
            <w:t>6</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428420DE">
          <w:pPr>
            <w:pStyle w:val="17"/>
            <w:tabs>
              <w:tab w:val="right" w:leader="dot" w:pos="8306"/>
              <w:tab w:val="clear" w:pos="8296"/>
            </w:tabs>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_Toc19365 </w:instrText>
          </w:r>
          <w:r>
            <w:rPr>
              <w:rFonts w:hint="eastAsia" w:ascii="仿宋" w:hAnsi="仿宋" w:eastAsia="仿宋" w:cs="仿宋"/>
              <w:sz w:val="32"/>
              <w:szCs w:val="32"/>
            </w:rPr>
            <w:fldChar w:fldCharType="separate"/>
          </w:r>
          <w:r>
            <w:rPr>
              <w:rFonts w:hint="eastAsia" w:ascii="仿宋" w:hAnsi="仿宋" w:eastAsia="仿宋" w:cs="仿宋"/>
              <w:sz w:val="32"/>
              <w:szCs w:val="32"/>
            </w:rPr>
            <w:t>一、 收入支出决算总体情况说明</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_Toc19365 \h </w:instrText>
          </w:r>
          <w:r>
            <w:rPr>
              <w:rFonts w:hint="eastAsia" w:ascii="仿宋" w:hAnsi="仿宋" w:eastAsia="仿宋" w:cs="仿宋"/>
              <w:sz w:val="32"/>
              <w:szCs w:val="32"/>
            </w:rPr>
            <w:fldChar w:fldCharType="separate"/>
          </w:r>
          <w:r>
            <w:rPr>
              <w:rFonts w:hint="eastAsia" w:ascii="仿宋" w:hAnsi="仿宋" w:eastAsia="仿宋" w:cs="仿宋"/>
              <w:sz w:val="32"/>
              <w:szCs w:val="32"/>
            </w:rPr>
            <w:t>6</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0AA93D72">
          <w:pPr>
            <w:pStyle w:val="17"/>
            <w:tabs>
              <w:tab w:val="right" w:leader="dot" w:pos="8306"/>
              <w:tab w:val="clear" w:pos="8296"/>
            </w:tabs>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_Toc25525 </w:instrText>
          </w:r>
          <w:r>
            <w:rPr>
              <w:rFonts w:hint="eastAsia" w:ascii="仿宋" w:hAnsi="仿宋" w:eastAsia="仿宋" w:cs="仿宋"/>
              <w:sz w:val="32"/>
              <w:szCs w:val="32"/>
            </w:rPr>
            <w:fldChar w:fldCharType="separate"/>
          </w:r>
          <w:r>
            <w:rPr>
              <w:rFonts w:hint="eastAsia" w:ascii="仿宋" w:hAnsi="仿宋" w:eastAsia="仿宋" w:cs="仿宋"/>
              <w:sz w:val="32"/>
              <w:szCs w:val="32"/>
            </w:rPr>
            <w:t>二、 收入决算情况说明</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_Toc25525 \h </w:instrText>
          </w:r>
          <w:r>
            <w:rPr>
              <w:rFonts w:hint="eastAsia" w:ascii="仿宋" w:hAnsi="仿宋" w:eastAsia="仿宋" w:cs="仿宋"/>
              <w:sz w:val="32"/>
              <w:szCs w:val="32"/>
            </w:rPr>
            <w:fldChar w:fldCharType="separate"/>
          </w:r>
          <w:r>
            <w:rPr>
              <w:rFonts w:hint="eastAsia" w:ascii="仿宋" w:hAnsi="仿宋" w:eastAsia="仿宋" w:cs="仿宋"/>
              <w:sz w:val="32"/>
              <w:szCs w:val="32"/>
            </w:rPr>
            <w:t>6</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7CD57E7D">
          <w:pPr>
            <w:pStyle w:val="17"/>
            <w:tabs>
              <w:tab w:val="right" w:leader="dot" w:pos="8306"/>
              <w:tab w:val="clear" w:pos="8296"/>
            </w:tabs>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_Toc11939 </w:instrText>
          </w:r>
          <w:r>
            <w:rPr>
              <w:rFonts w:hint="eastAsia" w:ascii="仿宋" w:hAnsi="仿宋" w:eastAsia="仿宋" w:cs="仿宋"/>
              <w:sz w:val="32"/>
              <w:szCs w:val="32"/>
            </w:rPr>
            <w:fldChar w:fldCharType="separate"/>
          </w:r>
          <w:r>
            <w:rPr>
              <w:rFonts w:hint="eastAsia" w:ascii="仿宋" w:hAnsi="仿宋" w:eastAsia="仿宋" w:cs="仿宋"/>
              <w:sz w:val="32"/>
              <w:szCs w:val="32"/>
            </w:rPr>
            <w:t>三、 支出决算情况说明</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_Toc11939 \h </w:instrText>
          </w:r>
          <w:r>
            <w:rPr>
              <w:rFonts w:hint="eastAsia" w:ascii="仿宋" w:hAnsi="仿宋" w:eastAsia="仿宋" w:cs="仿宋"/>
              <w:sz w:val="32"/>
              <w:szCs w:val="32"/>
            </w:rPr>
            <w:fldChar w:fldCharType="separate"/>
          </w:r>
          <w:r>
            <w:rPr>
              <w:rFonts w:hint="eastAsia" w:ascii="仿宋" w:hAnsi="仿宋" w:eastAsia="仿宋" w:cs="仿宋"/>
              <w:sz w:val="32"/>
              <w:szCs w:val="32"/>
            </w:rPr>
            <w:t>7</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2FBF9AB8">
          <w:pPr>
            <w:pStyle w:val="17"/>
            <w:tabs>
              <w:tab w:val="right" w:leader="dot" w:pos="8306"/>
              <w:tab w:val="clear" w:pos="8296"/>
            </w:tabs>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_Toc26027 </w:instrText>
          </w:r>
          <w:r>
            <w:rPr>
              <w:rFonts w:hint="eastAsia" w:ascii="仿宋" w:hAnsi="仿宋" w:eastAsia="仿宋" w:cs="仿宋"/>
              <w:sz w:val="32"/>
              <w:szCs w:val="32"/>
            </w:rPr>
            <w:fldChar w:fldCharType="separate"/>
          </w:r>
          <w:r>
            <w:rPr>
              <w:rFonts w:hint="eastAsia" w:ascii="仿宋" w:hAnsi="仿宋" w:eastAsia="仿宋" w:cs="仿宋"/>
              <w:sz w:val="32"/>
              <w:szCs w:val="32"/>
            </w:rPr>
            <w:t>四、财政拨款收入支出决算总体情况说明</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_Toc26027 \h </w:instrText>
          </w:r>
          <w:r>
            <w:rPr>
              <w:rFonts w:hint="eastAsia" w:ascii="仿宋" w:hAnsi="仿宋" w:eastAsia="仿宋" w:cs="仿宋"/>
              <w:sz w:val="32"/>
              <w:szCs w:val="32"/>
            </w:rPr>
            <w:fldChar w:fldCharType="separate"/>
          </w:r>
          <w:r>
            <w:rPr>
              <w:rFonts w:hint="eastAsia" w:ascii="仿宋" w:hAnsi="仿宋" w:eastAsia="仿宋" w:cs="仿宋"/>
              <w:sz w:val="32"/>
              <w:szCs w:val="32"/>
            </w:rPr>
            <w:t>8</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14A5CF5C">
          <w:pPr>
            <w:pStyle w:val="17"/>
            <w:tabs>
              <w:tab w:val="right" w:leader="dot" w:pos="8306"/>
              <w:tab w:val="clear" w:pos="8296"/>
            </w:tabs>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_Toc27320 </w:instrText>
          </w:r>
          <w:r>
            <w:rPr>
              <w:rFonts w:hint="eastAsia" w:ascii="仿宋" w:hAnsi="仿宋" w:eastAsia="仿宋" w:cs="仿宋"/>
              <w:sz w:val="32"/>
              <w:szCs w:val="32"/>
            </w:rPr>
            <w:fldChar w:fldCharType="separate"/>
          </w:r>
          <w:r>
            <w:rPr>
              <w:rFonts w:hint="eastAsia" w:ascii="仿宋" w:hAnsi="仿宋" w:eastAsia="仿宋" w:cs="仿宋"/>
              <w:sz w:val="32"/>
              <w:szCs w:val="32"/>
            </w:rPr>
            <w:t>五、一般公共预算财政拨款支出决算情况说明</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_Toc27320 \h </w:instrText>
          </w:r>
          <w:r>
            <w:rPr>
              <w:rFonts w:hint="eastAsia" w:ascii="仿宋" w:hAnsi="仿宋" w:eastAsia="仿宋" w:cs="仿宋"/>
              <w:sz w:val="32"/>
              <w:szCs w:val="32"/>
            </w:rPr>
            <w:fldChar w:fldCharType="separate"/>
          </w:r>
          <w:r>
            <w:rPr>
              <w:rFonts w:hint="eastAsia" w:ascii="仿宋" w:hAnsi="仿宋" w:eastAsia="仿宋" w:cs="仿宋"/>
              <w:sz w:val="32"/>
              <w:szCs w:val="32"/>
            </w:rPr>
            <w:t>8</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62ED3299">
          <w:pPr>
            <w:pStyle w:val="17"/>
            <w:tabs>
              <w:tab w:val="right" w:leader="dot" w:pos="8306"/>
              <w:tab w:val="clear" w:pos="8296"/>
            </w:tabs>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_Toc358 </w:instrText>
          </w:r>
          <w:r>
            <w:rPr>
              <w:rFonts w:hint="eastAsia" w:ascii="仿宋" w:hAnsi="仿宋" w:eastAsia="仿宋" w:cs="仿宋"/>
              <w:sz w:val="32"/>
              <w:szCs w:val="32"/>
            </w:rPr>
            <w:fldChar w:fldCharType="separate"/>
          </w:r>
          <w:r>
            <w:rPr>
              <w:rFonts w:hint="eastAsia" w:ascii="仿宋" w:hAnsi="仿宋" w:eastAsia="仿宋" w:cs="仿宋"/>
              <w:sz w:val="32"/>
              <w:szCs w:val="32"/>
            </w:rPr>
            <w:t>六、一般公共预算财政拨款基本支出决算情况说明</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_Toc358 \h </w:instrText>
          </w:r>
          <w:r>
            <w:rPr>
              <w:rFonts w:hint="eastAsia" w:ascii="仿宋" w:hAnsi="仿宋" w:eastAsia="仿宋" w:cs="仿宋"/>
              <w:sz w:val="32"/>
              <w:szCs w:val="32"/>
            </w:rPr>
            <w:fldChar w:fldCharType="separate"/>
          </w:r>
          <w:r>
            <w:rPr>
              <w:rFonts w:hint="eastAsia" w:ascii="仿宋" w:hAnsi="仿宋" w:eastAsia="仿宋" w:cs="仿宋"/>
              <w:sz w:val="32"/>
              <w:szCs w:val="32"/>
            </w:rPr>
            <w:t>11</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3CF7DED1">
          <w:pPr>
            <w:pStyle w:val="17"/>
            <w:tabs>
              <w:tab w:val="right" w:leader="dot" w:pos="8306"/>
              <w:tab w:val="clear" w:pos="8296"/>
            </w:tabs>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_Toc6407 </w:instrText>
          </w:r>
          <w:r>
            <w:rPr>
              <w:rFonts w:hint="eastAsia" w:ascii="仿宋" w:hAnsi="仿宋" w:eastAsia="仿宋" w:cs="仿宋"/>
              <w:sz w:val="32"/>
              <w:szCs w:val="32"/>
            </w:rPr>
            <w:fldChar w:fldCharType="separate"/>
          </w:r>
          <w:r>
            <w:rPr>
              <w:rFonts w:hint="eastAsia" w:ascii="仿宋" w:hAnsi="仿宋" w:eastAsia="仿宋" w:cs="仿宋"/>
              <w:sz w:val="32"/>
              <w:szCs w:val="32"/>
            </w:rPr>
            <w:t>七、财政拨款“三公”经费支出决算情况说明</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_Toc6407 \h </w:instrText>
          </w:r>
          <w:r>
            <w:rPr>
              <w:rFonts w:hint="eastAsia" w:ascii="仿宋" w:hAnsi="仿宋" w:eastAsia="仿宋" w:cs="仿宋"/>
              <w:sz w:val="32"/>
              <w:szCs w:val="32"/>
            </w:rPr>
            <w:fldChar w:fldCharType="separate"/>
          </w:r>
          <w:r>
            <w:rPr>
              <w:rFonts w:hint="eastAsia" w:ascii="仿宋" w:hAnsi="仿宋" w:eastAsia="仿宋" w:cs="仿宋"/>
              <w:sz w:val="32"/>
              <w:szCs w:val="32"/>
            </w:rPr>
            <w:t>12</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0D238687">
          <w:pPr>
            <w:pStyle w:val="17"/>
            <w:tabs>
              <w:tab w:val="right" w:leader="dot" w:pos="8306"/>
              <w:tab w:val="clear" w:pos="8296"/>
            </w:tabs>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_Toc31915 </w:instrText>
          </w:r>
          <w:r>
            <w:rPr>
              <w:rFonts w:hint="eastAsia" w:ascii="仿宋" w:hAnsi="仿宋" w:eastAsia="仿宋" w:cs="仿宋"/>
              <w:sz w:val="32"/>
              <w:szCs w:val="32"/>
            </w:rPr>
            <w:fldChar w:fldCharType="separate"/>
          </w:r>
          <w:r>
            <w:rPr>
              <w:rFonts w:hint="eastAsia" w:ascii="仿宋" w:hAnsi="仿宋" w:eastAsia="仿宋" w:cs="仿宋"/>
              <w:sz w:val="32"/>
              <w:szCs w:val="32"/>
            </w:rPr>
            <w:t>八、政府性基金预算支出决算情况说明</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_Toc31915 \h </w:instrText>
          </w:r>
          <w:r>
            <w:rPr>
              <w:rFonts w:hint="eastAsia" w:ascii="仿宋" w:hAnsi="仿宋" w:eastAsia="仿宋" w:cs="仿宋"/>
              <w:sz w:val="32"/>
              <w:szCs w:val="32"/>
            </w:rPr>
            <w:fldChar w:fldCharType="separate"/>
          </w:r>
          <w:r>
            <w:rPr>
              <w:rFonts w:hint="eastAsia" w:ascii="仿宋" w:hAnsi="仿宋" w:eastAsia="仿宋" w:cs="仿宋"/>
              <w:sz w:val="32"/>
              <w:szCs w:val="32"/>
            </w:rPr>
            <w:t>14</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4D593288">
          <w:pPr>
            <w:pStyle w:val="17"/>
            <w:tabs>
              <w:tab w:val="right" w:leader="dot" w:pos="8306"/>
              <w:tab w:val="clear" w:pos="8296"/>
            </w:tabs>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_Toc16468 </w:instrText>
          </w:r>
          <w:r>
            <w:rPr>
              <w:rFonts w:hint="eastAsia" w:ascii="仿宋" w:hAnsi="仿宋" w:eastAsia="仿宋" w:cs="仿宋"/>
              <w:sz w:val="32"/>
              <w:szCs w:val="32"/>
            </w:rPr>
            <w:fldChar w:fldCharType="separate"/>
          </w:r>
          <w:r>
            <w:rPr>
              <w:rFonts w:hint="eastAsia" w:ascii="仿宋" w:hAnsi="仿宋" w:eastAsia="仿宋" w:cs="仿宋"/>
              <w:sz w:val="32"/>
              <w:szCs w:val="32"/>
            </w:rPr>
            <w:t>九、 国有资本经营预算支出决算情况说明</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_Toc16468 \h </w:instrText>
          </w:r>
          <w:r>
            <w:rPr>
              <w:rFonts w:hint="eastAsia" w:ascii="仿宋" w:hAnsi="仿宋" w:eastAsia="仿宋" w:cs="仿宋"/>
              <w:sz w:val="32"/>
              <w:szCs w:val="32"/>
            </w:rPr>
            <w:fldChar w:fldCharType="separate"/>
          </w:r>
          <w:r>
            <w:rPr>
              <w:rFonts w:hint="eastAsia" w:ascii="仿宋" w:hAnsi="仿宋" w:eastAsia="仿宋" w:cs="仿宋"/>
              <w:sz w:val="32"/>
              <w:szCs w:val="32"/>
            </w:rPr>
            <w:t>14</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0534D8DF">
          <w:pPr>
            <w:pStyle w:val="17"/>
            <w:tabs>
              <w:tab w:val="right" w:leader="dot" w:pos="8306"/>
              <w:tab w:val="clear" w:pos="8296"/>
            </w:tabs>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_Toc7449 </w:instrText>
          </w:r>
          <w:r>
            <w:rPr>
              <w:rFonts w:hint="eastAsia" w:ascii="仿宋" w:hAnsi="仿宋" w:eastAsia="仿宋" w:cs="仿宋"/>
              <w:sz w:val="32"/>
              <w:szCs w:val="32"/>
            </w:rPr>
            <w:fldChar w:fldCharType="separate"/>
          </w:r>
          <w:r>
            <w:rPr>
              <w:rFonts w:hint="eastAsia" w:ascii="仿宋" w:hAnsi="仿宋" w:eastAsia="仿宋" w:cs="仿宋"/>
              <w:sz w:val="32"/>
              <w:szCs w:val="32"/>
            </w:rPr>
            <w:t>十、 其他重要事项的情况说明</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_Toc7449 \h </w:instrText>
          </w:r>
          <w:r>
            <w:rPr>
              <w:rFonts w:hint="eastAsia" w:ascii="仿宋" w:hAnsi="仿宋" w:eastAsia="仿宋" w:cs="仿宋"/>
              <w:sz w:val="32"/>
              <w:szCs w:val="32"/>
            </w:rPr>
            <w:fldChar w:fldCharType="separate"/>
          </w:r>
          <w:r>
            <w:rPr>
              <w:rFonts w:hint="eastAsia" w:ascii="仿宋" w:hAnsi="仿宋" w:eastAsia="仿宋" w:cs="仿宋"/>
              <w:sz w:val="32"/>
              <w:szCs w:val="32"/>
            </w:rPr>
            <w:t>14</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3FD08413">
          <w:pPr>
            <w:pStyle w:val="16"/>
            <w:tabs>
              <w:tab w:val="right" w:leader="dot" w:pos="8306"/>
              <w:tab w:val="clear" w:pos="8296"/>
            </w:tabs>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_Toc12668 </w:instrText>
          </w:r>
          <w:r>
            <w:rPr>
              <w:rFonts w:hint="eastAsia" w:ascii="仿宋" w:hAnsi="仿宋" w:eastAsia="仿宋" w:cs="仿宋"/>
              <w:sz w:val="32"/>
              <w:szCs w:val="32"/>
            </w:rPr>
            <w:fldChar w:fldCharType="separate"/>
          </w:r>
          <w:r>
            <w:rPr>
              <w:rFonts w:hint="eastAsia" w:ascii="仿宋" w:hAnsi="仿宋" w:eastAsia="仿宋" w:cs="仿宋"/>
              <w:sz w:val="32"/>
              <w:szCs w:val="32"/>
            </w:rPr>
            <w:t>第三部分 名词解释</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_Toc12668 \h </w:instrText>
          </w:r>
          <w:r>
            <w:rPr>
              <w:rFonts w:hint="eastAsia" w:ascii="仿宋" w:hAnsi="仿宋" w:eastAsia="仿宋" w:cs="仿宋"/>
              <w:sz w:val="32"/>
              <w:szCs w:val="32"/>
            </w:rPr>
            <w:fldChar w:fldCharType="separate"/>
          </w:r>
          <w:r>
            <w:rPr>
              <w:rFonts w:hint="eastAsia" w:ascii="仿宋" w:hAnsi="仿宋" w:eastAsia="仿宋" w:cs="仿宋"/>
              <w:sz w:val="32"/>
              <w:szCs w:val="32"/>
            </w:rPr>
            <w:t>16</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5C3FC6D9">
          <w:pPr>
            <w:pStyle w:val="16"/>
            <w:tabs>
              <w:tab w:val="right" w:leader="dot" w:pos="8306"/>
              <w:tab w:val="clear" w:pos="8296"/>
            </w:tabs>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_Toc30818 </w:instrText>
          </w:r>
          <w:r>
            <w:rPr>
              <w:rFonts w:hint="eastAsia" w:ascii="仿宋" w:hAnsi="仿宋" w:eastAsia="仿宋" w:cs="仿宋"/>
              <w:sz w:val="32"/>
              <w:szCs w:val="32"/>
            </w:rPr>
            <w:fldChar w:fldCharType="separate"/>
          </w:r>
          <w:r>
            <w:rPr>
              <w:rFonts w:hint="eastAsia" w:ascii="仿宋" w:hAnsi="仿宋" w:eastAsia="仿宋" w:cs="仿宋"/>
              <w:sz w:val="32"/>
              <w:szCs w:val="32"/>
            </w:rPr>
            <w:t>第四部分 附件</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_Toc30818 \h </w:instrText>
          </w:r>
          <w:r>
            <w:rPr>
              <w:rFonts w:hint="eastAsia" w:ascii="仿宋" w:hAnsi="仿宋" w:eastAsia="仿宋" w:cs="仿宋"/>
              <w:sz w:val="32"/>
              <w:szCs w:val="32"/>
            </w:rPr>
            <w:fldChar w:fldCharType="separate"/>
          </w:r>
          <w:r>
            <w:rPr>
              <w:rFonts w:hint="eastAsia" w:ascii="仿宋" w:hAnsi="仿宋" w:eastAsia="仿宋" w:cs="仿宋"/>
              <w:sz w:val="32"/>
              <w:szCs w:val="32"/>
            </w:rPr>
            <w:t>19</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5D3E5E7F">
          <w:pPr>
            <w:pStyle w:val="16"/>
            <w:tabs>
              <w:tab w:val="right" w:leader="dot" w:pos="8306"/>
              <w:tab w:val="clear" w:pos="8296"/>
            </w:tabs>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_Toc21745 </w:instrText>
          </w:r>
          <w:r>
            <w:rPr>
              <w:rFonts w:hint="eastAsia" w:ascii="仿宋" w:hAnsi="仿宋" w:eastAsia="仿宋" w:cs="仿宋"/>
              <w:sz w:val="32"/>
              <w:szCs w:val="32"/>
            </w:rPr>
            <w:fldChar w:fldCharType="separate"/>
          </w:r>
          <w:r>
            <w:rPr>
              <w:rFonts w:hint="eastAsia" w:ascii="仿宋" w:hAnsi="仿宋" w:eastAsia="仿宋" w:cs="仿宋"/>
              <w:sz w:val="32"/>
              <w:szCs w:val="32"/>
            </w:rPr>
            <w:t>第五部分 附表</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_Toc21745 \h </w:instrText>
          </w:r>
          <w:r>
            <w:rPr>
              <w:rFonts w:hint="eastAsia" w:ascii="仿宋" w:hAnsi="仿宋" w:eastAsia="仿宋" w:cs="仿宋"/>
              <w:sz w:val="32"/>
              <w:szCs w:val="32"/>
            </w:rPr>
            <w:fldChar w:fldCharType="separate"/>
          </w:r>
          <w:r>
            <w:rPr>
              <w:rFonts w:hint="eastAsia" w:ascii="仿宋" w:hAnsi="仿宋" w:eastAsia="仿宋" w:cs="仿宋"/>
              <w:sz w:val="32"/>
              <w:szCs w:val="32"/>
            </w:rPr>
            <w:t>34</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4F41FFAB">
          <w:pPr>
            <w:pStyle w:val="17"/>
            <w:tabs>
              <w:tab w:val="right" w:leader="dot" w:pos="8306"/>
              <w:tab w:val="clear" w:pos="8296"/>
            </w:tabs>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_Toc26465 </w:instrText>
          </w:r>
          <w:r>
            <w:rPr>
              <w:rFonts w:hint="eastAsia" w:ascii="仿宋" w:hAnsi="仿宋" w:eastAsia="仿宋" w:cs="仿宋"/>
              <w:sz w:val="32"/>
              <w:szCs w:val="32"/>
            </w:rPr>
            <w:fldChar w:fldCharType="separate"/>
          </w:r>
          <w:r>
            <w:rPr>
              <w:rFonts w:hint="eastAsia" w:ascii="仿宋" w:hAnsi="仿宋" w:eastAsia="仿宋" w:cs="仿宋"/>
              <w:sz w:val="32"/>
              <w:szCs w:val="32"/>
            </w:rPr>
            <w:t>一、收入支出决算总表</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_Toc26465 \h </w:instrText>
          </w:r>
          <w:r>
            <w:rPr>
              <w:rFonts w:hint="eastAsia" w:ascii="仿宋" w:hAnsi="仿宋" w:eastAsia="仿宋" w:cs="仿宋"/>
              <w:sz w:val="32"/>
              <w:szCs w:val="32"/>
            </w:rPr>
            <w:fldChar w:fldCharType="separate"/>
          </w:r>
          <w:r>
            <w:rPr>
              <w:rFonts w:hint="eastAsia" w:ascii="仿宋" w:hAnsi="仿宋" w:eastAsia="仿宋" w:cs="仿宋"/>
              <w:sz w:val="32"/>
              <w:szCs w:val="32"/>
            </w:rPr>
            <w:t>34</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32D00BD0">
          <w:pPr>
            <w:pStyle w:val="17"/>
            <w:tabs>
              <w:tab w:val="right" w:leader="dot" w:pos="8306"/>
              <w:tab w:val="clear" w:pos="8296"/>
            </w:tabs>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_Toc23589 </w:instrText>
          </w:r>
          <w:r>
            <w:rPr>
              <w:rFonts w:hint="eastAsia" w:ascii="仿宋" w:hAnsi="仿宋" w:eastAsia="仿宋" w:cs="仿宋"/>
              <w:sz w:val="32"/>
              <w:szCs w:val="32"/>
            </w:rPr>
            <w:fldChar w:fldCharType="separate"/>
          </w:r>
          <w:r>
            <w:rPr>
              <w:rFonts w:hint="eastAsia" w:ascii="仿宋" w:hAnsi="仿宋" w:eastAsia="仿宋" w:cs="仿宋"/>
              <w:sz w:val="32"/>
              <w:szCs w:val="32"/>
            </w:rPr>
            <w:t>二、收入决算表</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_Toc23589 \h </w:instrText>
          </w:r>
          <w:r>
            <w:rPr>
              <w:rFonts w:hint="eastAsia" w:ascii="仿宋" w:hAnsi="仿宋" w:eastAsia="仿宋" w:cs="仿宋"/>
              <w:sz w:val="32"/>
              <w:szCs w:val="32"/>
            </w:rPr>
            <w:fldChar w:fldCharType="separate"/>
          </w:r>
          <w:r>
            <w:rPr>
              <w:rFonts w:hint="eastAsia" w:ascii="仿宋" w:hAnsi="仿宋" w:eastAsia="仿宋" w:cs="仿宋"/>
              <w:sz w:val="32"/>
              <w:szCs w:val="32"/>
            </w:rPr>
            <w:t>34</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57A5DC40">
          <w:pPr>
            <w:pStyle w:val="17"/>
            <w:tabs>
              <w:tab w:val="right" w:leader="dot" w:pos="8306"/>
              <w:tab w:val="clear" w:pos="8296"/>
            </w:tabs>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_Toc19530 </w:instrText>
          </w:r>
          <w:r>
            <w:rPr>
              <w:rFonts w:hint="eastAsia" w:ascii="仿宋" w:hAnsi="仿宋" w:eastAsia="仿宋" w:cs="仿宋"/>
              <w:sz w:val="32"/>
              <w:szCs w:val="32"/>
            </w:rPr>
            <w:fldChar w:fldCharType="separate"/>
          </w:r>
          <w:r>
            <w:rPr>
              <w:rFonts w:hint="eastAsia" w:ascii="仿宋" w:hAnsi="仿宋" w:eastAsia="仿宋" w:cs="仿宋"/>
              <w:sz w:val="32"/>
              <w:szCs w:val="32"/>
            </w:rPr>
            <w:t>三、支出决算表</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_Toc19530 \h </w:instrText>
          </w:r>
          <w:r>
            <w:rPr>
              <w:rFonts w:hint="eastAsia" w:ascii="仿宋" w:hAnsi="仿宋" w:eastAsia="仿宋" w:cs="仿宋"/>
              <w:sz w:val="32"/>
              <w:szCs w:val="32"/>
            </w:rPr>
            <w:fldChar w:fldCharType="separate"/>
          </w:r>
          <w:r>
            <w:rPr>
              <w:rFonts w:hint="eastAsia" w:ascii="仿宋" w:hAnsi="仿宋" w:eastAsia="仿宋" w:cs="仿宋"/>
              <w:sz w:val="32"/>
              <w:szCs w:val="32"/>
            </w:rPr>
            <w:t>34</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5C2EC7BB">
          <w:pPr>
            <w:pStyle w:val="17"/>
            <w:tabs>
              <w:tab w:val="right" w:leader="dot" w:pos="8306"/>
              <w:tab w:val="clear" w:pos="8296"/>
            </w:tabs>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_Toc22648 </w:instrText>
          </w:r>
          <w:r>
            <w:rPr>
              <w:rFonts w:hint="eastAsia" w:ascii="仿宋" w:hAnsi="仿宋" w:eastAsia="仿宋" w:cs="仿宋"/>
              <w:sz w:val="32"/>
              <w:szCs w:val="32"/>
            </w:rPr>
            <w:fldChar w:fldCharType="separate"/>
          </w:r>
          <w:r>
            <w:rPr>
              <w:rFonts w:hint="eastAsia" w:ascii="仿宋" w:hAnsi="仿宋" w:eastAsia="仿宋" w:cs="仿宋"/>
              <w:sz w:val="32"/>
              <w:szCs w:val="32"/>
            </w:rPr>
            <w:t>四、财政拨款收入支出决算总表</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_Toc22648 \h </w:instrText>
          </w:r>
          <w:r>
            <w:rPr>
              <w:rFonts w:hint="eastAsia" w:ascii="仿宋" w:hAnsi="仿宋" w:eastAsia="仿宋" w:cs="仿宋"/>
              <w:sz w:val="32"/>
              <w:szCs w:val="32"/>
            </w:rPr>
            <w:fldChar w:fldCharType="separate"/>
          </w:r>
          <w:r>
            <w:rPr>
              <w:rFonts w:hint="eastAsia" w:ascii="仿宋" w:hAnsi="仿宋" w:eastAsia="仿宋" w:cs="仿宋"/>
              <w:sz w:val="32"/>
              <w:szCs w:val="32"/>
            </w:rPr>
            <w:t>34</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025C8023">
          <w:pPr>
            <w:pStyle w:val="17"/>
            <w:tabs>
              <w:tab w:val="right" w:leader="dot" w:pos="8306"/>
              <w:tab w:val="clear" w:pos="8296"/>
            </w:tabs>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_Toc1611 </w:instrText>
          </w:r>
          <w:r>
            <w:rPr>
              <w:rFonts w:hint="eastAsia" w:ascii="仿宋" w:hAnsi="仿宋" w:eastAsia="仿宋" w:cs="仿宋"/>
              <w:sz w:val="32"/>
              <w:szCs w:val="32"/>
            </w:rPr>
            <w:fldChar w:fldCharType="separate"/>
          </w:r>
          <w:r>
            <w:rPr>
              <w:rFonts w:hint="eastAsia" w:ascii="仿宋" w:hAnsi="仿宋" w:eastAsia="仿宋" w:cs="仿宋"/>
              <w:sz w:val="32"/>
              <w:szCs w:val="32"/>
            </w:rPr>
            <w:t>五、财政拨款支出决算明细表</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_Toc1611 \h </w:instrText>
          </w:r>
          <w:r>
            <w:rPr>
              <w:rFonts w:hint="eastAsia" w:ascii="仿宋" w:hAnsi="仿宋" w:eastAsia="仿宋" w:cs="仿宋"/>
              <w:sz w:val="32"/>
              <w:szCs w:val="32"/>
            </w:rPr>
            <w:fldChar w:fldCharType="separate"/>
          </w:r>
          <w:r>
            <w:rPr>
              <w:rFonts w:hint="eastAsia" w:ascii="仿宋" w:hAnsi="仿宋" w:eastAsia="仿宋" w:cs="仿宋"/>
              <w:sz w:val="32"/>
              <w:szCs w:val="32"/>
            </w:rPr>
            <w:t>34</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022CF4D2">
          <w:pPr>
            <w:pStyle w:val="17"/>
            <w:tabs>
              <w:tab w:val="right" w:leader="dot" w:pos="8306"/>
              <w:tab w:val="clear" w:pos="8296"/>
            </w:tabs>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_Toc3376 </w:instrText>
          </w:r>
          <w:r>
            <w:rPr>
              <w:rFonts w:hint="eastAsia" w:ascii="仿宋" w:hAnsi="仿宋" w:eastAsia="仿宋" w:cs="仿宋"/>
              <w:sz w:val="32"/>
              <w:szCs w:val="32"/>
            </w:rPr>
            <w:fldChar w:fldCharType="separate"/>
          </w:r>
          <w:r>
            <w:rPr>
              <w:rFonts w:hint="eastAsia" w:ascii="仿宋" w:hAnsi="仿宋" w:eastAsia="仿宋" w:cs="仿宋"/>
              <w:sz w:val="32"/>
              <w:szCs w:val="32"/>
            </w:rPr>
            <w:t>六、一般公共预算财政拨款支出决算表</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_Toc3376 \h </w:instrText>
          </w:r>
          <w:r>
            <w:rPr>
              <w:rFonts w:hint="eastAsia" w:ascii="仿宋" w:hAnsi="仿宋" w:eastAsia="仿宋" w:cs="仿宋"/>
              <w:sz w:val="32"/>
              <w:szCs w:val="32"/>
            </w:rPr>
            <w:fldChar w:fldCharType="separate"/>
          </w:r>
          <w:r>
            <w:rPr>
              <w:rFonts w:hint="eastAsia" w:ascii="仿宋" w:hAnsi="仿宋" w:eastAsia="仿宋" w:cs="仿宋"/>
              <w:sz w:val="32"/>
              <w:szCs w:val="32"/>
            </w:rPr>
            <w:t>34</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2F17AFB3">
          <w:pPr>
            <w:pStyle w:val="17"/>
            <w:tabs>
              <w:tab w:val="right" w:leader="dot" w:pos="8306"/>
              <w:tab w:val="clear" w:pos="8296"/>
            </w:tabs>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_Toc28950 </w:instrText>
          </w:r>
          <w:r>
            <w:rPr>
              <w:rFonts w:hint="eastAsia" w:ascii="仿宋" w:hAnsi="仿宋" w:eastAsia="仿宋" w:cs="仿宋"/>
              <w:sz w:val="32"/>
              <w:szCs w:val="32"/>
            </w:rPr>
            <w:fldChar w:fldCharType="separate"/>
          </w:r>
          <w:r>
            <w:rPr>
              <w:rFonts w:hint="eastAsia" w:ascii="仿宋" w:hAnsi="仿宋" w:eastAsia="仿宋" w:cs="仿宋"/>
              <w:sz w:val="32"/>
              <w:szCs w:val="32"/>
            </w:rPr>
            <w:t>七、一般公共预算财政拨款支出决算明细表</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_Toc28950 \h </w:instrText>
          </w:r>
          <w:r>
            <w:rPr>
              <w:rFonts w:hint="eastAsia" w:ascii="仿宋" w:hAnsi="仿宋" w:eastAsia="仿宋" w:cs="仿宋"/>
              <w:sz w:val="32"/>
              <w:szCs w:val="32"/>
            </w:rPr>
            <w:fldChar w:fldCharType="separate"/>
          </w:r>
          <w:r>
            <w:rPr>
              <w:rFonts w:hint="eastAsia" w:ascii="仿宋" w:hAnsi="仿宋" w:eastAsia="仿宋" w:cs="仿宋"/>
              <w:sz w:val="32"/>
              <w:szCs w:val="32"/>
            </w:rPr>
            <w:t>34</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2550355F">
          <w:pPr>
            <w:pStyle w:val="17"/>
            <w:tabs>
              <w:tab w:val="right" w:leader="dot" w:pos="8306"/>
              <w:tab w:val="clear" w:pos="8296"/>
            </w:tabs>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_Toc7832 </w:instrText>
          </w:r>
          <w:r>
            <w:rPr>
              <w:rFonts w:hint="eastAsia" w:ascii="仿宋" w:hAnsi="仿宋" w:eastAsia="仿宋" w:cs="仿宋"/>
              <w:sz w:val="32"/>
              <w:szCs w:val="32"/>
            </w:rPr>
            <w:fldChar w:fldCharType="separate"/>
          </w:r>
          <w:r>
            <w:rPr>
              <w:rFonts w:hint="eastAsia" w:ascii="仿宋" w:hAnsi="仿宋" w:eastAsia="仿宋" w:cs="仿宋"/>
              <w:sz w:val="32"/>
              <w:szCs w:val="32"/>
            </w:rPr>
            <w:t>八、一般公共预算财政拨款基本支出决算表</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_Toc7832 \h </w:instrText>
          </w:r>
          <w:r>
            <w:rPr>
              <w:rFonts w:hint="eastAsia" w:ascii="仿宋" w:hAnsi="仿宋" w:eastAsia="仿宋" w:cs="仿宋"/>
              <w:sz w:val="32"/>
              <w:szCs w:val="32"/>
            </w:rPr>
            <w:fldChar w:fldCharType="separate"/>
          </w:r>
          <w:r>
            <w:rPr>
              <w:rFonts w:hint="eastAsia" w:ascii="仿宋" w:hAnsi="仿宋" w:eastAsia="仿宋" w:cs="仿宋"/>
              <w:sz w:val="32"/>
              <w:szCs w:val="32"/>
            </w:rPr>
            <w:t>34</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38A383E2">
          <w:pPr>
            <w:pStyle w:val="17"/>
            <w:tabs>
              <w:tab w:val="right" w:leader="dot" w:pos="8306"/>
              <w:tab w:val="clear" w:pos="8296"/>
            </w:tabs>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_Toc420 </w:instrText>
          </w:r>
          <w:r>
            <w:rPr>
              <w:rFonts w:hint="eastAsia" w:ascii="仿宋" w:hAnsi="仿宋" w:eastAsia="仿宋" w:cs="仿宋"/>
              <w:sz w:val="32"/>
              <w:szCs w:val="32"/>
            </w:rPr>
            <w:fldChar w:fldCharType="separate"/>
          </w:r>
          <w:r>
            <w:rPr>
              <w:rFonts w:hint="eastAsia" w:ascii="仿宋" w:hAnsi="仿宋" w:eastAsia="仿宋" w:cs="仿宋"/>
              <w:sz w:val="32"/>
              <w:szCs w:val="32"/>
            </w:rPr>
            <w:t>九、一般公共预算财政拨款项目支出决算表</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_Toc420 \h </w:instrText>
          </w:r>
          <w:r>
            <w:rPr>
              <w:rFonts w:hint="eastAsia" w:ascii="仿宋" w:hAnsi="仿宋" w:eastAsia="仿宋" w:cs="仿宋"/>
              <w:sz w:val="32"/>
              <w:szCs w:val="32"/>
            </w:rPr>
            <w:fldChar w:fldCharType="separate"/>
          </w:r>
          <w:r>
            <w:rPr>
              <w:rFonts w:hint="eastAsia" w:ascii="仿宋" w:hAnsi="仿宋" w:eastAsia="仿宋" w:cs="仿宋"/>
              <w:sz w:val="32"/>
              <w:szCs w:val="32"/>
            </w:rPr>
            <w:t>34</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43631A88">
          <w:pPr>
            <w:pStyle w:val="17"/>
            <w:tabs>
              <w:tab w:val="right" w:leader="dot" w:pos="8306"/>
              <w:tab w:val="clear" w:pos="8296"/>
            </w:tabs>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_Toc28725 </w:instrText>
          </w:r>
          <w:r>
            <w:rPr>
              <w:rFonts w:hint="eastAsia" w:ascii="仿宋" w:hAnsi="仿宋" w:eastAsia="仿宋" w:cs="仿宋"/>
              <w:sz w:val="32"/>
              <w:szCs w:val="32"/>
            </w:rPr>
            <w:fldChar w:fldCharType="separate"/>
          </w:r>
          <w:r>
            <w:rPr>
              <w:rFonts w:hint="eastAsia" w:ascii="仿宋" w:hAnsi="仿宋" w:eastAsia="仿宋" w:cs="仿宋"/>
              <w:sz w:val="32"/>
              <w:szCs w:val="32"/>
            </w:rPr>
            <w:t>十、政府性基金预算财政拨款收入支出决算表</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_Toc28725 \h </w:instrText>
          </w:r>
          <w:r>
            <w:rPr>
              <w:rFonts w:hint="eastAsia" w:ascii="仿宋" w:hAnsi="仿宋" w:eastAsia="仿宋" w:cs="仿宋"/>
              <w:sz w:val="32"/>
              <w:szCs w:val="32"/>
            </w:rPr>
            <w:fldChar w:fldCharType="separate"/>
          </w:r>
          <w:r>
            <w:rPr>
              <w:rFonts w:hint="eastAsia" w:ascii="仿宋" w:hAnsi="仿宋" w:eastAsia="仿宋" w:cs="仿宋"/>
              <w:sz w:val="32"/>
              <w:szCs w:val="32"/>
            </w:rPr>
            <w:t>34</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219C6D1E">
          <w:pPr>
            <w:pStyle w:val="17"/>
            <w:tabs>
              <w:tab w:val="right" w:leader="dot" w:pos="8306"/>
              <w:tab w:val="clear" w:pos="8296"/>
            </w:tabs>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_Toc3604 </w:instrText>
          </w:r>
          <w:r>
            <w:rPr>
              <w:rFonts w:hint="eastAsia" w:ascii="仿宋" w:hAnsi="仿宋" w:eastAsia="仿宋" w:cs="仿宋"/>
              <w:sz w:val="32"/>
              <w:szCs w:val="32"/>
            </w:rPr>
            <w:fldChar w:fldCharType="separate"/>
          </w:r>
          <w:r>
            <w:rPr>
              <w:rFonts w:hint="eastAsia" w:ascii="仿宋" w:hAnsi="仿宋" w:eastAsia="仿宋" w:cs="仿宋"/>
              <w:sz w:val="32"/>
              <w:szCs w:val="32"/>
            </w:rPr>
            <w:t>十一、国有资本经营预算财政拨款收入支出决算表</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_Toc3604 \h </w:instrText>
          </w:r>
          <w:r>
            <w:rPr>
              <w:rFonts w:hint="eastAsia" w:ascii="仿宋" w:hAnsi="仿宋" w:eastAsia="仿宋" w:cs="仿宋"/>
              <w:sz w:val="32"/>
              <w:szCs w:val="32"/>
            </w:rPr>
            <w:fldChar w:fldCharType="separate"/>
          </w:r>
          <w:r>
            <w:rPr>
              <w:rFonts w:hint="eastAsia" w:ascii="仿宋" w:hAnsi="仿宋" w:eastAsia="仿宋" w:cs="仿宋"/>
              <w:sz w:val="32"/>
              <w:szCs w:val="32"/>
            </w:rPr>
            <w:t>34</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368164CC">
          <w:pPr>
            <w:pStyle w:val="17"/>
            <w:tabs>
              <w:tab w:val="right" w:leader="dot" w:pos="8306"/>
              <w:tab w:val="clear" w:pos="8296"/>
            </w:tabs>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_Toc9648 </w:instrText>
          </w:r>
          <w:r>
            <w:rPr>
              <w:rFonts w:hint="eastAsia" w:ascii="仿宋" w:hAnsi="仿宋" w:eastAsia="仿宋" w:cs="仿宋"/>
              <w:sz w:val="32"/>
              <w:szCs w:val="32"/>
            </w:rPr>
            <w:fldChar w:fldCharType="separate"/>
          </w:r>
          <w:r>
            <w:rPr>
              <w:rFonts w:hint="eastAsia" w:ascii="仿宋" w:hAnsi="仿宋" w:eastAsia="仿宋" w:cs="仿宋"/>
              <w:sz w:val="32"/>
              <w:szCs w:val="32"/>
            </w:rPr>
            <w:t>十二、国有资本经营预算财政拨款支出决算表</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_Toc9648 \h </w:instrText>
          </w:r>
          <w:r>
            <w:rPr>
              <w:rFonts w:hint="eastAsia" w:ascii="仿宋" w:hAnsi="仿宋" w:eastAsia="仿宋" w:cs="仿宋"/>
              <w:sz w:val="32"/>
              <w:szCs w:val="32"/>
            </w:rPr>
            <w:fldChar w:fldCharType="separate"/>
          </w:r>
          <w:r>
            <w:rPr>
              <w:rFonts w:hint="eastAsia" w:ascii="仿宋" w:hAnsi="仿宋" w:eastAsia="仿宋" w:cs="仿宋"/>
              <w:sz w:val="32"/>
              <w:szCs w:val="32"/>
            </w:rPr>
            <w:t>34</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50CDCF77">
          <w:pPr>
            <w:pStyle w:val="17"/>
            <w:tabs>
              <w:tab w:val="right" w:leader="dot" w:pos="8306"/>
              <w:tab w:val="clear" w:pos="8296"/>
            </w:tabs>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_Toc16740 </w:instrText>
          </w:r>
          <w:r>
            <w:rPr>
              <w:rFonts w:hint="eastAsia" w:ascii="仿宋" w:hAnsi="仿宋" w:eastAsia="仿宋" w:cs="仿宋"/>
              <w:sz w:val="32"/>
              <w:szCs w:val="32"/>
            </w:rPr>
            <w:fldChar w:fldCharType="separate"/>
          </w:r>
          <w:r>
            <w:rPr>
              <w:rFonts w:hint="eastAsia" w:ascii="仿宋" w:hAnsi="仿宋" w:eastAsia="仿宋" w:cs="仿宋"/>
              <w:sz w:val="32"/>
              <w:szCs w:val="32"/>
            </w:rPr>
            <w:t>十三、财政拨款“三公”经费支出决算表</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_Toc16740 \h </w:instrText>
          </w:r>
          <w:r>
            <w:rPr>
              <w:rFonts w:hint="eastAsia" w:ascii="仿宋" w:hAnsi="仿宋" w:eastAsia="仿宋" w:cs="仿宋"/>
              <w:sz w:val="32"/>
              <w:szCs w:val="32"/>
            </w:rPr>
            <w:fldChar w:fldCharType="separate"/>
          </w:r>
          <w:r>
            <w:rPr>
              <w:rFonts w:hint="eastAsia" w:ascii="仿宋" w:hAnsi="仿宋" w:eastAsia="仿宋" w:cs="仿宋"/>
              <w:sz w:val="32"/>
              <w:szCs w:val="32"/>
            </w:rPr>
            <w:t>34</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02BC527E">
          <w:pPr>
            <w:rPr>
              <w:b/>
            </w:rPr>
            <w:sectPr>
              <w:footerReference r:id="rId5" w:type="first"/>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pPr>
          <w:r>
            <w:rPr>
              <w:rFonts w:hint="eastAsia" w:ascii="仿宋" w:hAnsi="仿宋" w:eastAsia="仿宋" w:cs="仿宋"/>
              <w:szCs w:val="32"/>
            </w:rPr>
            <w:fldChar w:fldCharType="end"/>
          </w:r>
        </w:p>
      </w:sdtContent>
    </w:sdt>
    <w:p w14:paraId="3A738F99">
      <w:pPr>
        <w:pStyle w:val="5"/>
        <w:jc w:val="center"/>
        <w:rPr>
          <w:rStyle w:val="32"/>
          <w:rFonts w:ascii="黑体" w:hAnsi="黑体" w:eastAsia="黑体"/>
          <w:b/>
          <w:bCs w:val="0"/>
        </w:rPr>
      </w:pPr>
      <w:bookmarkStart w:id="18" w:name="_Toc32530"/>
      <w:r>
        <w:rPr>
          <w:rFonts w:hint="eastAsia" w:ascii="黑体" w:hAnsi="黑体" w:eastAsia="黑体"/>
          <w:b w:val="0"/>
        </w:rPr>
        <w:t xml:space="preserve">第一部分 </w:t>
      </w:r>
      <w:r>
        <w:rPr>
          <w:rStyle w:val="32"/>
          <w:rFonts w:hint="eastAsia" w:ascii="黑体" w:hAnsi="黑体" w:eastAsia="黑体"/>
          <w:b w:val="0"/>
          <w:bCs w:val="0"/>
        </w:rPr>
        <w:t>部门概况</w:t>
      </w:r>
      <w:bookmarkEnd w:id="16"/>
      <w:bookmarkEnd w:id="17"/>
      <w:bookmarkEnd w:id="18"/>
    </w:p>
    <w:p w14:paraId="3B4CA900">
      <w:pPr>
        <w:pStyle w:val="6"/>
        <w:rPr>
          <w:rFonts w:hint="eastAsia" w:ascii="黑体" w:hAnsi="黑体" w:eastAsia="黑体"/>
          <w:b w:val="0"/>
        </w:rPr>
      </w:pPr>
      <w:bookmarkStart w:id="19" w:name="_Toc15377197"/>
      <w:bookmarkStart w:id="20" w:name="_Toc15396600"/>
      <w:bookmarkStart w:id="21" w:name="_Toc15250"/>
      <w:r>
        <w:rPr>
          <w:rFonts w:hint="eastAsia" w:ascii="黑体" w:hAnsi="黑体" w:eastAsia="黑体"/>
          <w:b w:val="0"/>
        </w:rPr>
        <w:t>一、</w:t>
      </w:r>
      <w:bookmarkEnd w:id="19"/>
      <w:bookmarkEnd w:id="20"/>
      <w:r>
        <w:rPr>
          <w:rFonts w:hint="eastAsia" w:ascii="黑体" w:hAnsi="黑体" w:eastAsia="黑体"/>
          <w:b w:val="0"/>
        </w:rPr>
        <w:t>部门职责</w:t>
      </w:r>
      <w:bookmarkEnd w:id="21"/>
    </w:p>
    <w:p w14:paraId="0E952549">
      <w:pPr>
        <w:snapToGrid w:val="0"/>
        <w:spacing w:line="520" w:lineRule="exact"/>
        <w:ind w:firstLine="640" w:firstLineChars="200"/>
        <w:rPr>
          <w:rFonts w:hint="eastAsia" w:ascii="仿宋_GB2312" w:hAnsi="仿宋" w:eastAsia="仿宋_GB2312" w:cs="Times New Roman"/>
          <w:color w:val="000000"/>
          <w:sz w:val="32"/>
          <w:szCs w:val="32"/>
        </w:rPr>
      </w:pPr>
      <w:r>
        <w:rPr>
          <w:rFonts w:hint="eastAsia" w:ascii="仿宋_GB2312" w:hAnsi="仿宋" w:eastAsia="仿宋_GB2312" w:cs="Times New Roman"/>
          <w:color w:val="000000"/>
          <w:sz w:val="32"/>
          <w:szCs w:val="32"/>
        </w:rPr>
        <w:t>（1）开展学术交流，活跃学术思想，促进学科和经济发展。</w:t>
      </w:r>
    </w:p>
    <w:p w14:paraId="760B5DCC">
      <w:pPr>
        <w:snapToGrid w:val="0"/>
        <w:spacing w:line="520" w:lineRule="exact"/>
        <w:ind w:firstLine="640" w:firstLineChars="200"/>
        <w:rPr>
          <w:rFonts w:hint="eastAsia" w:ascii="仿宋_GB2312" w:hAnsi="仿宋" w:eastAsia="仿宋_GB2312" w:cs="Times New Roman"/>
          <w:color w:val="000000"/>
          <w:sz w:val="32"/>
          <w:szCs w:val="32"/>
        </w:rPr>
      </w:pPr>
      <w:r>
        <w:rPr>
          <w:rFonts w:hint="eastAsia" w:ascii="仿宋_GB2312" w:hAnsi="仿宋" w:eastAsia="仿宋_GB2312" w:cs="Times New Roman"/>
          <w:color w:val="000000"/>
          <w:sz w:val="32"/>
          <w:szCs w:val="32"/>
        </w:rPr>
        <w:t>（2）普及科学文化知识，传播科学思想、科学方法，推广先进技术，开展青少年科学技术教育活动，提高全民族科学文化素质。</w:t>
      </w:r>
    </w:p>
    <w:p w14:paraId="035CF2A0">
      <w:pPr>
        <w:snapToGrid w:val="0"/>
        <w:spacing w:line="520" w:lineRule="exact"/>
        <w:ind w:firstLine="640" w:firstLineChars="200"/>
        <w:rPr>
          <w:rFonts w:hint="eastAsia" w:ascii="仿宋_GB2312" w:hAnsi="仿宋" w:eastAsia="仿宋_GB2312" w:cs="Times New Roman"/>
          <w:color w:val="000000"/>
          <w:sz w:val="32"/>
          <w:szCs w:val="32"/>
        </w:rPr>
      </w:pPr>
      <w:r>
        <w:rPr>
          <w:rFonts w:hint="eastAsia" w:ascii="仿宋_GB2312" w:hAnsi="仿宋" w:eastAsia="仿宋_GB2312" w:cs="Times New Roman"/>
          <w:color w:val="000000"/>
          <w:sz w:val="32"/>
          <w:szCs w:val="32"/>
        </w:rPr>
        <w:t>（3）反映科技工作者的意见和要求，维护科技工作者的合法权益。组织科技工作者参与全县科学技术政策、法规制定，提出政策建议，参与政治协商、科学决策、民主监督工作。  </w:t>
      </w:r>
    </w:p>
    <w:p w14:paraId="2426B997">
      <w:pPr>
        <w:snapToGrid w:val="0"/>
        <w:spacing w:line="520" w:lineRule="exact"/>
        <w:ind w:firstLine="640" w:firstLineChars="200"/>
        <w:rPr>
          <w:rFonts w:hint="eastAsia" w:ascii="仿宋_GB2312" w:hAnsi="仿宋" w:eastAsia="仿宋_GB2312" w:cs="Times New Roman"/>
          <w:color w:val="000000"/>
          <w:sz w:val="32"/>
          <w:szCs w:val="32"/>
        </w:rPr>
      </w:pPr>
      <w:r>
        <w:rPr>
          <w:rFonts w:hint="eastAsia" w:ascii="仿宋_GB2312" w:hAnsi="仿宋" w:eastAsia="仿宋_GB2312" w:cs="Times New Roman"/>
          <w:color w:val="000000"/>
          <w:sz w:val="32"/>
          <w:szCs w:val="32"/>
        </w:rPr>
        <w:t>（4）表彰奖励优秀科技工作者，举荐人才，使优秀科技人才脱颖而出，形成尊重知识、尊重人才的良好社会风气。</w:t>
      </w:r>
    </w:p>
    <w:p w14:paraId="62FE8ACA">
      <w:pPr>
        <w:snapToGrid w:val="0"/>
        <w:spacing w:line="520" w:lineRule="exact"/>
        <w:ind w:firstLine="640" w:firstLineChars="200"/>
        <w:rPr>
          <w:rFonts w:hint="eastAsia" w:ascii="仿宋_GB2312" w:hAnsi="仿宋" w:eastAsia="仿宋_GB2312" w:cs="Times New Roman"/>
          <w:color w:val="000000"/>
          <w:sz w:val="32"/>
          <w:szCs w:val="32"/>
        </w:rPr>
      </w:pPr>
      <w:r>
        <w:rPr>
          <w:rFonts w:hint="eastAsia" w:ascii="仿宋_GB2312" w:hAnsi="仿宋" w:eastAsia="仿宋_GB2312" w:cs="Times New Roman"/>
          <w:color w:val="000000"/>
          <w:sz w:val="32"/>
          <w:szCs w:val="32"/>
        </w:rPr>
        <w:t>（5）开展科学论证、咨询服务，促进科技成果向生产力的转化。</w:t>
      </w:r>
    </w:p>
    <w:p w14:paraId="15BE6703">
      <w:pPr>
        <w:snapToGrid w:val="0"/>
        <w:spacing w:line="520" w:lineRule="exact"/>
        <w:ind w:firstLine="640" w:firstLineChars="200"/>
        <w:rPr>
          <w:rFonts w:hint="eastAsia" w:ascii="仿宋_GB2312" w:hAnsi="仿宋" w:eastAsia="仿宋_GB2312" w:cs="Times New Roman"/>
          <w:color w:val="000000"/>
          <w:sz w:val="32"/>
          <w:szCs w:val="32"/>
        </w:rPr>
      </w:pPr>
      <w:r>
        <w:rPr>
          <w:rFonts w:hint="eastAsia" w:ascii="仿宋_GB2312" w:hAnsi="仿宋" w:eastAsia="仿宋_GB2312" w:cs="Times New Roman"/>
          <w:color w:val="000000"/>
          <w:sz w:val="32"/>
          <w:szCs w:val="32"/>
        </w:rPr>
        <w:t>（6）对县属县级学会、协会、研究会进行管理，对乡镇及县属厂矿科协进行业务指导。</w:t>
      </w:r>
    </w:p>
    <w:p w14:paraId="7B9C9E80">
      <w:pPr>
        <w:snapToGrid w:val="0"/>
        <w:spacing w:line="520" w:lineRule="exact"/>
        <w:ind w:firstLine="640" w:firstLineChars="200"/>
        <w:rPr>
          <w:rFonts w:hint="default" w:ascii="Times New Roman" w:hAnsi="Times New Roman" w:cs="Times New Roman"/>
          <w:bCs/>
          <w:color w:val="FF0000"/>
          <w:sz w:val="32"/>
          <w:szCs w:val="28"/>
          <w:lang w:val="en-US" w:eastAsia="zh-CN"/>
        </w:rPr>
      </w:pPr>
      <w:r>
        <w:rPr>
          <w:rFonts w:hint="eastAsia" w:ascii="仿宋_GB2312" w:hAnsi="仿宋" w:eastAsia="仿宋_GB2312" w:cs="Times New Roman"/>
          <w:color w:val="000000"/>
          <w:sz w:val="32"/>
          <w:szCs w:val="32"/>
        </w:rPr>
        <w:t>（7）承办县委、</w:t>
      </w:r>
      <w:r>
        <w:rPr>
          <w:rFonts w:hint="eastAsia" w:ascii="仿宋_GB2312" w:hAnsi="仿宋" w:eastAsia="仿宋_GB2312" w:cs="Times New Roman"/>
          <w:color w:val="000000"/>
          <w:sz w:val="32"/>
          <w:szCs w:val="32"/>
          <w:lang w:eastAsia="zh-CN"/>
        </w:rPr>
        <w:t>县</w:t>
      </w:r>
      <w:r>
        <w:rPr>
          <w:rFonts w:hint="eastAsia" w:ascii="仿宋_GB2312" w:hAnsi="仿宋" w:eastAsia="仿宋_GB2312" w:cs="Times New Roman"/>
          <w:color w:val="000000"/>
          <w:sz w:val="32"/>
          <w:szCs w:val="32"/>
        </w:rPr>
        <w:t>政府和市科协交办的其他事项。</w:t>
      </w:r>
    </w:p>
    <w:p w14:paraId="4CF5EF1E"/>
    <w:p w14:paraId="1740AE3C">
      <w:pPr>
        <w:pStyle w:val="6"/>
        <w:rPr>
          <w:rStyle w:val="33"/>
          <w:b w:val="0"/>
          <w:bCs w:val="0"/>
        </w:rPr>
      </w:pPr>
      <w:bookmarkStart w:id="22" w:name="_Toc15611"/>
      <w:bookmarkStart w:id="23" w:name="_Toc15377200"/>
      <w:bookmarkStart w:id="24" w:name="_Toc15396601"/>
      <w:r>
        <w:rPr>
          <w:rFonts w:hint="eastAsia" w:ascii="黑体" w:eastAsia="黑体"/>
          <w:b w:val="0"/>
        </w:rPr>
        <w:t>二、</w:t>
      </w:r>
      <w:r>
        <w:rPr>
          <w:rFonts w:hint="eastAsia" w:ascii="黑体" w:hAnsi="黑体" w:eastAsia="黑体"/>
          <w:b w:val="0"/>
        </w:rPr>
        <w:t>机</w:t>
      </w:r>
      <w:r>
        <w:rPr>
          <w:rStyle w:val="33"/>
          <w:rFonts w:hint="eastAsia" w:ascii="黑体" w:hAnsi="黑体" w:eastAsia="黑体"/>
          <w:b w:val="0"/>
          <w:bCs w:val="0"/>
        </w:rPr>
        <w:t>构设置</w:t>
      </w:r>
      <w:bookmarkEnd w:id="22"/>
      <w:bookmarkEnd w:id="23"/>
      <w:bookmarkEnd w:id="24"/>
    </w:p>
    <w:p w14:paraId="113016CA">
      <w:pPr>
        <w:ind w:firstLine="800" w:firstLineChars="250"/>
        <w:rPr>
          <w:rFonts w:hint="eastAsia" w:ascii="仿宋" w:hAnsi="仿宋" w:eastAsia="仿宋" w:cs="Times New Roman"/>
          <w:sz w:val="32"/>
          <w:szCs w:val="32"/>
        </w:rPr>
      </w:pPr>
      <w:r>
        <w:rPr>
          <w:rFonts w:hint="eastAsia" w:ascii="仿宋" w:hAnsi="仿宋" w:eastAsia="仿宋" w:cs="Times New Roman"/>
          <w:sz w:val="32"/>
          <w:szCs w:val="32"/>
        </w:rPr>
        <w:t>峨边彝族自治县科学技术协会下属二级预算单位1个，其中</w:t>
      </w:r>
      <w:r>
        <w:rPr>
          <w:rFonts w:hint="eastAsia" w:ascii="仿宋" w:hAnsi="仿宋" w:eastAsia="仿宋" w:cs="Times New Roman"/>
          <w:sz w:val="32"/>
          <w:szCs w:val="32"/>
          <w:lang w:val="en-US" w:eastAsia="zh-CN"/>
        </w:rPr>
        <w:t>行政单位1个、行政类事业单位0个、事业单位0个。</w:t>
      </w:r>
    </w:p>
    <w:p w14:paraId="01C93B5E">
      <w:pPr>
        <w:ind w:firstLine="800" w:firstLineChars="250"/>
        <w:rPr>
          <w:rFonts w:hint="eastAsia" w:ascii="仿宋" w:hAnsi="仿宋" w:eastAsia="仿宋" w:cs="Times New Roman"/>
          <w:sz w:val="32"/>
          <w:szCs w:val="32"/>
        </w:rPr>
      </w:pPr>
      <w:r>
        <w:rPr>
          <w:rFonts w:hint="eastAsia" w:ascii="仿宋" w:hAnsi="仿宋" w:eastAsia="仿宋" w:cs="Times New Roman"/>
          <w:sz w:val="32"/>
          <w:szCs w:val="32"/>
        </w:rPr>
        <w:t>纳入峨边彝族自治县科学技术协会2023年度部门决算编制范围的二级预算单位包括：</w:t>
      </w:r>
    </w:p>
    <w:p w14:paraId="26BAD10C">
      <w:pPr>
        <w:pStyle w:val="11"/>
        <w:numPr>
          <w:ilvl w:val="0"/>
          <w:numId w:val="1"/>
        </w:numPr>
        <w:adjustRightInd w:val="0"/>
        <w:snapToGrid w:val="0"/>
        <w:spacing w:before="93" w:line="600" w:lineRule="exact"/>
        <w:outlineLvl w:val="2"/>
        <w:rPr>
          <w:rFonts w:ascii="仿宋" w:hAnsi="仿宋" w:eastAsia="仿宋"/>
          <w:sz w:val="32"/>
          <w:szCs w:val="32"/>
        </w:rPr>
      </w:pPr>
      <w:bookmarkStart w:id="25" w:name="_Toc15306276"/>
      <w:bookmarkStart w:id="26" w:name="_Toc15377433"/>
      <w:bookmarkStart w:id="27" w:name="_Toc15378449"/>
      <w:bookmarkStart w:id="28" w:name="_Toc15377202"/>
      <w:r>
        <w:rPr>
          <w:rFonts w:hint="eastAsia" w:ascii="仿宋" w:hAnsi="仿宋" w:eastAsia="仿宋" w:cs="Times New Roman"/>
          <w:sz w:val="32"/>
          <w:szCs w:val="32"/>
        </w:rPr>
        <w:t>峨边彝族自治县科学技术协会</w:t>
      </w:r>
      <w:bookmarkEnd w:id="25"/>
      <w:bookmarkEnd w:id="26"/>
      <w:bookmarkEnd w:id="27"/>
      <w:bookmarkEnd w:id="28"/>
    </w:p>
    <w:p w14:paraId="1E6090C9">
      <w:pPr>
        <w:pStyle w:val="5"/>
        <w:ind w:right="440"/>
        <w:jc w:val="center"/>
        <w:rPr>
          <w:rFonts w:hint="eastAsia" w:ascii="黑体" w:hAnsi="黑体" w:eastAsia="黑体"/>
          <w:b w:val="0"/>
        </w:rPr>
        <w:sectPr>
          <w:pgSz w:w="11906" w:h="16838"/>
          <w:pgMar w:top="1440" w:right="1800" w:bottom="1440" w:left="1800" w:header="851" w:footer="992" w:gutter="0"/>
          <w:cols w:space="425" w:num="1"/>
          <w:titlePg/>
          <w:docGrid w:type="lines" w:linePitch="312" w:charSpace="0"/>
        </w:sectPr>
      </w:pPr>
      <w:bookmarkStart w:id="29" w:name="_Toc15377204"/>
      <w:bookmarkStart w:id="30" w:name="_Toc15396602"/>
    </w:p>
    <w:p w14:paraId="520B9CFF">
      <w:pPr>
        <w:pStyle w:val="5"/>
        <w:ind w:right="440"/>
        <w:jc w:val="center"/>
        <w:rPr>
          <w:rStyle w:val="32"/>
          <w:rFonts w:ascii="黑体" w:hAnsi="黑体" w:eastAsia="黑体"/>
          <w:b w:val="0"/>
          <w:bCs/>
        </w:rPr>
      </w:pPr>
      <w:bookmarkStart w:id="31" w:name="_Toc4658"/>
      <w:r>
        <w:rPr>
          <w:rFonts w:hint="eastAsia" w:ascii="黑体" w:hAnsi="黑体" w:eastAsia="黑体"/>
          <w:b w:val="0"/>
        </w:rPr>
        <w:t>第二部分 2023年度</w:t>
      </w:r>
      <w:r>
        <w:rPr>
          <w:rStyle w:val="32"/>
          <w:rFonts w:hint="eastAsia" w:ascii="黑体" w:hAnsi="黑体" w:eastAsia="黑体"/>
          <w:b w:val="0"/>
          <w:bCs/>
        </w:rPr>
        <w:t>部门决算情况说明</w:t>
      </w:r>
      <w:bookmarkEnd w:id="29"/>
      <w:bookmarkEnd w:id="30"/>
      <w:bookmarkEnd w:id="31"/>
    </w:p>
    <w:p w14:paraId="56BA0077">
      <w:pPr>
        <w:pStyle w:val="31"/>
        <w:numPr>
          <w:ilvl w:val="0"/>
          <w:numId w:val="2"/>
        </w:numPr>
        <w:spacing w:line="600" w:lineRule="exact"/>
        <w:ind w:firstLineChars="0"/>
        <w:outlineLvl w:val="1"/>
        <w:rPr>
          <w:rStyle w:val="33"/>
          <w:rFonts w:ascii="黑体" w:hAnsi="黑体" w:eastAsia="黑体"/>
          <w:b w:val="0"/>
        </w:rPr>
      </w:pPr>
      <w:bookmarkStart w:id="32" w:name="_Toc15396603"/>
      <w:bookmarkStart w:id="33" w:name="_Toc19365"/>
      <w:bookmarkStart w:id="34" w:name="_Toc15377205"/>
      <w:r>
        <w:rPr>
          <w:rFonts w:hint="eastAsia" w:ascii="黑体" w:hAnsi="黑体" w:eastAsia="黑体"/>
          <w:sz w:val="32"/>
          <w:szCs w:val="32"/>
        </w:rPr>
        <w:t>收</w:t>
      </w:r>
      <w:r>
        <w:rPr>
          <w:rStyle w:val="33"/>
          <w:rFonts w:hint="eastAsia" w:ascii="黑体" w:hAnsi="黑体" w:eastAsia="黑体"/>
          <w:b w:val="0"/>
        </w:rPr>
        <w:t>入支出决算总体情况说明</w:t>
      </w:r>
      <w:bookmarkEnd w:id="32"/>
      <w:bookmarkEnd w:id="33"/>
      <w:bookmarkEnd w:id="34"/>
    </w:p>
    <w:p w14:paraId="55837EAA">
      <w:pPr>
        <w:spacing w:line="600" w:lineRule="exact"/>
        <w:ind w:firstLine="640" w:firstLineChars="200"/>
        <w:rPr>
          <w:rFonts w:hint="eastAsia" w:ascii="仿宋" w:hAnsi="仿宋" w:eastAsia="仿宋"/>
          <w:sz w:val="32"/>
          <w:szCs w:val="32"/>
        </w:rPr>
      </w:pPr>
      <w:r>
        <w:rPr>
          <w:rFonts w:hint="eastAsia" w:ascii="仿宋" w:hAnsi="仿宋" w:eastAsia="仿宋"/>
          <w:sz w:val="32"/>
          <w:szCs w:val="32"/>
        </w:rPr>
        <w:t>2023年度收、支总计均为</w:t>
      </w:r>
      <w:r>
        <w:rPr>
          <w:rFonts w:hint="eastAsia" w:ascii="仿宋" w:hAnsi="仿宋" w:eastAsia="仿宋"/>
          <w:b w:val="0"/>
          <w:bCs/>
          <w:sz w:val="32"/>
          <w:szCs w:val="32"/>
        </w:rPr>
        <w:t>181.49</w:t>
      </w:r>
      <w:r>
        <w:rPr>
          <w:rFonts w:hint="eastAsia" w:ascii="仿宋" w:hAnsi="仿宋" w:eastAsia="仿宋"/>
          <w:sz w:val="32"/>
          <w:szCs w:val="32"/>
        </w:rPr>
        <w:t>万元。与2022年度相比，收、支总计各增</w:t>
      </w:r>
      <w:r>
        <w:rPr>
          <w:rFonts w:hint="eastAsia" w:ascii="仿宋" w:hAnsi="仿宋" w:eastAsia="仿宋"/>
          <w:sz w:val="32"/>
          <w:szCs w:val="32"/>
          <w:lang w:val="en-US" w:eastAsia="zh-CN"/>
        </w:rPr>
        <w:t>加15.06</w:t>
      </w:r>
      <w:r>
        <w:rPr>
          <w:rFonts w:hint="eastAsia" w:ascii="仿宋" w:hAnsi="仿宋" w:eastAsia="仿宋"/>
          <w:sz w:val="32"/>
          <w:szCs w:val="32"/>
        </w:rPr>
        <w:t>万元，增长</w:t>
      </w:r>
      <w:r>
        <w:rPr>
          <w:rFonts w:hint="eastAsia" w:ascii="仿宋" w:hAnsi="仿宋" w:eastAsia="仿宋"/>
          <w:sz w:val="32"/>
          <w:szCs w:val="32"/>
          <w:lang w:val="en-US" w:eastAsia="zh-CN"/>
        </w:rPr>
        <w:t>9.05</w:t>
      </w:r>
      <w:r>
        <w:rPr>
          <w:rFonts w:ascii="仿宋" w:hAnsi="仿宋" w:eastAsia="仿宋"/>
          <w:sz w:val="32"/>
          <w:szCs w:val="32"/>
        </w:rPr>
        <w:t>%</w:t>
      </w:r>
      <w:r>
        <w:rPr>
          <w:rFonts w:hint="eastAsia" w:ascii="仿宋" w:hAnsi="仿宋" w:eastAsia="仿宋"/>
          <w:sz w:val="32"/>
          <w:szCs w:val="32"/>
        </w:rPr>
        <w:t>。主要变动原因是预算项目增加。</w:t>
      </w:r>
    </w:p>
    <w:p w14:paraId="38B72E64">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ascii="仿宋" w:hAnsi="仿宋" w:eastAsia="仿宋"/>
          <w:sz w:val="32"/>
          <w:szCs w:val="32"/>
        </w:rPr>
      </w:pPr>
      <w:r>
        <w:rPr>
          <w:rFonts w:hint="eastAsia" w:eastAsia="仿宋"/>
          <w:lang w:eastAsia="zh-CN"/>
        </w:rPr>
        <w:drawing>
          <wp:inline distT="0" distB="0" distL="114300" distR="114300">
            <wp:extent cx="5256530" cy="2988310"/>
            <wp:effectExtent l="5080" t="4445" r="15240" b="17145"/>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r>
        <w:rPr>
          <w:rFonts w:hint="eastAsia" w:ascii="仿宋" w:hAnsi="仿宋" w:eastAsia="仿宋"/>
          <w:sz w:val="32"/>
          <w:szCs w:val="32"/>
        </w:rPr>
        <w:t>（图</w:t>
      </w:r>
      <w:r>
        <w:rPr>
          <w:rFonts w:ascii="仿宋" w:hAnsi="仿宋" w:eastAsia="仿宋"/>
          <w:sz w:val="32"/>
          <w:szCs w:val="32"/>
        </w:rPr>
        <w:t>1</w:t>
      </w:r>
      <w:r>
        <w:rPr>
          <w:rFonts w:hint="eastAsia" w:ascii="仿宋" w:hAnsi="仿宋" w:eastAsia="仿宋"/>
          <w:sz w:val="32"/>
          <w:szCs w:val="32"/>
        </w:rPr>
        <w:t>：收、支决算总计变动情况图）（柱状图）</w:t>
      </w:r>
    </w:p>
    <w:p w14:paraId="5FD77FCD">
      <w:pPr>
        <w:pStyle w:val="31"/>
        <w:numPr>
          <w:ilvl w:val="0"/>
          <w:numId w:val="2"/>
        </w:numPr>
        <w:spacing w:line="600" w:lineRule="exact"/>
        <w:ind w:firstLineChars="0"/>
        <w:outlineLvl w:val="1"/>
        <w:rPr>
          <w:rStyle w:val="33"/>
          <w:rFonts w:ascii="黑体" w:hAnsi="黑体" w:eastAsia="黑体"/>
          <w:b w:val="0"/>
        </w:rPr>
      </w:pPr>
      <w:bookmarkStart w:id="35" w:name="_Toc15396604"/>
      <w:bookmarkStart w:id="36" w:name="_Toc15377206"/>
      <w:bookmarkStart w:id="37" w:name="_Toc25525"/>
      <w:r>
        <w:rPr>
          <w:rFonts w:hint="eastAsia" w:ascii="黑体" w:hAnsi="黑体" w:eastAsia="黑体"/>
          <w:sz w:val="32"/>
          <w:szCs w:val="32"/>
        </w:rPr>
        <w:t>收</w:t>
      </w:r>
      <w:r>
        <w:rPr>
          <w:rStyle w:val="33"/>
          <w:rFonts w:hint="eastAsia" w:ascii="黑体" w:hAnsi="黑体" w:eastAsia="黑体"/>
          <w:b w:val="0"/>
        </w:rPr>
        <w:t>入决算情况说明</w:t>
      </w:r>
      <w:bookmarkEnd w:id="35"/>
      <w:bookmarkEnd w:id="36"/>
      <w:bookmarkEnd w:id="37"/>
    </w:p>
    <w:p w14:paraId="5BAD3C11">
      <w:pPr>
        <w:spacing w:line="600" w:lineRule="exact"/>
        <w:ind w:firstLine="640" w:firstLineChars="200"/>
        <w:outlineLvl w:val="1"/>
        <w:rPr>
          <w:rFonts w:ascii="仿宋" w:hAnsi="仿宋" w:eastAsia="仿宋"/>
          <w:sz w:val="32"/>
          <w:szCs w:val="32"/>
        </w:rPr>
      </w:pPr>
      <w:bookmarkStart w:id="38" w:name="_Toc16191"/>
      <w:bookmarkStart w:id="39" w:name="_Toc12908"/>
      <w:bookmarkStart w:id="40" w:name="_Toc28846"/>
      <w:r>
        <w:rPr>
          <w:rFonts w:hint="eastAsia" w:ascii="仿宋" w:hAnsi="仿宋" w:eastAsia="仿宋"/>
          <w:sz w:val="32"/>
          <w:szCs w:val="32"/>
        </w:rPr>
        <w:t>2023年度本年收入合计</w:t>
      </w:r>
      <w:r>
        <w:rPr>
          <w:rFonts w:ascii="仿宋" w:hAnsi="仿宋" w:eastAsia="仿宋"/>
          <w:b/>
          <w:sz w:val="32"/>
          <w:szCs w:val="32"/>
        </w:rPr>
        <w:t>181.49</w:t>
      </w:r>
      <w:r>
        <w:rPr>
          <w:rFonts w:hint="eastAsia" w:ascii="仿宋" w:hAnsi="仿宋" w:eastAsia="仿宋"/>
          <w:sz w:val="32"/>
          <w:szCs w:val="32"/>
        </w:rPr>
        <w:t>万元，其中：一般公共预算财政拨款收入</w:t>
      </w:r>
      <w:r>
        <w:rPr>
          <w:rFonts w:ascii="仿宋" w:hAnsi="仿宋" w:eastAsia="仿宋"/>
          <w:b/>
          <w:sz w:val="32"/>
          <w:szCs w:val="32"/>
        </w:rPr>
        <w:t>181.49</w:t>
      </w:r>
      <w:r>
        <w:rPr>
          <w:rFonts w:hint="eastAsia" w:ascii="仿宋" w:hAnsi="仿宋" w:eastAsia="仿宋"/>
          <w:sz w:val="32"/>
          <w:szCs w:val="32"/>
        </w:rPr>
        <w:t>万元，占</w:t>
      </w:r>
      <w:r>
        <w:rPr>
          <w:rFonts w:ascii="仿宋" w:hAnsi="仿宋" w:eastAsia="仿宋"/>
          <w:b/>
          <w:sz w:val="32"/>
          <w:szCs w:val="32"/>
        </w:rPr>
        <w:t>100%</w:t>
      </w:r>
      <w:r>
        <w:rPr>
          <w:rFonts w:hint="eastAsia" w:ascii="仿宋" w:hAnsi="仿宋" w:eastAsia="仿宋"/>
          <w:sz w:val="32"/>
          <w:szCs w:val="32"/>
        </w:rPr>
        <w:t>；政府性基金预算财政拨款收入</w:t>
      </w:r>
      <w:r>
        <w:rPr>
          <w:rFonts w:ascii="仿宋" w:hAnsi="仿宋" w:eastAsia="仿宋"/>
          <w:b/>
          <w:sz w:val="32"/>
          <w:szCs w:val="32"/>
        </w:rPr>
        <w:t>0</w:t>
      </w:r>
      <w:r>
        <w:rPr>
          <w:rFonts w:hint="eastAsia" w:ascii="仿宋" w:hAnsi="仿宋" w:eastAsia="仿宋"/>
          <w:sz w:val="32"/>
          <w:szCs w:val="32"/>
        </w:rPr>
        <w:t>万元，占</w:t>
      </w:r>
      <w:r>
        <w:rPr>
          <w:rFonts w:ascii="仿宋" w:hAnsi="仿宋" w:eastAsia="仿宋"/>
          <w:b/>
          <w:sz w:val="32"/>
          <w:szCs w:val="32"/>
        </w:rPr>
        <w:t>0</w:t>
      </w:r>
      <w:r>
        <w:rPr>
          <w:rFonts w:ascii="仿宋" w:hAnsi="仿宋" w:eastAsia="仿宋"/>
          <w:sz w:val="32"/>
          <w:szCs w:val="32"/>
        </w:rPr>
        <w:t>%</w:t>
      </w:r>
      <w:r>
        <w:rPr>
          <w:rFonts w:hint="eastAsia" w:ascii="仿宋" w:hAnsi="仿宋" w:eastAsia="仿宋"/>
          <w:sz w:val="32"/>
          <w:szCs w:val="32"/>
        </w:rPr>
        <w:t>；国有资本经营预算财政拨款收入</w:t>
      </w:r>
      <w:r>
        <w:rPr>
          <w:rFonts w:ascii="仿宋" w:hAnsi="仿宋" w:eastAsia="仿宋"/>
          <w:b/>
          <w:sz w:val="32"/>
          <w:szCs w:val="32"/>
        </w:rPr>
        <w:t>0</w:t>
      </w:r>
      <w:r>
        <w:rPr>
          <w:rFonts w:hint="eastAsia" w:ascii="仿宋" w:hAnsi="仿宋" w:eastAsia="仿宋"/>
          <w:sz w:val="32"/>
          <w:szCs w:val="32"/>
        </w:rPr>
        <w:t>万元，占</w:t>
      </w:r>
      <w:r>
        <w:rPr>
          <w:rFonts w:ascii="仿宋" w:hAnsi="仿宋" w:eastAsia="仿宋"/>
          <w:b/>
          <w:sz w:val="32"/>
          <w:szCs w:val="32"/>
        </w:rPr>
        <w:t>0</w:t>
      </w:r>
      <w:r>
        <w:rPr>
          <w:rFonts w:ascii="仿宋" w:hAnsi="仿宋" w:eastAsia="仿宋"/>
          <w:sz w:val="32"/>
          <w:szCs w:val="32"/>
        </w:rPr>
        <w:t>%</w:t>
      </w:r>
      <w:r>
        <w:rPr>
          <w:rFonts w:hint="eastAsia" w:ascii="仿宋" w:hAnsi="仿宋" w:eastAsia="仿宋"/>
          <w:sz w:val="32"/>
          <w:szCs w:val="32"/>
        </w:rPr>
        <w:t>；上级补助收入</w:t>
      </w:r>
      <w:r>
        <w:rPr>
          <w:rFonts w:ascii="仿宋" w:hAnsi="仿宋" w:eastAsia="仿宋"/>
          <w:b/>
          <w:sz w:val="32"/>
          <w:szCs w:val="32"/>
        </w:rPr>
        <w:t>0</w:t>
      </w:r>
      <w:r>
        <w:rPr>
          <w:rFonts w:hint="eastAsia" w:ascii="仿宋" w:hAnsi="仿宋" w:eastAsia="仿宋"/>
          <w:sz w:val="32"/>
          <w:szCs w:val="32"/>
        </w:rPr>
        <w:t>万元，占</w:t>
      </w:r>
      <w:r>
        <w:rPr>
          <w:rFonts w:ascii="仿宋" w:hAnsi="仿宋" w:eastAsia="仿宋"/>
          <w:sz w:val="32"/>
          <w:szCs w:val="32"/>
        </w:rPr>
        <w:t>0%</w:t>
      </w:r>
      <w:r>
        <w:rPr>
          <w:rFonts w:hint="eastAsia" w:ascii="仿宋" w:hAnsi="仿宋" w:eastAsia="仿宋"/>
          <w:sz w:val="32"/>
          <w:szCs w:val="32"/>
        </w:rPr>
        <w:t>；事业收入</w:t>
      </w:r>
      <w:r>
        <w:rPr>
          <w:rFonts w:ascii="仿宋" w:hAnsi="仿宋" w:eastAsia="仿宋"/>
          <w:b/>
          <w:sz w:val="32"/>
          <w:szCs w:val="32"/>
        </w:rPr>
        <w:t>0</w:t>
      </w:r>
      <w:r>
        <w:rPr>
          <w:rFonts w:hint="eastAsia" w:ascii="仿宋" w:hAnsi="仿宋" w:eastAsia="仿宋"/>
          <w:sz w:val="32"/>
          <w:szCs w:val="32"/>
        </w:rPr>
        <w:t>万元，占</w:t>
      </w:r>
      <w:r>
        <w:rPr>
          <w:rFonts w:ascii="仿宋" w:hAnsi="仿宋" w:eastAsia="仿宋"/>
          <w:b/>
          <w:sz w:val="32"/>
          <w:szCs w:val="32"/>
        </w:rPr>
        <w:t>0</w:t>
      </w:r>
      <w:r>
        <w:rPr>
          <w:rFonts w:ascii="仿宋" w:hAnsi="仿宋" w:eastAsia="仿宋"/>
          <w:sz w:val="32"/>
          <w:szCs w:val="32"/>
        </w:rPr>
        <w:t>%</w:t>
      </w:r>
      <w:r>
        <w:rPr>
          <w:rFonts w:hint="eastAsia" w:ascii="仿宋" w:hAnsi="仿宋" w:eastAsia="仿宋"/>
          <w:sz w:val="32"/>
          <w:szCs w:val="32"/>
        </w:rPr>
        <w:t>；经营收入</w:t>
      </w:r>
      <w:r>
        <w:rPr>
          <w:rFonts w:ascii="仿宋" w:hAnsi="仿宋" w:eastAsia="仿宋"/>
          <w:b/>
          <w:sz w:val="32"/>
          <w:szCs w:val="32"/>
        </w:rPr>
        <w:t>0</w:t>
      </w:r>
      <w:r>
        <w:rPr>
          <w:rFonts w:hint="eastAsia" w:ascii="仿宋" w:hAnsi="仿宋" w:eastAsia="仿宋"/>
          <w:sz w:val="32"/>
          <w:szCs w:val="32"/>
        </w:rPr>
        <w:t>万元，占</w:t>
      </w:r>
      <w:r>
        <w:rPr>
          <w:rFonts w:ascii="仿宋" w:hAnsi="仿宋" w:eastAsia="仿宋"/>
          <w:b/>
          <w:sz w:val="32"/>
          <w:szCs w:val="32"/>
        </w:rPr>
        <w:t>0</w:t>
      </w:r>
      <w:r>
        <w:rPr>
          <w:rFonts w:ascii="仿宋" w:hAnsi="仿宋" w:eastAsia="仿宋"/>
          <w:sz w:val="32"/>
          <w:szCs w:val="32"/>
        </w:rPr>
        <w:t>%</w:t>
      </w:r>
      <w:r>
        <w:rPr>
          <w:rFonts w:hint="eastAsia" w:ascii="仿宋" w:hAnsi="仿宋" w:eastAsia="仿宋"/>
          <w:sz w:val="32"/>
          <w:szCs w:val="32"/>
        </w:rPr>
        <w:t>；附属单位上缴收入</w:t>
      </w:r>
      <w:r>
        <w:rPr>
          <w:rFonts w:ascii="仿宋" w:hAnsi="仿宋" w:eastAsia="仿宋"/>
          <w:b/>
          <w:sz w:val="32"/>
          <w:szCs w:val="32"/>
        </w:rPr>
        <w:t>0</w:t>
      </w:r>
      <w:r>
        <w:rPr>
          <w:rFonts w:hint="eastAsia" w:ascii="仿宋" w:hAnsi="仿宋" w:eastAsia="仿宋"/>
          <w:sz w:val="32"/>
          <w:szCs w:val="32"/>
        </w:rPr>
        <w:t>万元，占</w:t>
      </w:r>
      <w:r>
        <w:rPr>
          <w:rFonts w:ascii="仿宋" w:hAnsi="仿宋" w:eastAsia="仿宋"/>
          <w:b/>
          <w:sz w:val="32"/>
          <w:szCs w:val="32"/>
        </w:rPr>
        <w:t>0</w:t>
      </w:r>
      <w:r>
        <w:rPr>
          <w:rFonts w:ascii="仿宋" w:hAnsi="仿宋" w:eastAsia="仿宋"/>
          <w:sz w:val="32"/>
          <w:szCs w:val="32"/>
        </w:rPr>
        <w:t>%</w:t>
      </w:r>
      <w:r>
        <w:rPr>
          <w:rFonts w:hint="eastAsia" w:ascii="仿宋" w:hAnsi="仿宋" w:eastAsia="仿宋"/>
          <w:sz w:val="32"/>
          <w:szCs w:val="32"/>
        </w:rPr>
        <w:t>；其他收入</w:t>
      </w:r>
      <w:r>
        <w:rPr>
          <w:rFonts w:ascii="仿宋" w:hAnsi="仿宋" w:eastAsia="仿宋"/>
          <w:b/>
          <w:sz w:val="32"/>
          <w:szCs w:val="32"/>
        </w:rPr>
        <w:t>0</w:t>
      </w:r>
      <w:r>
        <w:rPr>
          <w:rFonts w:hint="eastAsia" w:ascii="仿宋" w:hAnsi="仿宋" w:eastAsia="仿宋"/>
          <w:sz w:val="32"/>
          <w:szCs w:val="32"/>
        </w:rPr>
        <w:t>万元，占</w:t>
      </w:r>
      <w:r>
        <w:rPr>
          <w:rFonts w:ascii="仿宋" w:hAnsi="仿宋" w:eastAsia="仿宋"/>
          <w:b/>
          <w:sz w:val="32"/>
          <w:szCs w:val="32"/>
        </w:rPr>
        <w:t>0</w:t>
      </w:r>
      <w:r>
        <w:rPr>
          <w:rFonts w:ascii="仿宋" w:hAnsi="仿宋" w:eastAsia="仿宋"/>
          <w:sz w:val="32"/>
          <w:szCs w:val="32"/>
        </w:rPr>
        <w:t>%</w:t>
      </w:r>
      <w:bookmarkEnd w:id="38"/>
      <w:bookmarkEnd w:id="39"/>
      <w:bookmarkEnd w:id="40"/>
    </w:p>
    <w:p w14:paraId="4064FBBA">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outlineLvl w:val="9"/>
        <w:rPr>
          <w:rFonts w:ascii="仿宋" w:hAnsi="仿宋" w:eastAsia="仿宋"/>
          <w:b/>
          <w:sz w:val="32"/>
          <w:szCs w:val="32"/>
        </w:rPr>
      </w:pPr>
      <w:r>
        <w:rPr>
          <w:rFonts w:hint="eastAsia" w:ascii="仿宋" w:hAnsi="仿宋" w:eastAsia="仿宋"/>
          <w:sz w:val="32"/>
          <w:szCs w:val="32"/>
          <w:lang w:eastAsia="zh-CN"/>
        </w:rPr>
        <w:drawing>
          <wp:inline distT="0" distB="0" distL="114300" distR="114300">
            <wp:extent cx="5104130" cy="2312670"/>
            <wp:effectExtent l="4445" t="4445" r="15875" b="64135"/>
            <wp:docPr id="2" name="图表 2" descr="7b0a202020202263686172745265734964223a20223230343736313236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45C2DB42">
      <w:pPr>
        <w:spacing w:line="600" w:lineRule="exact"/>
        <w:ind w:firstLine="640" w:firstLineChars="200"/>
        <w:outlineLvl w:val="9"/>
        <w:rPr>
          <w:rFonts w:ascii="仿宋" w:hAnsi="仿宋" w:eastAsia="仿宋"/>
          <w:sz w:val="32"/>
          <w:szCs w:val="32"/>
        </w:rPr>
      </w:pPr>
    </w:p>
    <w:p w14:paraId="1540D7D5">
      <w:pPr>
        <w:spacing w:line="600" w:lineRule="exact"/>
        <w:ind w:firstLine="640" w:firstLineChars="200"/>
        <w:rPr>
          <w:rFonts w:ascii="仿宋" w:hAnsi="仿宋" w:eastAsia="仿宋"/>
          <w:sz w:val="32"/>
          <w:szCs w:val="32"/>
        </w:rPr>
      </w:pPr>
      <w:r>
        <w:rPr>
          <w:rFonts w:hint="eastAsia" w:ascii="仿宋" w:hAnsi="仿宋" w:eastAsia="仿宋"/>
          <w:sz w:val="32"/>
          <w:szCs w:val="32"/>
        </w:rPr>
        <w:t>（图2：收入决算结构图）（饼状图）</w:t>
      </w:r>
    </w:p>
    <w:p w14:paraId="0DDDCA41">
      <w:pPr>
        <w:pStyle w:val="31"/>
        <w:numPr>
          <w:ilvl w:val="0"/>
          <w:numId w:val="2"/>
        </w:numPr>
        <w:spacing w:line="600" w:lineRule="exact"/>
        <w:ind w:firstLineChars="0"/>
        <w:outlineLvl w:val="1"/>
        <w:rPr>
          <w:rStyle w:val="33"/>
          <w:rFonts w:ascii="黑体" w:hAnsi="黑体" w:eastAsia="黑体"/>
          <w:b w:val="0"/>
        </w:rPr>
      </w:pPr>
      <w:bookmarkStart w:id="41" w:name="_Toc11939"/>
      <w:bookmarkStart w:id="42" w:name="_Toc15396605"/>
      <w:bookmarkStart w:id="43" w:name="_Toc15377207"/>
      <w:r>
        <w:rPr>
          <w:rFonts w:hint="eastAsia" w:ascii="黑体" w:hAnsi="黑体" w:eastAsia="黑体"/>
          <w:sz w:val="32"/>
          <w:szCs w:val="32"/>
        </w:rPr>
        <w:t>支</w:t>
      </w:r>
      <w:r>
        <w:rPr>
          <w:rStyle w:val="33"/>
          <w:rFonts w:hint="eastAsia" w:ascii="黑体" w:hAnsi="黑体" w:eastAsia="黑体"/>
          <w:b w:val="0"/>
        </w:rPr>
        <w:t>出决算情况说明</w:t>
      </w:r>
      <w:bookmarkEnd w:id="41"/>
      <w:bookmarkEnd w:id="42"/>
      <w:bookmarkEnd w:id="43"/>
    </w:p>
    <w:p w14:paraId="38C75B26">
      <w:pPr>
        <w:spacing w:line="600" w:lineRule="exact"/>
        <w:ind w:firstLine="640" w:firstLineChars="200"/>
        <w:outlineLvl w:val="1"/>
        <w:rPr>
          <w:rFonts w:ascii="仿宋" w:hAnsi="仿宋" w:eastAsia="仿宋"/>
          <w:sz w:val="32"/>
          <w:szCs w:val="32"/>
        </w:rPr>
      </w:pPr>
      <w:bookmarkStart w:id="44" w:name="_Toc31246"/>
      <w:bookmarkStart w:id="45" w:name="_Toc3580"/>
      <w:bookmarkStart w:id="46" w:name="_Toc21214"/>
      <w:r>
        <w:rPr>
          <w:rFonts w:hint="eastAsia" w:ascii="仿宋" w:hAnsi="仿宋" w:eastAsia="仿宋"/>
          <w:sz w:val="32"/>
          <w:szCs w:val="32"/>
        </w:rPr>
        <w:t>2023年度本年支出合计</w:t>
      </w:r>
      <w:r>
        <w:rPr>
          <w:rFonts w:ascii="仿宋" w:hAnsi="仿宋" w:eastAsia="仿宋"/>
          <w:b/>
          <w:sz w:val="32"/>
          <w:szCs w:val="32"/>
        </w:rPr>
        <w:t>181.49</w:t>
      </w:r>
      <w:r>
        <w:rPr>
          <w:rFonts w:hint="eastAsia" w:ascii="仿宋" w:hAnsi="仿宋" w:eastAsia="仿宋"/>
          <w:sz w:val="32"/>
          <w:szCs w:val="32"/>
        </w:rPr>
        <w:t>万元，其中：基本支出</w:t>
      </w:r>
      <w:r>
        <w:rPr>
          <w:rFonts w:ascii="仿宋" w:hAnsi="仿宋" w:eastAsia="仿宋"/>
          <w:b/>
          <w:sz w:val="32"/>
          <w:szCs w:val="32"/>
        </w:rPr>
        <w:t>131.6</w:t>
      </w:r>
      <w:r>
        <w:rPr>
          <w:rFonts w:hint="eastAsia" w:ascii="仿宋" w:hAnsi="仿宋" w:eastAsia="仿宋"/>
          <w:sz w:val="32"/>
          <w:szCs w:val="32"/>
        </w:rPr>
        <w:t>万元，占</w:t>
      </w:r>
      <w:r>
        <w:rPr>
          <w:rFonts w:ascii="仿宋" w:hAnsi="仿宋" w:eastAsia="仿宋"/>
          <w:b/>
          <w:sz w:val="32"/>
          <w:szCs w:val="32"/>
        </w:rPr>
        <w:t>72.</w:t>
      </w:r>
      <w:r>
        <w:rPr>
          <w:rFonts w:hint="eastAsia" w:ascii="仿宋" w:hAnsi="仿宋" w:eastAsia="仿宋"/>
          <w:b/>
          <w:sz w:val="32"/>
          <w:szCs w:val="32"/>
          <w:lang w:val="en-US" w:eastAsia="zh-CN"/>
        </w:rPr>
        <w:t>51</w:t>
      </w:r>
      <w:r>
        <w:rPr>
          <w:rFonts w:ascii="仿宋" w:hAnsi="仿宋" w:eastAsia="仿宋"/>
          <w:sz w:val="32"/>
          <w:szCs w:val="32"/>
        </w:rPr>
        <w:t>%</w:t>
      </w:r>
      <w:r>
        <w:rPr>
          <w:rFonts w:hint="eastAsia" w:ascii="仿宋" w:hAnsi="仿宋" w:eastAsia="仿宋"/>
          <w:sz w:val="32"/>
          <w:szCs w:val="32"/>
        </w:rPr>
        <w:t>；项目支出</w:t>
      </w:r>
      <w:r>
        <w:rPr>
          <w:rFonts w:ascii="仿宋" w:hAnsi="仿宋" w:eastAsia="仿宋"/>
          <w:b/>
          <w:sz w:val="32"/>
          <w:szCs w:val="32"/>
        </w:rPr>
        <w:t>49.89</w:t>
      </w:r>
      <w:r>
        <w:rPr>
          <w:rFonts w:hint="eastAsia" w:ascii="仿宋" w:hAnsi="仿宋" w:eastAsia="仿宋"/>
          <w:sz w:val="32"/>
          <w:szCs w:val="32"/>
        </w:rPr>
        <w:t>万元，占</w:t>
      </w:r>
      <w:r>
        <w:rPr>
          <w:rFonts w:ascii="仿宋" w:hAnsi="仿宋" w:eastAsia="仿宋"/>
          <w:b/>
          <w:sz w:val="32"/>
          <w:szCs w:val="32"/>
        </w:rPr>
        <w:t>27.49</w:t>
      </w:r>
      <w:r>
        <w:rPr>
          <w:rFonts w:ascii="仿宋" w:hAnsi="仿宋" w:eastAsia="仿宋"/>
          <w:sz w:val="32"/>
          <w:szCs w:val="32"/>
        </w:rPr>
        <w:t>%</w:t>
      </w:r>
      <w:r>
        <w:rPr>
          <w:rFonts w:hint="eastAsia" w:ascii="仿宋" w:hAnsi="仿宋" w:eastAsia="仿宋"/>
          <w:sz w:val="32"/>
          <w:szCs w:val="32"/>
        </w:rPr>
        <w:t>；上缴上级支出</w:t>
      </w:r>
      <w:r>
        <w:rPr>
          <w:rFonts w:ascii="仿宋" w:hAnsi="仿宋" w:eastAsia="仿宋"/>
          <w:b/>
          <w:sz w:val="32"/>
          <w:szCs w:val="32"/>
        </w:rPr>
        <w:t>0</w:t>
      </w:r>
      <w:r>
        <w:rPr>
          <w:rFonts w:hint="eastAsia" w:ascii="仿宋" w:hAnsi="仿宋" w:eastAsia="仿宋"/>
          <w:sz w:val="32"/>
          <w:szCs w:val="32"/>
        </w:rPr>
        <w:t>万元，占</w:t>
      </w:r>
      <w:r>
        <w:rPr>
          <w:rFonts w:hint="eastAsia" w:ascii="仿宋" w:hAnsi="仿宋" w:eastAsia="仿宋"/>
          <w:b/>
          <w:sz w:val="32"/>
          <w:szCs w:val="32"/>
        </w:rPr>
        <w:t>0</w:t>
      </w:r>
      <w:r>
        <w:rPr>
          <w:rFonts w:ascii="仿宋" w:hAnsi="仿宋" w:eastAsia="仿宋"/>
          <w:sz w:val="32"/>
          <w:szCs w:val="32"/>
        </w:rPr>
        <w:t>%</w:t>
      </w:r>
      <w:r>
        <w:rPr>
          <w:rFonts w:hint="eastAsia" w:ascii="仿宋" w:hAnsi="仿宋" w:eastAsia="仿宋"/>
          <w:sz w:val="32"/>
          <w:szCs w:val="32"/>
        </w:rPr>
        <w:t>；经营支出</w:t>
      </w:r>
      <w:r>
        <w:rPr>
          <w:rFonts w:ascii="仿宋" w:hAnsi="仿宋" w:eastAsia="仿宋"/>
          <w:b/>
          <w:sz w:val="32"/>
          <w:szCs w:val="32"/>
        </w:rPr>
        <w:t>0</w:t>
      </w:r>
      <w:r>
        <w:rPr>
          <w:rFonts w:hint="eastAsia" w:ascii="仿宋" w:hAnsi="仿宋" w:eastAsia="仿宋"/>
          <w:sz w:val="32"/>
          <w:szCs w:val="32"/>
        </w:rPr>
        <w:t>万元，占</w:t>
      </w:r>
      <w:r>
        <w:rPr>
          <w:rFonts w:ascii="仿宋" w:hAnsi="仿宋" w:eastAsia="仿宋"/>
          <w:b/>
          <w:sz w:val="32"/>
          <w:szCs w:val="32"/>
        </w:rPr>
        <w:t>0</w:t>
      </w:r>
      <w:r>
        <w:rPr>
          <w:rFonts w:ascii="仿宋" w:hAnsi="仿宋" w:eastAsia="仿宋"/>
          <w:sz w:val="32"/>
          <w:szCs w:val="32"/>
        </w:rPr>
        <w:t>%</w:t>
      </w:r>
      <w:r>
        <w:rPr>
          <w:rFonts w:hint="eastAsia" w:ascii="仿宋" w:hAnsi="仿宋" w:eastAsia="仿宋"/>
          <w:sz w:val="32"/>
          <w:szCs w:val="32"/>
        </w:rPr>
        <w:t>；对附属单位补助支出</w:t>
      </w:r>
      <w:r>
        <w:rPr>
          <w:rFonts w:ascii="仿宋" w:hAnsi="仿宋" w:eastAsia="仿宋"/>
          <w:b/>
          <w:sz w:val="32"/>
          <w:szCs w:val="32"/>
        </w:rPr>
        <w:t>0</w:t>
      </w:r>
      <w:r>
        <w:rPr>
          <w:rFonts w:hint="eastAsia" w:ascii="仿宋" w:hAnsi="仿宋" w:eastAsia="仿宋"/>
          <w:sz w:val="32"/>
          <w:szCs w:val="32"/>
        </w:rPr>
        <w:t>万元，占</w:t>
      </w:r>
      <w:r>
        <w:rPr>
          <w:rFonts w:ascii="仿宋" w:hAnsi="仿宋" w:eastAsia="仿宋"/>
          <w:b/>
          <w:sz w:val="32"/>
          <w:szCs w:val="32"/>
        </w:rPr>
        <w:t>0</w:t>
      </w:r>
      <w:r>
        <w:rPr>
          <w:rFonts w:ascii="仿宋" w:hAnsi="仿宋" w:eastAsia="仿宋"/>
          <w:sz w:val="32"/>
          <w:szCs w:val="32"/>
        </w:rPr>
        <w:t>%</w:t>
      </w:r>
      <w:r>
        <w:rPr>
          <w:rFonts w:hint="eastAsia" w:ascii="仿宋" w:hAnsi="仿宋" w:eastAsia="仿宋"/>
          <w:sz w:val="32"/>
          <w:szCs w:val="32"/>
        </w:rPr>
        <w:t>。</w:t>
      </w:r>
      <w:bookmarkEnd w:id="44"/>
      <w:bookmarkEnd w:id="45"/>
      <w:bookmarkEnd w:id="46"/>
    </w:p>
    <w:p w14:paraId="63294C2F">
      <w:pPr>
        <w:keepNext w:val="0"/>
        <w:keepLines w:val="0"/>
        <w:pageBreakBefore w:val="0"/>
        <w:widowControl w:val="0"/>
        <w:kinsoku/>
        <w:wordWrap/>
        <w:overflowPunct/>
        <w:topLinePunct w:val="0"/>
        <w:autoSpaceDE/>
        <w:autoSpaceDN/>
        <w:bidi w:val="0"/>
        <w:adjustRightInd/>
        <w:snapToGrid/>
        <w:spacing w:line="240" w:lineRule="auto"/>
        <w:ind w:firstLine="641"/>
        <w:textAlignment w:val="auto"/>
        <w:rPr>
          <w:rFonts w:ascii="仿宋" w:hAnsi="仿宋" w:eastAsia="仿宋"/>
          <w:sz w:val="32"/>
          <w:szCs w:val="32"/>
          <w:shd w:val="pct10" w:color="auto" w:fill="FFFFFF"/>
        </w:rPr>
      </w:pPr>
      <w:r>
        <w:rPr>
          <w:rFonts w:hint="eastAsia" w:ascii="仿宋" w:hAnsi="仿宋" w:eastAsia="仿宋"/>
          <w:sz w:val="32"/>
          <w:szCs w:val="32"/>
          <w:shd w:val="pct10" w:color="auto" w:fill="FFFFFF"/>
          <w:lang w:eastAsia="zh-CN"/>
        </w:rPr>
        <w:drawing>
          <wp:inline distT="0" distB="0" distL="114300" distR="114300">
            <wp:extent cx="5170805" cy="2712720"/>
            <wp:effectExtent l="4445" t="4445" r="6350" b="64135"/>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49EE79EE">
      <w:pPr>
        <w:spacing w:line="600" w:lineRule="exact"/>
        <w:ind w:firstLine="640" w:firstLineChars="200"/>
        <w:rPr>
          <w:rFonts w:ascii="仿宋" w:hAnsi="仿宋" w:eastAsia="仿宋"/>
          <w:sz w:val="32"/>
          <w:szCs w:val="32"/>
        </w:rPr>
      </w:pPr>
      <w:r>
        <w:rPr>
          <w:rFonts w:hint="eastAsia" w:ascii="仿宋" w:hAnsi="仿宋" w:eastAsia="仿宋"/>
          <w:sz w:val="32"/>
          <w:szCs w:val="32"/>
        </w:rPr>
        <w:t>（图3：支出决算结构图）（饼状图）</w:t>
      </w:r>
    </w:p>
    <w:p w14:paraId="1E806C41">
      <w:pPr>
        <w:spacing w:line="600" w:lineRule="exact"/>
        <w:ind w:firstLine="640" w:firstLineChars="200"/>
        <w:outlineLvl w:val="1"/>
        <w:rPr>
          <w:rStyle w:val="33"/>
          <w:rFonts w:ascii="黑体" w:hAnsi="黑体" w:eastAsia="黑体"/>
          <w:b w:val="0"/>
        </w:rPr>
      </w:pPr>
      <w:bookmarkStart w:id="47" w:name="_Toc15377208"/>
      <w:bookmarkStart w:id="48" w:name="_Toc15396606"/>
      <w:bookmarkStart w:id="49" w:name="_Toc26027"/>
      <w:r>
        <w:rPr>
          <w:rFonts w:hint="eastAsia" w:ascii="黑体" w:hAnsi="黑体" w:eastAsia="黑体"/>
          <w:sz w:val="32"/>
          <w:szCs w:val="32"/>
        </w:rPr>
        <w:t>四、财</w:t>
      </w:r>
      <w:r>
        <w:rPr>
          <w:rStyle w:val="33"/>
          <w:rFonts w:hint="eastAsia" w:ascii="黑体" w:hAnsi="黑体" w:eastAsia="黑体"/>
          <w:b w:val="0"/>
        </w:rPr>
        <w:t>政拨款收入支出决算总体情况说明</w:t>
      </w:r>
      <w:bookmarkEnd w:id="47"/>
      <w:bookmarkEnd w:id="48"/>
      <w:bookmarkEnd w:id="49"/>
    </w:p>
    <w:p w14:paraId="20FBFB71">
      <w:pPr>
        <w:spacing w:line="600" w:lineRule="exact"/>
        <w:ind w:firstLine="640" w:firstLineChars="200"/>
        <w:rPr>
          <w:rFonts w:hint="eastAsia" w:ascii="仿宋" w:hAnsi="仿宋" w:eastAsia="仿宋"/>
          <w:sz w:val="32"/>
          <w:szCs w:val="32"/>
        </w:rPr>
      </w:pPr>
      <w:r>
        <w:rPr>
          <w:rFonts w:hint="eastAsia" w:ascii="仿宋" w:hAnsi="仿宋" w:eastAsia="仿宋"/>
          <w:sz w:val="32"/>
          <w:szCs w:val="32"/>
        </w:rPr>
        <w:t>2023年度财政拨款收、支总计均为</w:t>
      </w:r>
      <w:r>
        <w:rPr>
          <w:rFonts w:ascii="仿宋" w:hAnsi="仿宋" w:eastAsia="仿宋"/>
          <w:b/>
          <w:sz w:val="32"/>
          <w:szCs w:val="32"/>
        </w:rPr>
        <w:t>181.49</w:t>
      </w:r>
      <w:r>
        <w:rPr>
          <w:rFonts w:hint="eastAsia" w:ascii="仿宋" w:hAnsi="仿宋" w:eastAsia="仿宋"/>
          <w:sz w:val="32"/>
          <w:szCs w:val="32"/>
        </w:rPr>
        <w:t>万元。与2022年度相比，财政拨款收、支总计各增加</w:t>
      </w:r>
      <w:r>
        <w:rPr>
          <w:rFonts w:hint="eastAsia" w:ascii="仿宋" w:hAnsi="仿宋" w:eastAsia="仿宋"/>
          <w:sz w:val="32"/>
          <w:szCs w:val="32"/>
          <w:lang w:val="en-US" w:eastAsia="zh-CN"/>
        </w:rPr>
        <w:t>15.06</w:t>
      </w:r>
      <w:r>
        <w:rPr>
          <w:rFonts w:hint="eastAsia" w:ascii="仿宋" w:hAnsi="仿宋" w:eastAsia="仿宋"/>
          <w:sz w:val="32"/>
          <w:szCs w:val="32"/>
        </w:rPr>
        <w:t>万元，增长</w:t>
      </w:r>
      <w:r>
        <w:rPr>
          <w:rFonts w:hint="eastAsia" w:ascii="仿宋" w:hAnsi="仿宋" w:eastAsia="仿宋"/>
          <w:sz w:val="32"/>
          <w:szCs w:val="32"/>
          <w:lang w:val="en-US" w:eastAsia="zh-CN"/>
        </w:rPr>
        <w:t>9.05</w:t>
      </w:r>
      <w:r>
        <w:rPr>
          <w:rFonts w:ascii="仿宋" w:hAnsi="仿宋" w:eastAsia="仿宋"/>
          <w:sz w:val="32"/>
          <w:szCs w:val="32"/>
        </w:rPr>
        <w:t>%</w:t>
      </w:r>
      <w:r>
        <w:rPr>
          <w:rFonts w:hint="eastAsia" w:ascii="仿宋" w:hAnsi="仿宋" w:eastAsia="仿宋"/>
          <w:sz w:val="32"/>
          <w:szCs w:val="32"/>
        </w:rPr>
        <w:t>。主要变动原因是预算项目增加。</w:t>
      </w:r>
    </w:p>
    <w:p w14:paraId="5BB11B1C">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ascii="仿宋" w:hAnsi="仿宋" w:eastAsia="仿宋"/>
          <w:sz w:val="32"/>
          <w:szCs w:val="32"/>
        </w:rPr>
      </w:pPr>
      <w:r>
        <w:rPr>
          <w:rFonts w:hint="eastAsia" w:eastAsia="仿宋"/>
          <w:lang w:eastAsia="zh-CN"/>
        </w:rPr>
        <w:drawing>
          <wp:inline distT="0" distB="0" distL="114300" distR="114300">
            <wp:extent cx="5256530" cy="2988310"/>
            <wp:effectExtent l="5080" t="4445" r="15240" b="17145"/>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Pr>
          <w:rFonts w:hint="eastAsia" w:ascii="仿宋" w:hAnsi="仿宋" w:eastAsia="仿宋"/>
          <w:sz w:val="32"/>
          <w:szCs w:val="32"/>
        </w:rPr>
        <w:t>（图4：财政拨款收、支决算总计变动情况）（柱状图）</w:t>
      </w:r>
    </w:p>
    <w:p w14:paraId="20ABE964">
      <w:pPr>
        <w:spacing w:line="600" w:lineRule="exact"/>
        <w:ind w:firstLine="640" w:firstLineChars="200"/>
        <w:outlineLvl w:val="1"/>
        <w:rPr>
          <w:rStyle w:val="33"/>
          <w:rFonts w:ascii="黑体" w:hAnsi="黑体" w:eastAsia="黑体"/>
          <w:b w:val="0"/>
        </w:rPr>
      </w:pPr>
      <w:bookmarkStart w:id="50" w:name="_Toc15377209"/>
      <w:bookmarkStart w:id="51" w:name="_Toc27320"/>
      <w:bookmarkStart w:id="52" w:name="_Toc15396607"/>
      <w:r>
        <w:rPr>
          <w:rFonts w:hint="eastAsia" w:ascii="黑体" w:hAnsi="黑体" w:eastAsia="黑体"/>
          <w:sz w:val="32"/>
          <w:szCs w:val="32"/>
        </w:rPr>
        <w:t>五、</w:t>
      </w:r>
      <w:r>
        <w:rPr>
          <w:rFonts w:hint="eastAsia" w:ascii="黑体" w:hAnsi="黑体" w:eastAsia="黑体"/>
          <w:b/>
          <w:sz w:val="32"/>
          <w:szCs w:val="32"/>
        </w:rPr>
        <w:t>一</w:t>
      </w:r>
      <w:r>
        <w:rPr>
          <w:rStyle w:val="33"/>
          <w:rFonts w:hint="eastAsia" w:ascii="黑体" w:hAnsi="黑体" w:eastAsia="黑体"/>
          <w:b w:val="0"/>
        </w:rPr>
        <w:t>般公共预算财政拨款支出决算情况说明</w:t>
      </w:r>
      <w:bookmarkEnd w:id="50"/>
      <w:bookmarkEnd w:id="51"/>
      <w:bookmarkEnd w:id="52"/>
    </w:p>
    <w:p w14:paraId="5B1C17F3">
      <w:pPr>
        <w:spacing w:line="600" w:lineRule="exact"/>
        <w:ind w:firstLine="643" w:firstLineChars="200"/>
        <w:outlineLvl w:val="2"/>
        <w:rPr>
          <w:rFonts w:ascii="仿宋" w:hAnsi="仿宋" w:eastAsia="仿宋"/>
          <w:b/>
          <w:sz w:val="32"/>
          <w:szCs w:val="32"/>
        </w:rPr>
      </w:pPr>
      <w:bookmarkStart w:id="53" w:name="_Toc15377210"/>
      <w:r>
        <w:rPr>
          <w:rFonts w:hint="eastAsia" w:ascii="仿宋" w:hAnsi="仿宋" w:eastAsia="仿宋"/>
          <w:b/>
          <w:sz w:val="32"/>
          <w:szCs w:val="32"/>
        </w:rPr>
        <w:t>（一）一般公共预算财政拨款支出决算总体情况</w:t>
      </w:r>
      <w:bookmarkEnd w:id="53"/>
    </w:p>
    <w:p w14:paraId="657AD584">
      <w:pPr>
        <w:spacing w:line="600" w:lineRule="exact"/>
        <w:ind w:firstLine="640" w:firstLineChars="200"/>
        <w:rPr>
          <w:rFonts w:hint="eastAsia" w:ascii="仿宋" w:hAnsi="仿宋" w:eastAsia="仿宋"/>
          <w:sz w:val="32"/>
          <w:szCs w:val="32"/>
        </w:rPr>
      </w:pPr>
      <w:r>
        <w:rPr>
          <w:rFonts w:hint="eastAsia" w:ascii="仿宋" w:hAnsi="仿宋" w:eastAsia="仿宋"/>
          <w:sz w:val="32"/>
          <w:szCs w:val="32"/>
        </w:rPr>
        <w:t>2023年度一般公共预算财政拨款支出</w:t>
      </w:r>
      <w:r>
        <w:rPr>
          <w:rFonts w:ascii="仿宋" w:hAnsi="仿宋" w:eastAsia="仿宋"/>
          <w:b/>
          <w:sz w:val="32"/>
          <w:szCs w:val="32"/>
        </w:rPr>
        <w:t>181.49</w:t>
      </w:r>
      <w:r>
        <w:rPr>
          <w:rFonts w:hint="eastAsia" w:ascii="仿宋" w:hAnsi="仿宋" w:eastAsia="仿宋"/>
          <w:sz w:val="32"/>
          <w:szCs w:val="32"/>
        </w:rPr>
        <w:t>万元，占本年支出合计的</w:t>
      </w:r>
      <w:r>
        <w:rPr>
          <w:rFonts w:ascii="仿宋" w:hAnsi="仿宋" w:eastAsia="仿宋"/>
          <w:b/>
          <w:sz w:val="32"/>
          <w:szCs w:val="32"/>
        </w:rPr>
        <w:t>100</w:t>
      </w:r>
      <w:r>
        <w:rPr>
          <w:rFonts w:ascii="仿宋" w:hAnsi="仿宋" w:eastAsia="仿宋"/>
          <w:sz w:val="32"/>
          <w:szCs w:val="32"/>
        </w:rPr>
        <w:t>%</w:t>
      </w:r>
      <w:r>
        <w:rPr>
          <w:rFonts w:hint="eastAsia" w:ascii="仿宋" w:hAnsi="仿宋" w:eastAsia="仿宋"/>
          <w:sz w:val="32"/>
          <w:szCs w:val="32"/>
        </w:rPr>
        <w:t>。与2022年度相比，一般公共预算财政拨款支出增加</w:t>
      </w:r>
      <w:r>
        <w:rPr>
          <w:rFonts w:hint="eastAsia" w:ascii="仿宋" w:hAnsi="仿宋" w:eastAsia="仿宋"/>
          <w:sz w:val="32"/>
          <w:szCs w:val="32"/>
          <w:lang w:val="en-US" w:eastAsia="zh-CN"/>
        </w:rPr>
        <w:t>15.06</w:t>
      </w:r>
      <w:r>
        <w:rPr>
          <w:rFonts w:hint="eastAsia" w:ascii="仿宋" w:hAnsi="仿宋" w:eastAsia="仿宋"/>
          <w:sz w:val="32"/>
          <w:szCs w:val="32"/>
        </w:rPr>
        <w:t>万元，增长</w:t>
      </w:r>
      <w:r>
        <w:rPr>
          <w:rFonts w:hint="eastAsia" w:ascii="仿宋" w:hAnsi="仿宋" w:eastAsia="仿宋"/>
          <w:sz w:val="32"/>
          <w:szCs w:val="32"/>
          <w:lang w:val="en-US" w:eastAsia="zh-CN"/>
        </w:rPr>
        <w:t>9.05</w:t>
      </w:r>
      <w:r>
        <w:rPr>
          <w:rFonts w:ascii="仿宋" w:hAnsi="仿宋" w:eastAsia="仿宋"/>
          <w:sz w:val="32"/>
          <w:szCs w:val="32"/>
        </w:rPr>
        <w:t>%</w:t>
      </w:r>
      <w:r>
        <w:rPr>
          <w:rFonts w:hint="eastAsia" w:ascii="仿宋" w:hAnsi="仿宋" w:eastAsia="仿宋"/>
          <w:sz w:val="32"/>
          <w:szCs w:val="32"/>
        </w:rPr>
        <w:t>。主要变动原因是预算项目增加。</w:t>
      </w:r>
    </w:p>
    <w:p w14:paraId="6C371738">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ascii="仿宋" w:hAnsi="仿宋" w:eastAsia="仿宋"/>
          <w:sz w:val="32"/>
          <w:szCs w:val="32"/>
        </w:rPr>
      </w:pPr>
      <w:r>
        <w:rPr>
          <w:rFonts w:hint="eastAsia" w:eastAsia="仿宋"/>
          <w:lang w:eastAsia="zh-CN"/>
        </w:rPr>
        <w:drawing>
          <wp:inline distT="0" distB="0" distL="114300" distR="114300">
            <wp:extent cx="5256530" cy="2988310"/>
            <wp:effectExtent l="5080" t="4445" r="15240" b="17145"/>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r>
        <w:rPr>
          <w:rFonts w:hint="eastAsia" w:ascii="仿宋" w:hAnsi="仿宋" w:eastAsia="仿宋"/>
          <w:sz w:val="32"/>
          <w:szCs w:val="32"/>
        </w:rPr>
        <w:t>（图5：一般公共预算财政拨款支出决算变动情况）（柱状图）</w:t>
      </w:r>
    </w:p>
    <w:p w14:paraId="4C421795">
      <w:pPr>
        <w:spacing w:line="600" w:lineRule="exact"/>
        <w:ind w:firstLine="643" w:firstLineChars="200"/>
        <w:outlineLvl w:val="2"/>
        <w:rPr>
          <w:rFonts w:ascii="仿宋" w:hAnsi="仿宋" w:eastAsia="仿宋"/>
          <w:b/>
          <w:sz w:val="32"/>
          <w:szCs w:val="32"/>
        </w:rPr>
      </w:pPr>
      <w:bookmarkStart w:id="54" w:name="_Toc15377211"/>
      <w:r>
        <w:rPr>
          <w:rFonts w:hint="eastAsia" w:ascii="仿宋" w:hAnsi="仿宋" w:eastAsia="仿宋"/>
          <w:b/>
          <w:sz w:val="32"/>
          <w:szCs w:val="32"/>
        </w:rPr>
        <w:t>（二）一般公共预算财政拨款支出决算结构情况</w:t>
      </w:r>
      <w:bookmarkEnd w:id="54"/>
    </w:p>
    <w:p w14:paraId="0B3BDF79">
      <w:pPr>
        <w:spacing w:line="600" w:lineRule="exact"/>
        <w:ind w:firstLine="640"/>
        <w:rPr>
          <w:rFonts w:ascii="仿宋" w:hAnsi="仿宋" w:eastAsia="仿宋"/>
          <w:b/>
          <w:sz w:val="32"/>
          <w:szCs w:val="32"/>
        </w:rPr>
      </w:pPr>
      <w:r>
        <w:rPr>
          <w:rFonts w:hint="eastAsia" w:ascii="仿宋" w:hAnsi="仿宋" w:eastAsia="仿宋"/>
          <w:sz w:val="32"/>
          <w:szCs w:val="32"/>
        </w:rPr>
        <w:t>2023年度一般公共预算财政拨款支出</w:t>
      </w:r>
      <w:r>
        <w:rPr>
          <w:rFonts w:ascii="仿宋" w:hAnsi="仿宋" w:eastAsia="仿宋"/>
          <w:b/>
          <w:sz w:val="32"/>
          <w:szCs w:val="32"/>
        </w:rPr>
        <w:t>181.49</w:t>
      </w:r>
      <w:r>
        <w:rPr>
          <w:rFonts w:hint="eastAsia" w:ascii="仿宋" w:hAnsi="仿宋" w:eastAsia="仿宋"/>
          <w:sz w:val="32"/>
          <w:szCs w:val="32"/>
        </w:rPr>
        <w:t>万元，主要用于以下方面</w:t>
      </w:r>
      <w:r>
        <w:rPr>
          <w:rFonts w:hint="eastAsia" w:ascii="仿宋" w:hAnsi="仿宋" w:eastAsia="仿宋"/>
          <w:sz w:val="32"/>
          <w:szCs w:val="32"/>
          <w:lang w:eastAsia="zh-CN"/>
        </w:rPr>
        <w:t>：</w:t>
      </w:r>
      <w:r>
        <w:rPr>
          <w:rFonts w:hint="eastAsia" w:ascii="仿宋" w:hAnsi="仿宋" w:eastAsia="仿宋"/>
          <w:b/>
          <w:sz w:val="32"/>
          <w:szCs w:val="32"/>
        </w:rPr>
        <w:t>科学技术</w:t>
      </w:r>
      <w:r>
        <w:rPr>
          <w:rFonts w:hint="eastAsia" w:ascii="仿宋" w:hAnsi="仿宋" w:eastAsia="仿宋"/>
          <w:b/>
          <w:bCs/>
          <w:sz w:val="32"/>
          <w:szCs w:val="32"/>
        </w:rPr>
        <w:t>支出</w:t>
      </w:r>
      <w:r>
        <w:rPr>
          <w:rFonts w:hint="eastAsia" w:ascii="仿宋" w:hAnsi="仿宋" w:eastAsia="仿宋"/>
          <w:sz w:val="32"/>
          <w:szCs w:val="32"/>
          <w:lang w:val="en-US" w:eastAsia="zh-CN"/>
        </w:rPr>
        <w:t>149.56</w:t>
      </w:r>
      <w:r>
        <w:rPr>
          <w:rFonts w:hint="eastAsia" w:ascii="仿宋" w:hAnsi="仿宋" w:eastAsia="仿宋"/>
          <w:sz w:val="32"/>
          <w:szCs w:val="32"/>
        </w:rPr>
        <w:t>万元，占</w:t>
      </w:r>
      <w:r>
        <w:rPr>
          <w:rFonts w:hint="eastAsia" w:ascii="仿宋" w:hAnsi="仿宋" w:eastAsia="仿宋"/>
          <w:sz w:val="32"/>
          <w:szCs w:val="32"/>
          <w:lang w:val="en-US" w:eastAsia="zh-CN"/>
        </w:rPr>
        <w:t>82.41</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sz w:val="32"/>
          <w:szCs w:val="32"/>
        </w:rPr>
        <w:t>社会保障和就业</w:t>
      </w:r>
      <w:r>
        <w:rPr>
          <w:rFonts w:hint="eastAsia" w:ascii="仿宋" w:hAnsi="仿宋" w:eastAsia="仿宋"/>
          <w:b/>
          <w:bCs/>
          <w:sz w:val="32"/>
          <w:szCs w:val="32"/>
        </w:rPr>
        <w:t>支出</w:t>
      </w:r>
      <w:r>
        <w:rPr>
          <w:rFonts w:hint="eastAsia" w:ascii="仿宋" w:hAnsi="仿宋" w:eastAsia="仿宋"/>
          <w:sz w:val="32"/>
          <w:szCs w:val="32"/>
          <w:lang w:val="en-US" w:eastAsia="zh-CN"/>
        </w:rPr>
        <w:t>18.89</w:t>
      </w:r>
      <w:r>
        <w:rPr>
          <w:rFonts w:hint="eastAsia" w:ascii="仿宋" w:hAnsi="仿宋" w:eastAsia="仿宋"/>
          <w:sz w:val="32"/>
          <w:szCs w:val="32"/>
        </w:rPr>
        <w:t>万元，占</w:t>
      </w:r>
      <w:r>
        <w:rPr>
          <w:rFonts w:hint="eastAsia" w:ascii="仿宋" w:hAnsi="仿宋" w:eastAsia="仿宋"/>
          <w:sz w:val="32"/>
          <w:szCs w:val="32"/>
          <w:lang w:val="en-US" w:eastAsia="zh-CN"/>
        </w:rPr>
        <w:t>10.41</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卫生健康支出</w:t>
      </w:r>
      <w:r>
        <w:rPr>
          <w:rFonts w:hint="eastAsia" w:ascii="仿宋" w:hAnsi="仿宋" w:eastAsia="仿宋"/>
          <w:sz w:val="32"/>
          <w:szCs w:val="32"/>
          <w:lang w:val="en-US" w:eastAsia="zh-CN"/>
        </w:rPr>
        <w:t>4.23</w:t>
      </w:r>
      <w:r>
        <w:rPr>
          <w:rFonts w:hint="eastAsia" w:ascii="仿宋" w:hAnsi="仿宋" w:eastAsia="仿宋"/>
          <w:sz w:val="32"/>
          <w:szCs w:val="32"/>
        </w:rPr>
        <w:t>万元，占</w:t>
      </w:r>
      <w:r>
        <w:rPr>
          <w:rFonts w:hint="eastAsia" w:ascii="仿宋" w:hAnsi="仿宋" w:eastAsia="仿宋"/>
          <w:sz w:val="32"/>
          <w:szCs w:val="32"/>
          <w:lang w:val="en-US" w:eastAsia="zh-CN"/>
        </w:rPr>
        <w:t>2.33</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住房保障支出</w:t>
      </w:r>
      <w:r>
        <w:rPr>
          <w:rFonts w:hint="eastAsia" w:ascii="仿宋" w:hAnsi="仿宋" w:eastAsia="仿宋"/>
          <w:sz w:val="32"/>
          <w:szCs w:val="32"/>
          <w:lang w:val="en-US" w:eastAsia="zh-CN"/>
        </w:rPr>
        <w:t>8.81</w:t>
      </w:r>
      <w:r>
        <w:rPr>
          <w:rFonts w:hint="eastAsia" w:ascii="仿宋" w:hAnsi="仿宋" w:eastAsia="仿宋"/>
          <w:sz w:val="32"/>
          <w:szCs w:val="32"/>
        </w:rPr>
        <w:t>万元，占</w:t>
      </w:r>
      <w:r>
        <w:rPr>
          <w:rFonts w:hint="eastAsia" w:ascii="仿宋" w:hAnsi="仿宋" w:eastAsia="仿宋"/>
          <w:sz w:val="32"/>
          <w:szCs w:val="32"/>
          <w:lang w:val="en-US" w:eastAsia="zh-CN"/>
        </w:rPr>
        <w:t>4.85</w:t>
      </w:r>
      <w:r>
        <w:rPr>
          <w:rFonts w:ascii="仿宋" w:hAnsi="仿宋" w:eastAsia="仿宋"/>
          <w:sz w:val="32"/>
          <w:szCs w:val="32"/>
        </w:rPr>
        <w:t>%</w:t>
      </w:r>
      <w:r>
        <w:rPr>
          <w:rFonts w:hint="eastAsia" w:ascii="仿宋" w:hAnsi="仿宋" w:eastAsia="仿宋"/>
          <w:sz w:val="32"/>
          <w:szCs w:val="32"/>
        </w:rPr>
        <w:t>。</w:t>
      </w:r>
    </w:p>
    <w:p w14:paraId="73E40E19">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ascii="仿宋" w:hAnsi="仿宋" w:eastAsia="仿宋"/>
          <w:sz w:val="32"/>
          <w:szCs w:val="32"/>
        </w:rPr>
      </w:pPr>
      <w:r>
        <w:rPr>
          <w:rFonts w:hint="eastAsia" w:ascii="仿宋" w:hAnsi="仿宋" w:eastAsia="仿宋"/>
          <w:sz w:val="32"/>
          <w:szCs w:val="32"/>
          <w:lang w:eastAsia="zh-CN"/>
        </w:rPr>
        <w:drawing>
          <wp:inline distT="0" distB="0" distL="114300" distR="114300">
            <wp:extent cx="5256530" cy="2988310"/>
            <wp:effectExtent l="5080" t="4445" r="15240" b="17145"/>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r>
        <w:rPr>
          <w:rFonts w:hint="eastAsia" w:ascii="仿宋" w:hAnsi="仿宋" w:eastAsia="仿宋"/>
          <w:sz w:val="32"/>
          <w:szCs w:val="32"/>
        </w:rPr>
        <w:t>（图6：一般公共预算财政拨款支出决算结构）（饼状图）</w:t>
      </w:r>
    </w:p>
    <w:p w14:paraId="794DDEB9">
      <w:pPr>
        <w:spacing w:line="600" w:lineRule="exact"/>
        <w:ind w:firstLine="643" w:firstLineChars="200"/>
        <w:outlineLvl w:val="2"/>
        <w:rPr>
          <w:rFonts w:ascii="仿宋" w:hAnsi="仿宋" w:eastAsia="仿宋"/>
          <w:b/>
          <w:sz w:val="32"/>
          <w:szCs w:val="32"/>
        </w:rPr>
      </w:pPr>
      <w:bookmarkStart w:id="55" w:name="_Toc15377212"/>
      <w:r>
        <w:rPr>
          <w:rFonts w:hint="eastAsia" w:ascii="仿宋" w:hAnsi="仿宋" w:eastAsia="仿宋"/>
          <w:b/>
          <w:sz w:val="32"/>
          <w:szCs w:val="32"/>
        </w:rPr>
        <w:t>（三）一般公共预算财政拨款支出决算具体情况</w:t>
      </w:r>
      <w:bookmarkEnd w:id="55"/>
    </w:p>
    <w:p w14:paraId="5A74E494">
      <w:pPr>
        <w:spacing w:line="600" w:lineRule="exact"/>
        <w:ind w:firstLine="643" w:firstLineChars="200"/>
        <w:outlineLvl w:val="1"/>
        <w:rPr>
          <w:rFonts w:ascii="仿宋" w:hAnsi="仿宋" w:eastAsia="仿宋"/>
          <w:sz w:val="32"/>
          <w:szCs w:val="32"/>
        </w:rPr>
      </w:pPr>
      <w:bookmarkStart w:id="56" w:name="_Toc15378460"/>
      <w:bookmarkStart w:id="57" w:name="_Toc12129"/>
      <w:bookmarkStart w:id="58" w:name="_Toc13262"/>
      <w:bookmarkStart w:id="59" w:name="_Toc17740"/>
      <w:bookmarkStart w:id="60" w:name="_Toc15377444"/>
      <w:bookmarkStart w:id="61" w:name="_Toc15377213"/>
      <w:r>
        <w:rPr>
          <w:rFonts w:hint="eastAsia" w:ascii="仿宋" w:hAnsi="仿宋" w:eastAsia="仿宋"/>
          <w:b/>
          <w:sz w:val="32"/>
          <w:szCs w:val="32"/>
        </w:rPr>
        <w:t>2023年度一般公共预算支出决算数为</w:t>
      </w:r>
      <w:r>
        <w:rPr>
          <w:rFonts w:ascii="仿宋" w:hAnsi="仿宋" w:eastAsia="仿宋"/>
          <w:b/>
          <w:sz w:val="32"/>
          <w:szCs w:val="32"/>
        </w:rPr>
        <w:t>181.49</w:t>
      </w:r>
      <w:r>
        <w:rPr>
          <w:rFonts w:hint="eastAsia" w:ascii="仿宋" w:hAnsi="仿宋" w:eastAsia="仿宋"/>
          <w:sz w:val="32"/>
          <w:szCs w:val="32"/>
        </w:rPr>
        <w:t>，</w:t>
      </w:r>
      <w:r>
        <w:rPr>
          <w:rStyle w:val="21"/>
          <w:rFonts w:hint="eastAsia" w:ascii="仿宋" w:hAnsi="仿宋" w:eastAsia="仿宋"/>
          <w:bCs/>
          <w:sz w:val="32"/>
          <w:szCs w:val="32"/>
        </w:rPr>
        <w:t>完成预算</w:t>
      </w:r>
      <w:r>
        <w:rPr>
          <w:rStyle w:val="21"/>
          <w:rFonts w:hint="eastAsia" w:ascii="仿宋" w:hAnsi="仿宋" w:eastAsia="仿宋"/>
          <w:bCs/>
          <w:sz w:val="32"/>
          <w:szCs w:val="32"/>
          <w:lang w:val="en-US" w:eastAsia="zh-CN"/>
        </w:rPr>
        <w:t>100</w:t>
      </w:r>
      <w:r>
        <w:rPr>
          <w:rStyle w:val="21"/>
          <w:rFonts w:ascii="仿宋" w:hAnsi="仿宋" w:eastAsia="仿宋"/>
          <w:bCs/>
          <w:sz w:val="32"/>
          <w:szCs w:val="32"/>
        </w:rPr>
        <w:t>%</w:t>
      </w:r>
      <w:r>
        <w:rPr>
          <w:rStyle w:val="21"/>
          <w:rFonts w:hint="eastAsia" w:ascii="仿宋" w:hAnsi="仿宋" w:eastAsia="仿宋"/>
          <w:bCs/>
          <w:sz w:val="32"/>
          <w:szCs w:val="32"/>
        </w:rPr>
        <w:t>。其中：</w:t>
      </w:r>
      <w:bookmarkEnd w:id="56"/>
      <w:bookmarkEnd w:id="57"/>
      <w:bookmarkEnd w:id="58"/>
      <w:bookmarkEnd w:id="59"/>
      <w:bookmarkEnd w:id="60"/>
      <w:bookmarkEnd w:id="61"/>
    </w:p>
    <w:p w14:paraId="1C0D00CB">
      <w:pPr>
        <w:numPr>
          <w:ilvl w:val="0"/>
          <w:numId w:val="3"/>
        </w:numPr>
        <w:spacing w:line="600" w:lineRule="exact"/>
        <w:ind w:left="0" w:leftChars="0" w:firstLine="643" w:firstLineChars="200"/>
        <w:rPr>
          <w:rFonts w:ascii="仿宋" w:hAnsi="仿宋" w:eastAsia="仿宋"/>
          <w:b/>
          <w:sz w:val="32"/>
          <w:szCs w:val="32"/>
        </w:rPr>
      </w:pPr>
      <w:r>
        <w:rPr>
          <w:rStyle w:val="21"/>
          <w:rFonts w:hint="eastAsia" w:ascii="仿宋" w:hAnsi="仿宋" w:eastAsia="仿宋"/>
          <w:bCs/>
          <w:sz w:val="32"/>
          <w:szCs w:val="32"/>
        </w:rPr>
        <w:t>科学技术（类）科学技术普及（款）机构运行（项）</w:t>
      </w:r>
      <w:r>
        <w:rPr>
          <w:rStyle w:val="21"/>
          <w:rFonts w:hint="eastAsia" w:ascii="仿宋" w:hAnsi="仿宋" w:eastAsia="仿宋"/>
          <w:bCs/>
          <w:sz w:val="32"/>
          <w:szCs w:val="32"/>
          <w:lang w:eastAsia="zh-CN"/>
        </w:rPr>
        <w:t>：</w:t>
      </w:r>
      <w:r>
        <w:rPr>
          <w:rStyle w:val="21"/>
          <w:rFonts w:ascii="仿宋" w:hAnsi="仿宋" w:eastAsia="仿宋"/>
          <w:b w:val="0"/>
          <w:bCs/>
          <w:sz w:val="32"/>
          <w:szCs w:val="32"/>
        </w:rPr>
        <w:t xml:space="preserve"> </w:t>
      </w:r>
      <w:r>
        <w:rPr>
          <w:rStyle w:val="21"/>
          <w:rFonts w:hint="eastAsia" w:ascii="仿宋" w:hAnsi="仿宋" w:eastAsia="仿宋"/>
          <w:b w:val="0"/>
          <w:bCs/>
          <w:sz w:val="32"/>
          <w:szCs w:val="32"/>
        </w:rPr>
        <w:t>支出决算为</w:t>
      </w:r>
      <w:r>
        <w:rPr>
          <w:rStyle w:val="21"/>
          <w:rFonts w:hint="eastAsia" w:ascii="仿宋" w:hAnsi="仿宋" w:eastAsia="仿宋"/>
          <w:b w:val="0"/>
          <w:bCs/>
          <w:sz w:val="32"/>
          <w:szCs w:val="32"/>
          <w:lang w:val="en-US" w:eastAsia="zh-CN"/>
        </w:rPr>
        <w:t>99.67</w:t>
      </w:r>
      <w:r>
        <w:rPr>
          <w:rStyle w:val="21"/>
          <w:rFonts w:hint="eastAsia" w:ascii="仿宋" w:hAnsi="仿宋" w:eastAsia="仿宋"/>
          <w:b w:val="0"/>
          <w:bCs/>
          <w:sz w:val="32"/>
          <w:szCs w:val="32"/>
        </w:rPr>
        <w:t>万元，完成预算</w:t>
      </w:r>
      <w:r>
        <w:rPr>
          <w:rStyle w:val="21"/>
          <w:rFonts w:hint="eastAsia" w:ascii="仿宋" w:hAnsi="仿宋" w:eastAsia="仿宋"/>
          <w:b w:val="0"/>
          <w:bCs/>
          <w:sz w:val="32"/>
          <w:szCs w:val="32"/>
          <w:lang w:val="en-US" w:eastAsia="zh-CN"/>
        </w:rPr>
        <w:t>100</w:t>
      </w:r>
      <w:r>
        <w:rPr>
          <w:rStyle w:val="21"/>
          <w:rFonts w:ascii="仿宋" w:hAnsi="仿宋" w:eastAsia="仿宋"/>
          <w:b w:val="0"/>
          <w:bCs/>
          <w:sz w:val="32"/>
          <w:szCs w:val="32"/>
        </w:rPr>
        <w:t>%</w:t>
      </w:r>
      <w:r>
        <w:rPr>
          <w:rStyle w:val="21"/>
          <w:rFonts w:hint="eastAsia" w:ascii="仿宋" w:hAnsi="仿宋" w:eastAsia="仿宋"/>
          <w:b w:val="0"/>
          <w:bCs/>
          <w:sz w:val="32"/>
          <w:szCs w:val="32"/>
        </w:rPr>
        <w:t>，决算数</w:t>
      </w:r>
      <w:r>
        <w:rPr>
          <w:rStyle w:val="21"/>
          <w:rFonts w:hint="eastAsia" w:ascii="仿宋" w:hAnsi="仿宋" w:eastAsia="仿宋"/>
          <w:b w:val="0"/>
          <w:bCs/>
          <w:sz w:val="32"/>
          <w:szCs w:val="32"/>
          <w:lang w:val="en-US" w:eastAsia="zh-CN"/>
        </w:rPr>
        <w:t>与</w:t>
      </w:r>
      <w:r>
        <w:rPr>
          <w:rStyle w:val="21"/>
          <w:rFonts w:hint="eastAsia" w:ascii="仿宋" w:hAnsi="仿宋" w:eastAsia="仿宋"/>
          <w:b w:val="0"/>
          <w:bCs/>
          <w:sz w:val="32"/>
          <w:szCs w:val="32"/>
        </w:rPr>
        <w:t>预算数</w:t>
      </w:r>
      <w:r>
        <w:rPr>
          <w:rStyle w:val="21"/>
          <w:rFonts w:hint="eastAsia" w:ascii="仿宋" w:hAnsi="仿宋" w:eastAsia="仿宋"/>
          <w:b w:val="0"/>
          <w:bCs/>
          <w:sz w:val="32"/>
          <w:szCs w:val="32"/>
          <w:lang w:val="en-US" w:eastAsia="zh-CN"/>
        </w:rPr>
        <w:t>持平</w:t>
      </w:r>
      <w:r>
        <w:rPr>
          <w:rStyle w:val="21"/>
          <w:rFonts w:hint="eastAsia" w:ascii="仿宋" w:hAnsi="仿宋" w:eastAsia="仿宋"/>
          <w:b w:val="0"/>
          <w:bCs/>
          <w:sz w:val="32"/>
          <w:szCs w:val="32"/>
        </w:rPr>
        <w:t>。</w:t>
      </w:r>
    </w:p>
    <w:p w14:paraId="7AFA97F2">
      <w:pPr>
        <w:numPr>
          <w:ilvl w:val="0"/>
          <w:numId w:val="3"/>
        </w:numPr>
        <w:spacing w:line="600" w:lineRule="exact"/>
        <w:ind w:left="0" w:leftChars="0" w:firstLine="643" w:firstLineChars="200"/>
        <w:rPr>
          <w:rFonts w:ascii="仿宋" w:hAnsi="仿宋" w:eastAsia="仿宋"/>
          <w:b/>
          <w:sz w:val="32"/>
          <w:szCs w:val="32"/>
        </w:rPr>
      </w:pPr>
      <w:r>
        <w:rPr>
          <w:rStyle w:val="21"/>
          <w:rFonts w:hint="eastAsia" w:ascii="仿宋" w:hAnsi="仿宋" w:eastAsia="仿宋"/>
          <w:bCs/>
          <w:sz w:val="32"/>
          <w:szCs w:val="32"/>
        </w:rPr>
        <w:t>科学技术（类）科学技术普及（款）科普活动（项）</w:t>
      </w:r>
      <w:r>
        <w:rPr>
          <w:rStyle w:val="21"/>
          <w:rFonts w:hint="eastAsia" w:ascii="仿宋" w:hAnsi="仿宋" w:eastAsia="仿宋"/>
          <w:bCs/>
          <w:sz w:val="32"/>
          <w:szCs w:val="32"/>
          <w:lang w:eastAsia="zh-CN"/>
        </w:rPr>
        <w:t>：</w:t>
      </w:r>
      <w:r>
        <w:rPr>
          <w:rStyle w:val="21"/>
          <w:rFonts w:ascii="仿宋" w:hAnsi="仿宋" w:eastAsia="仿宋"/>
          <w:b w:val="0"/>
          <w:bCs/>
          <w:sz w:val="32"/>
          <w:szCs w:val="32"/>
        </w:rPr>
        <w:t xml:space="preserve"> </w:t>
      </w:r>
      <w:r>
        <w:rPr>
          <w:rStyle w:val="21"/>
          <w:rFonts w:hint="eastAsia" w:ascii="仿宋" w:hAnsi="仿宋" w:eastAsia="仿宋"/>
          <w:b w:val="0"/>
          <w:bCs/>
          <w:sz w:val="32"/>
          <w:szCs w:val="32"/>
        </w:rPr>
        <w:t>支出决算为</w:t>
      </w:r>
      <w:r>
        <w:rPr>
          <w:rStyle w:val="21"/>
          <w:rFonts w:hint="eastAsia" w:ascii="仿宋" w:hAnsi="仿宋" w:eastAsia="仿宋"/>
          <w:b w:val="0"/>
          <w:bCs/>
          <w:sz w:val="32"/>
          <w:szCs w:val="32"/>
          <w:lang w:val="en-US" w:eastAsia="zh-CN"/>
        </w:rPr>
        <w:t>14.99</w:t>
      </w:r>
      <w:r>
        <w:rPr>
          <w:rStyle w:val="21"/>
          <w:rFonts w:hint="eastAsia" w:ascii="仿宋" w:hAnsi="仿宋" w:eastAsia="仿宋"/>
          <w:b w:val="0"/>
          <w:bCs/>
          <w:sz w:val="32"/>
          <w:szCs w:val="32"/>
        </w:rPr>
        <w:t>万元，完成预算</w:t>
      </w:r>
      <w:r>
        <w:rPr>
          <w:rStyle w:val="21"/>
          <w:rFonts w:hint="eastAsia" w:ascii="仿宋" w:hAnsi="仿宋" w:eastAsia="仿宋"/>
          <w:b w:val="0"/>
          <w:bCs/>
          <w:sz w:val="32"/>
          <w:szCs w:val="32"/>
          <w:lang w:val="en-US" w:eastAsia="zh-CN"/>
        </w:rPr>
        <w:t>100</w:t>
      </w:r>
      <w:r>
        <w:rPr>
          <w:rStyle w:val="21"/>
          <w:rFonts w:ascii="仿宋" w:hAnsi="仿宋" w:eastAsia="仿宋"/>
          <w:b w:val="0"/>
          <w:bCs/>
          <w:sz w:val="32"/>
          <w:szCs w:val="32"/>
        </w:rPr>
        <w:t>%</w:t>
      </w:r>
      <w:r>
        <w:rPr>
          <w:rStyle w:val="21"/>
          <w:rFonts w:hint="eastAsia" w:ascii="仿宋" w:hAnsi="仿宋" w:eastAsia="仿宋"/>
          <w:b w:val="0"/>
          <w:bCs/>
          <w:sz w:val="32"/>
          <w:szCs w:val="32"/>
        </w:rPr>
        <w:t>，决算数</w:t>
      </w:r>
      <w:r>
        <w:rPr>
          <w:rStyle w:val="21"/>
          <w:rFonts w:hint="eastAsia" w:ascii="仿宋" w:hAnsi="仿宋" w:eastAsia="仿宋"/>
          <w:b w:val="0"/>
          <w:bCs/>
          <w:sz w:val="32"/>
          <w:szCs w:val="32"/>
          <w:lang w:val="en-US" w:eastAsia="zh-CN"/>
        </w:rPr>
        <w:t>与</w:t>
      </w:r>
      <w:r>
        <w:rPr>
          <w:rStyle w:val="21"/>
          <w:rFonts w:hint="eastAsia" w:ascii="仿宋" w:hAnsi="仿宋" w:eastAsia="仿宋"/>
          <w:b w:val="0"/>
          <w:bCs/>
          <w:sz w:val="32"/>
          <w:szCs w:val="32"/>
        </w:rPr>
        <w:t>预算数</w:t>
      </w:r>
      <w:r>
        <w:rPr>
          <w:rStyle w:val="21"/>
          <w:rFonts w:hint="eastAsia" w:ascii="仿宋" w:hAnsi="仿宋" w:eastAsia="仿宋"/>
          <w:b w:val="0"/>
          <w:bCs/>
          <w:sz w:val="32"/>
          <w:szCs w:val="32"/>
          <w:lang w:val="en-US" w:eastAsia="zh-CN"/>
        </w:rPr>
        <w:t>持平</w:t>
      </w:r>
      <w:r>
        <w:rPr>
          <w:rStyle w:val="21"/>
          <w:rFonts w:hint="eastAsia" w:ascii="仿宋" w:hAnsi="仿宋" w:eastAsia="仿宋"/>
          <w:b w:val="0"/>
          <w:bCs/>
          <w:sz w:val="32"/>
          <w:szCs w:val="32"/>
        </w:rPr>
        <w:t>。</w:t>
      </w:r>
    </w:p>
    <w:p w14:paraId="6D5BA7FD">
      <w:pPr>
        <w:numPr>
          <w:ilvl w:val="0"/>
          <w:numId w:val="3"/>
        </w:numPr>
        <w:spacing w:line="600" w:lineRule="exact"/>
        <w:ind w:left="0" w:leftChars="0" w:firstLine="643" w:firstLineChars="200"/>
        <w:rPr>
          <w:rFonts w:ascii="仿宋" w:hAnsi="仿宋" w:eastAsia="仿宋"/>
          <w:b/>
          <w:sz w:val="32"/>
          <w:szCs w:val="32"/>
        </w:rPr>
      </w:pPr>
      <w:r>
        <w:rPr>
          <w:rStyle w:val="21"/>
          <w:rFonts w:hint="eastAsia" w:ascii="仿宋" w:hAnsi="仿宋" w:eastAsia="仿宋"/>
          <w:bCs/>
          <w:sz w:val="32"/>
          <w:szCs w:val="32"/>
        </w:rPr>
        <w:t>科学技术（类）科学技术普及（款）其他科学技术普及支出（项）</w:t>
      </w:r>
      <w:r>
        <w:rPr>
          <w:rStyle w:val="21"/>
          <w:rFonts w:hint="eastAsia" w:ascii="仿宋" w:hAnsi="仿宋" w:eastAsia="仿宋"/>
          <w:bCs/>
          <w:sz w:val="32"/>
          <w:szCs w:val="32"/>
          <w:lang w:eastAsia="zh-CN"/>
        </w:rPr>
        <w:t>：</w:t>
      </w:r>
      <w:r>
        <w:rPr>
          <w:rStyle w:val="21"/>
          <w:rFonts w:ascii="仿宋" w:hAnsi="仿宋" w:eastAsia="仿宋"/>
          <w:b w:val="0"/>
          <w:bCs/>
          <w:sz w:val="32"/>
          <w:szCs w:val="32"/>
        </w:rPr>
        <w:t xml:space="preserve"> </w:t>
      </w:r>
      <w:r>
        <w:rPr>
          <w:rStyle w:val="21"/>
          <w:rFonts w:hint="eastAsia" w:ascii="仿宋" w:hAnsi="仿宋" w:eastAsia="仿宋"/>
          <w:b w:val="0"/>
          <w:bCs/>
          <w:sz w:val="32"/>
          <w:szCs w:val="32"/>
        </w:rPr>
        <w:t>支出决算为</w:t>
      </w:r>
      <w:r>
        <w:rPr>
          <w:rStyle w:val="21"/>
          <w:rFonts w:hint="eastAsia" w:ascii="仿宋" w:hAnsi="仿宋" w:eastAsia="仿宋"/>
          <w:b w:val="0"/>
          <w:bCs/>
          <w:sz w:val="32"/>
          <w:szCs w:val="32"/>
          <w:lang w:val="en-US" w:eastAsia="zh-CN"/>
        </w:rPr>
        <w:t>34.9</w:t>
      </w:r>
      <w:r>
        <w:rPr>
          <w:rStyle w:val="21"/>
          <w:rFonts w:hint="eastAsia" w:ascii="仿宋" w:hAnsi="仿宋" w:eastAsia="仿宋"/>
          <w:b w:val="0"/>
          <w:bCs/>
          <w:sz w:val="32"/>
          <w:szCs w:val="32"/>
        </w:rPr>
        <w:t>万元，完成预算</w:t>
      </w:r>
      <w:r>
        <w:rPr>
          <w:rStyle w:val="21"/>
          <w:rFonts w:hint="eastAsia" w:ascii="仿宋" w:hAnsi="仿宋" w:eastAsia="仿宋"/>
          <w:b w:val="0"/>
          <w:bCs/>
          <w:sz w:val="32"/>
          <w:szCs w:val="32"/>
          <w:lang w:val="en-US" w:eastAsia="zh-CN"/>
        </w:rPr>
        <w:t>100</w:t>
      </w:r>
      <w:r>
        <w:rPr>
          <w:rStyle w:val="21"/>
          <w:rFonts w:ascii="仿宋" w:hAnsi="仿宋" w:eastAsia="仿宋"/>
          <w:b w:val="0"/>
          <w:bCs/>
          <w:sz w:val="32"/>
          <w:szCs w:val="32"/>
        </w:rPr>
        <w:t>%</w:t>
      </w:r>
      <w:r>
        <w:rPr>
          <w:rStyle w:val="21"/>
          <w:rFonts w:hint="eastAsia" w:ascii="仿宋" w:hAnsi="仿宋" w:eastAsia="仿宋"/>
          <w:b w:val="0"/>
          <w:bCs/>
          <w:sz w:val="32"/>
          <w:szCs w:val="32"/>
        </w:rPr>
        <w:t>，决算数</w:t>
      </w:r>
      <w:r>
        <w:rPr>
          <w:rStyle w:val="21"/>
          <w:rFonts w:hint="eastAsia" w:ascii="仿宋" w:hAnsi="仿宋" w:eastAsia="仿宋"/>
          <w:b w:val="0"/>
          <w:bCs/>
          <w:sz w:val="32"/>
          <w:szCs w:val="32"/>
          <w:lang w:val="en-US" w:eastAsia="zh-CN"/>
        </w:rPr>
        <w:t>与</w:t>
      </w:r>
      <w:r>
        <w:rPr>
          <w:rStyle w:val="21"/>
          <w:rFonts w:hint="eastAsia" w:ascii="仿宋" w:hAnsi="仿宋" w:eastAsia="仿宋"/>
          <w:b w:val="0"/>
          <w:bCs/>
          <w:sz w:val="32"/>
          <w:szCs w:val="32"/>
        </w:rPr>
        <w:t>预算数</w:t>
      </w:r>
      <w:r>
        <w:rPr>
          <w:rStyle w:val="21"/>
          <w:rFonts w:hint="eastAsia" w:ascii="仿宋" w:hAnsi="仿宋" w:eastAsia="仿宋"/>
          <w:b w:val="0"/>
          <w:bCs/>
          <w:sz w:val="32"/>
          <w:szCs w:val="32"/>
          <w:lang w:val="en-US" w:eastAsia="zh-CN"/>
        </w:rPr>
        <w:t>持平</w:t>
      </w:r>
      <w:r>
        <w:rPr>
          <w:rStyle w:val="21"/>
          <w:rFonts w:hint="eastAsia" w:ascii="仿宋" w:hAnsi="仿宋" w:eastAsia="仿宋"/>
          <w:b w:val="0"/>
          <w:bCs/>
          <w:sz w:val="32"/>
          <w:szCs w:val="32"/>
        </w:rPr>
        <w:t>。</w:t>
      </w:r>
    </w:p>
    <w:p w14:paraId="4CAB903B">
      <w:pPr>
        <w:numPr>
          <w:ilvl w:val="0"/>
          <w:numId w:val="3"/>
        </w:numPr>
        <w:spacing w:line="600" w:lineRule="exact"/>
        <w:ind w:left="0" w:leftChars="0" w:firstLine="643" w:firstLineChars="200"/>
        <w:rPr>
          <w:rFonts w:ascii="仿宋" w:hAnsi="仿宋" w:eastAsia="仿宋"/>
          <w:b/>
          <w:sz w:val="32"/>
          <w:szCs w:val="32"/>
        </w:rPr>
      </w:pPr>
      <w:r>
        <w:rPr>
          <w:rStyle w:val="21"/>
          <w:rFonts w:hint="eastAsia" w:ascii="仿宋" w:hAnsi="仿宋" w:eastAsia="仿宋"/>
          <w:bCs/>
          <w:sz w:val="32"/>
          <w:szCs w:val="32"/>
        </w:rPr>
        <w:t>社会保障和就业（类）行政事业单位养老支出（款）机关事业单位基本养老保险缴费支出（项）</w:t>
      </w:r>
      <w:r>
        <w:rPr>
          <w:rStyle w:val="21"/>
          <w:rFonts w:hint="eastAsia" w:ascii="仿宋" w:hAnsi="仿宋" w:eastAsia="仿宋"/>
          <w:bCs/>
          <w:sz w:val="32"/>
          <w:szCs w:val="32"/>
          <w:lang w:eastAsia="zh-CN"/>
        </w:rPr>
        <w:t>：</w:t>
      </w:r>
      <w:r>
        <w:rPr>
          <w:rStyle w:val="21"/>
          <w:rFonts w:ascii="仿宋" w:hAnsi="仿宋" w:eastAsia="仿宋"/>
          <w:b w:val="0"/>
          <w:bCs/>
          <w:sz w:val="32"/>
          <w:szCs w:val="32"/>
        </w:rPr>
        <w:t xml:space="preserve"> </w:t>
      </w:r>
      <w:r>
        <w:rPr>
          <w:rStyle w:val="21"/>
          <w:rFonts w:hint="eastAsia" w:ascii="仿宋" w:hAnsi="仿宋" w:eastAsia="仿宋"/>
          <w:b w:val="0"/>
          <w:bCs/>
          <w:sz w:val="32"/>
          <w:szCs w:val="32"/>
        </w:rPr>
        <w:t>支出决算为</w:t>
      </w:r>
      <w:r>
        <w:rPr>
          <w:rStyle w:val="21"/>
          <w:rFonts w:hint="eastAsia" w:ascii="仿宋" w:hAnsi="仿宋" w:eastAsia="仿宋"/>
          <w:b w:val="0"/>
          <w:bCs/>
          <w:sz w:val="32"/>
          <w:szCs w:val="32"/>
          <w:lang w:val="en-US" w:eastAsia="zh-CN"/>
        </w:rPr>
        <w:t>11.9</w:t>
      </w:r>
      <w:r>
        <w:rPr>
          <w:rStyle w:val="21"/>
          <w:rFonts w:hint="eastAsia" w:ascii="仿宋" w:hAnsi="仿宋" w:eastAsia="仿宋"/>
          <w:b w:val="0"/>
          <w:bCs/>
          <w:sz w:val="32"/>
          <w:szCs w:val="32"/>
        </w:rPr>
        <w:t>万元，完成预算</w:t>
      </w:r>
      <w:r>
        <w:rPr>
          <w:rStyle w:val="21"/>
          <w:rFonts w:hint="eastAsia" w:ascii="仿宋" w:hAnsi="仿宋" w:eastAsia="仿宋"/>
          <w:b w:val="0"/>
          <w:bCs/>
          <w:sz w:val="32"/>
          <w:szCs w:val="32"/>
          <w:lang w:val="en-US" w:eastAsia="zh-CN"/>
        </w:rPr>
        <w:t>100</w:t>
      </w:r>
      <w:r>
        <w:rPr>
          <w:rStyle w:val="21"/>
          <w:rFonts w:ascii="仿宋" w:hAnsi="仿宋" w:eastAsia="仿宋"/>
          <w:b w:val="0"/>
          <w:bCs/>
          <w:sz w:val="32"/>
          <w:szCs w:val="32"/>
        </w:rPr>
        <w:t>%</w:t>
      </w:r>
      <w:r>
        <w:rPr>
          <w:rStyle w:val="21"/>
          <w:rFonts w:hint="eastAsia" w:ascii="仿宋" w:hAnsi="仿宋" w:eastAsia="仿宋"/>
          <w:b w:val="0"/>
          <w:bCs/>
          <w:sz w:val="32"/>
          <w:szCs w:val="32"/>
        </w:rPr>
        <w:t>，决算数</w:t>
      </w:r>
      <w:r>
        <w:rPr>
          <w:rStyle w:val="21"/>
          <w:rFonts w:hint="eastAsia" w:ascii="仿宋" w:hAnsi="仿宋" w:eastAsia="仿宋"/>
          <w:b w:val="0"/>
          <w:bCs/>
          <w:sz w:val="32"/>
          <w:szCs w:val="32"/>
          <w:lang w:val="en-US" w:eastAsia="zh-CN"/>
        </w:rPr>
        <w:t>与</w:t>
      </w:r>
      <w:r>
        <w:rPr>
          <w:rStyle w:val="21"/>
          <w:rFonts w:hint="eastAsia" w:ascii="仿宋" w:hAnsi="仿宋" w:eastAsia="仿宋"/>
          <w:b w:val="0"/>
          <w:bCs/>
          <w:sz w:val="32"/>
          <w:szCs w:val="32"/>
        </w:rPr>
        <w:t>预算数</w:t>
      </w:r>
      <w:r>
        <w:rPr>
          <w:rStyle w:val="21"/>
          <w:rFonts w:hint="eastAsia" w:ascii="仿宋" w:hAnsi="仿宋" w:eastAsia="仿宋"/>
          <w:b w:val="0"/>
          <w:bCs/>
          <w:sz w:val="32"/>
          <w:szCs w:val="32"/>
          <w:lang w:val="en-US" w:eastAsia="zh-CN"/>
        </w:rPr>
        <w:t>持平</w:t>
      </w:r>
      <w:r>
        <w:rPr>
          <w:rStyle w:val="21"/>
          <w:rFonts w:hint="eastAsia" w:ascii="仿宋" w:hAnsi="仿宋" w:eastAsia="仿宋"/>
          <w:b w:val="0"/>
          <w:bCs/>
          <w:sz w:val="32"/>
          <w:szCs w:val="32"/>
        </w:rPr>
        <w:t>。</w:t>
      </w:r>
    </w:p>
    <w:p w14:paraId="4B468FB9">
      <w:pPr>
        <w:numPr>
          <w:ilvl w:val="0"/>
          <w:numId w:val="3"/>
        </w:numPr>
        <w:spacing w:line="600" w:lineRule="exact"/>
        <w:ind w:left="0" w:leftChars="0" w:firstLine="643" w:firstLineChars="200"/>
        <w:rPr>
          <w:rFonts w:ascii="仿宋" w:hAnsi="仿宋" w:eastAsia="仿宋"/>
          <w:b/>
          <w:sz w:val="32"/>
          <w:szCs w:val="32"/>
        </w:rPr>
      </w:pPr>
      <w:r>
        <w:rPr>
          <w:rStyle w:val="21"/>
          <w:rFonts w:hint="eastAsia" w:ascii="仿宋" w:hAnsi="仿宋" w:eastAsia="仿宋"/>
          <w:bCs/>
          <w:sz w:val="32"/>
          <w:szCs w:val="32"/>
        </w:rPr>
        <w:t>社会保障和就业（类）行政事业单位养老支出（款）机关事业单位职业年金缴费支出（项）</w:t>
      </w:r>
      <w:r>
        <w:rPr>
          <w:rStyle w:val="21"/>
          <w:rFonts w:hint="eastAsia" w:ascii="仿宋" w:hAnsi="仿宋" w:eastAsia="仿宋"/>
          <w:bCs/>
          <w:sz w:val="32"/>
          <w:szCs w:val="32"/>
          <w:lang w:eastAsia="zh-CN"/>
        </w:rPr>
        <w:t>：</w:t>
      </w:r>
      <w:r>
        <w:rPr>
          <w:rStyle w:val="21"/>
          <w:rFonts w:ascii="仿宋" w:hAnsi="仿宋" w:eastAsia="仿宋"/>
          <w:b w:val="0"/>
          <w:bCs/>
          <w:sz w:val="32"/>
          <w:szCs w:val="32"/>
        </w:rPr>
        <w:t xml:space="preserve"> </w:t>
      </w:r>
      <w:r>
        <w:rPr>
          <w:rStyle w:val="21"/>
          <w:rFonts w:hint="eastAsia" w:ascii="仿宋" w:hAnsi="仿宋" w:eastAsia="仿宋"/>
          <w:b w:val="0"/>
          <w:bCs/>
          <w:sz w:val="32"/>
          <w:szCs w:val="32"/>
        </w:rPr>
        <w:t>支出决算为</w:t>
      </w:r>
      <w:r>
        <w:rPr>
          <w:rStyle w:val="21"/>
          <w:rFonts w:hint="eastAsia" w:ascii="仿宋" w:hAnsi="仿宋" w:eastAsia="仿宋"/>
          <w:b w:val="0"/>
          <w:bCs/>
          <w:sz w:val="32"/>
          <w:szCs w:val="32"/>
          <w:lang w:val="en-US" w:eastAsia="zh-CN"/>
        </w:rPr>
        <w:t>5.85</w:t>
      </w:r>
      <w:r>
        <w:rPr>
          <w:rStyle w:val="21"/>
          <w:rFonts w:hint="eastAsia" w:ascii="仿宋" w:hAnsi="仿宋" w:eastAsia="仿宋"/>
          <w:b w:val="0"/>
          <w:bCs/>
          <w:sz w:val="32"/>
          <w:szCs w:val="32"/>
        </w:rPr>
        <w:t>万元，完成预算</w:t>
      </w:r>
      <w:r>
        <w:rPr>
          <w:rStyle w:val="21"/>
          <w:rFonts w:hint="eastAsia" w:ascii="仿宋" w:hAnsi="仿宋" w:eastAsia="仿宋"/>
          <w:b w:val="0"/>
          <w:bCs/>
          <w:sz w:val="32"/>
          <w:szCs w:val="32"/>
          <w:lang w:val="en-US" w:eastAsia="zh-CN"/>
        </w:rPr>
        <w:t>100</w:t>
      </w:r>
      <w:r>
        <w:rPr>
          <w:rStyle w:val="21"/>
          <w:rFonts w:ascii="仿宋" w:hAnsi="仿宋" w:eastAsia="仿宋"/>
          <w:b w:val="0"/>
          <w:bCs/>
          <w:sz w:val="32"/>
          <w:szCs w:val="32"/>
        </w:rPr>
        <w:t>%</w:t>
      </w:r>
      <w:r>
        <w:rPr>
          <w:rStyle w:val="21"/>
          <w:rFonts w:hint="eastAsia" w:ascii="仿宋" w:hAnsi="仿宋" w:eastAsia="仿宋"/>
          <w:b w:val="0"/>
          <w:bCs/>
          <w:sz w:val="32"/>
          <w:szCs w:val="32"/>
        </w:rPr>
        <w:t>，决算数</w:t>
      </w:r>
      <w:r>
        <w:rPr>
          <w:rStyle w:val="21"/>
          <w:rFonts w:hint="eastAsia" w:ascii="仿宋" w:hAnsi="仿宋" w:eastAsia="仿宋"/>
          <w:b w:val="0"/>
          <w:bCs/>
          <w:sz w:val="32"/>
          <w:szCs w:val="32"/>
          <w:lang w:val="en-US" w:eastAsia="zh-CN"/>
        </w:rPr>
        <w:t>与</w:t>
      </w:r>
      <w:r>
        <w:rPr>
          <w:rStyle w:val="21"/>
          <w:rFonts w:hint="eastAsia" w:ascii="仿宋" w:hAnsi="仿宋" w:eastAsia="仿宋"/>
          <w:b w:val="0"/>
          <w:bCs/>
          <w:sz w:val="32"/>
          <w:szCs w:val="32"/>
        </w:rPr>
        <w:t>预算数</w:t>
      </w:r>
      <w:r>
        <w:rPr>
          <w:rStyle w:val="21"/>
          <w:rFonts w:hint="eastAsia" w:ascii="仿宋" w:hAnsi="仿宋" w:eastAsia="仿宋"/>
          <w:b w:val="0"/>
          <w:bCs/>
          <w:sz w:val="32"/>
          <w:szCs w:val="32"/>
          <w:lang w:val="en-US" w:eastAsia="zh-CN"/>
        </w:rPr>
        <w:t>持平</w:t>
      </w:r>
      <w:r>
        <w:rPr>
          <w:rStyle w:val="21"/>
          <w:rFonts w:hint="eastAsia" w:ascii="仿宋" w:hAnsi="仿宋" w:eastAsia="仿宋"/>
          <w:b w:val="0"/>
          <w:bCs/>
          <w:sz w:val="32"/>
          <w:szCs w:val="32"/>
        </w:rPr>
        <w:t>。</w:t>
      </w:r>
    </w:p>
    <w:p w14:paraId="7A8C525D">
      <w:pPr>
        <w:numPr>
          <w:ilvl w:val="0"/>
          <w:numId w:val="3"/>
        </w:numPr>
        <w:spacing w:line="600" w:lineRule="exact"/>
        <w:ind w:left="0" w:leftChars="0" w:firstLine="643" w:firstLineChars="200"/>
        <w:rPr>
          <w:rFonts w:ascii="仿宋" w:hAnsi="仿宋" w:eastAsia="仿宋"/>
          <w:b/>
          <w:sz w:val="32"/>
          <w:szCs w:val="32"/>
        </w:rPr>
      </w:pPr>
      <w:r>
        <w:rPr>
          <w:rStyle w:val="21"/>
          <w:rFonts w:hint="eastAsia" w:ascii="仿宋" w:hAnsi="仿宋" w:eastAsia="仿宋"/>
          <w:bCs/>
          <w:sz w:val="32"/>
          <w:szCs w:val="32"/>
        </w:rPr>
        <w:t>社会保障和就业（类）其他社会保障和就业支出（款）其他社会保障和就业支出（项）</w:t>
      </w:r>
      <w:r>
        <w:rPr>
          <w:rStyle w:val="21"/>
          <w:rFonts w:hint="eastAsia" w:ascii="仿宋" w:hAnsi="仿宋" w:eastAsia="仿宋"/>
          <w:bCs/>
          <w:sz w:val="32"/>
          <w:szCs w:val="32"/>
          <w:lang w:eastAsia="zh-CN"/>
        </w:rPr>
        <w:t>：</w:t>
      </w:r>
      <w:r>
        <w:rPr>
          <w:rStyle w:val="21"/>
          <w:rFonts w:ascii="仿宋" w:hAnsi="仿宋" w:eastAsia="仿宋"/>
          <w:b w:val="0"/>
          <w:bCs/>
          <w:sz w:val="32"/>
          <w:szCs w:val="32"/>
        </w:rPr>
        <w:t xml:space="preserve"> </w:t>
      </w:r>
      <w:r>
        <w:rPr>
          <w:rStyle w:val="21"/>
          <w:rFonts w:hint="eastAsia" w:ascii="仿宋" w:hAnsi="仿宋" w:eastAsia="仿宋"/>
          <w:b w:val="0"/>
          <w:bCs/>
          <w:sz w:val="32"/>
          <w:szCs w:val="32"/>
        </w:rPr>
        <w:t>支出决算为</w:t>
      </w:r>
      <w:r>
        <w:rPr>
          <w:rStyle w:val="21"/>
          <w:rFonts w:hint="eastAsia" w:ascii="仿宋" w:hAnsi="仿宋" w:eastAsia="仿宋"/>
          <w:b w:val="0"/>
          <w:bCs/>
          <w:sz w:val="32"/>
          <w:szCs w:val="32"/>
          <w:lang w:val="en-US" w:eastAsia="zh-CN"/>
        </w:rPr>
        <w:t>1.15</w:t>
      </w:r>
      <w:r>
        <w:rPr>
          <w:rStyle w:val="21"/>
          <w:rFonts w:hint="eastAsia" w:ascii="仿宋" w:hAnsi="仿宋" w:eastAsia="仿宋"/>
          <w:b w:val="0"/>
          <w:bCs/>
          <w:sz w:val="32"/>
          <w:szCs w:val="32"/>
        </w:rPr>
        <w:t>万元，完成预算</w:t>
      </w:r>
      <w:r>
        <w:rPr>
          <w:rStyle w:val="21"/>
          <w:rFonts w:hint="eastAsia" w:ascii="仿宋" w:hAnsi="仿宋" w:eastAsia="仿宋"/>
          <w:b w:val="0"/>
          <w:bCs/>
          <w:sz w:val="32"/>
          <w:szCs w:val="32"/>
          <w:lang w:val="en-US" w:eastAsia="zh-CN"/>
        </w:rPr>
        <w:t>100</w:t>
      </w:r>
      <w:r>
        <w:rPr>
          <w:rStyle w:val="21"/>
          <w:rFonts w:ascii="仿宋" w:hAnsi="仿宋" w:eastAsia="仿宋"/>
          <w:b w:val="0"/>
          <w:bCs/>
          <w:sz w:val="32"/>
          <w:szCs w:val="32"/>
        </w:rPr>
        <w:t>%</w:t>
      </w:r>
      <w:r>
        <w:rPr>
          <w:rStyle w:val="21"/>
          <w:rFonts w:hint="eastAsia" w:ascii="仿宋" w:hAnsi="仿宋" w:eastAsia="仿宋"/>
          <w:b w:val="0"/>
          <w:bCs/>
          <w:sz w:val="32"/>
          <w:szCs w:val="32"/>
        </w:rPr>
        <w:t>，决算数</w:t>
      </w:r>
      <w:r>
        <w:rPr>
          <w:rStyle w:val="21"/>
          <w:rFonts w:hint="eastAsia" w:ascii="仿宋" w:hAnsi="仿宋" w:eastAsia="仿宋"/>
          <w:b w:val="0"/>
          <w:bCs/>
          <w:sz w:val="32"/>
          <w:szCs w:val="32"/>
          <w:lang w:val="en-US" w:eastAsia="zh-CN"/>
        </w:rPr>
        <w:t>与</w:t>
      </w:r>
      <w:r>
        <w:rPr>
          <w:rStyle w:val="21"/>
          <w:rFonts w:hint="eastAsia" w:ascii="仿宋" w:hAnsi="仿宋" w:eastAsia="仿宋"/>
          <w:b w:val="0"/>
          <w:bCs/>
          <w:sz w:val="32"/>
          <w:szCs w:val="32"/>
        </w:rPr>
        <w:t>预算数</w:t>
      </w:r>
      <w:r>
        <w:rPr>
          <w:rStyle w:val="21"/>
          <w:rFonts w:hint="eastAsia" w:ascii="仿宋" w:hAnsi="仿宋" w:eastAsia="仿宋"/>
          <w:b w:val="0"/>
          <w:bCs/>
          <w:sz w:val="32"/>
          <w:szCs w:val="32"/>
          <w:lang w:val="en-US" w:eastAsia="zh-CN"/>
        </w:rPr>
        <w:t>持平</w:t>
      </w:r>
      <w:r>
        <w:rPr>
          <w:rStyle w:val="21"/>
          <w:rFonts w:hint="eastAsia" w:ascii="仿宋" w:hAnsi="仿宋" w:eastAsia="仿宋"/>
          <w:b w:val="0"/>
          <w:bCs/>
          <w:sz w:val="32"/>
          <w:szCs w:val="32"/>
        </w:rPr>
        <w:t>。</w:t>
      </w:r>
    </w:p>
    <w:p w14:paraId="78398A86">
      <w:pPr>
        <w:numPr>
          <w:ilvl w:val="0"/>
          <w:numId w:val="3"/>
        </w:numPr>
        <w:spacing w:line="600" w:lineRule="exact"/>
        <w:ind w:left="0" w:leftChars="0" w:firstLine="643" w:firstLineChars="200"/>
        <w:rPr>
          <w:rFonts w:ascii="仿宋" w:hAnsi="仿宋" w:eastAsia="仿宋"/>
          <w:b/>
          <w:sz w:val="32"/>
          <w:szCs w:val="32"/>
        </w:rPr>
      </w:pPr>
      <w:r>
        <w:rPr>
          <w:rFonts w:hint="eastAsia" w:ascii="仿宋" w:hAnsi="仿宋" w:eastAsia="仿宋"/>
          <w:b/>
          <w:bCs/>
          <w:sz w:val="32"/>
          <w:szCs w:val="32"/>
        </w:rPr>
        <w:t>卫生健康</w:t>
      </w:r>
      <w:r>
        <w:rPr>
          <w:rStyle w:val="21"/>
          <w:rFonts w:hint="eastAsia" w:ascii="仿宋" w:hAnsi="仿宋" w:eastAsia="仿宋"/>
          <w:bCs/>
          <w:sz w:val="32"/>
          <w:szCs w:val="32"/>
        </w:rPr>
        <w:t>（类）行政事业单位医疗（款）行政单位医疗（项）</w:t>
      </w:r>
      <w:r>
        <w:rPr>
          <w:rStyle w:val="21"/>
          <w:rFonts w:hint="eastAsia" w:ascii="仿宋" w:hAnsi="仿宋" w:eastAsia="仿宋"/>
          <w:bCs/>
          <w:sz w:val="32"/>
          <w:szCs w:val="32"/>
          <w:lang w:eastAsia="zh-CN"/>
        </w:rPr>
        <w:t>：</w:t>
      </w:r>
      <w:r>
        <w:rPr>
          <w:rStyle w:val="21"/>
          <w:rFonts w:hint="eastAsia" w:ascii="仿宋" w:hAnsi="仿宋" w:eastAsia="仿宋"/>
          <w:b w:val="0"/>
          <w:bCs/>
          <w:sz w:val="32"/>
          <w:szCs w:val="32"/>
        </w:rPr>
        <w:t>支出决算为</w:t>
      </w:r>
      <w:r>
        <w:rPr>
          <w:rStyle w:val="21"/>
          <w:rFonts w:hint="eastAsia" w:ascii="仿宋" w:hAnsi="仿宋" w:eastAsia="仿宋"/>
          <w:b w:val="0"/>
          <w:bCs/>
          <w:sz w:val="32"/>
          <w:szCs w:val="32"/>
          <w:lang w:val="en-US" w:eastAsia="zh-CN"/>
        </w:rPr>
        <w:t>3.93</w:t>
      </w:r>
      <w:r>
        <w:rPr>
          <w:rStyle w:val="21"/>
          <w:rFonts w:hint="eastAsia" w:ascii="仿宋" w:hAnsi="仿宋" w:eastAsia="仿宋"/>
          <w:b w:val="0"/>
          <w:bCs/>
          <w:sz w:val="32"/>
          <w:szCs w:val="32"/>
        </w:rPr>
        <w:t>万元，完成预算</w:t>
      </w:r>
      <w:r>
        <w:rPr>
          <w:rStyle w:val="21"/>
          <w:rFonts w:hint="eastAsia" w:ascii="仿宋" w:hAnsi="仿宋" w:eastAsia="仿宋"/>
          <w:b w:val="0"/>
          <w:bCs/>
          <w:sz w:val="32"/>
          <w:szCs w:val="32"/>
          <w:lang w:val="en-US" w:eastAsia="zh-CN"/>
        </w:rPr>
        <w:t>100</w:t>
      </w:r>
      <w:r>
        <w:rPr>
          <w:rStyle w:val="21"/>
          <w:rFonts w:ascii="仿宋" w:hAnsi="仿宋" w:eastAsia="仿宋"/>
          <w:b w:val="0"/>
          <w:bCs/>
          <w:sz w:val="32"/>
          <w:szCs w:val="32"/>
        </w:rPr>
        <w:t>%</w:t>
      </w:r>
      <w:r>
        <w:rPr>
          <w:rStyle w:val="21"/>
          <w:rFonts w:hint="eastAsia" w:ascii="仿宋" w:hAnsi="仿宋" w:eastAsia="仿宋"/>
          <w:b w:val="0"/>
          <w:bCs/>
          <w:sz w:val="32"/>
          <w:szCs w:val="32"/>
        </w:rPr>
        <w:t>，决算数</w:t>
      </w:r>
      <w:r>
        <w:rPr>
          <w:rStyle w:val="21"/>
          <w:rFonts w:hint="eastAsia" w:ascii="仿宋" w:hAnsi="仿宋" w:eastAsia="仿宋"/>
          <w:b w:val="0"/>
          <w:bCs/>
          <w:sz w:val="32"/>
          <w:szCs w:val="32"/>
          <w:lang w:val="en-US" w:eastAsia="zh-CN"/>
        </w:rPr>
        <w:t>与</w:t>
      </w:r>
      <w:r>
        <w:rPr>
          <w:rStyle w:val="21"/>
          <w:rFonts w:hint="eastAsia" w:ascii="仿宋" w:hAnsi="仿宋" w:eastAsia="仿宋"/>
          <w:b w:val="0"/>
          <w:bCs/>
          <w:sz w:val="32"/>
          <w:szCs w:val="32"/>
        </w:rPr>
        <w:t>预算数</w:t>
      </w:r>
      <w:r>
        <w:rPr>
          <w:rStyle w:val="21"/>
          <w:rFonts w:hint="eastAsia" w:ascii="仿宋" w:hAnsi="仿宋" w:eastAsia="仿宋"/>
          <w:b w:val="0"/>
          <w:bCs/>
          <w:sz w:val="32"/>
          <w:szCs w:val="32"/>
          <w:lang w:val="en-US" w:eastAsia="zh-CN"/>
        </w:rPr>
        <w:t>持平</w:t>
      </w:r>
      <w:r>
        <w:rPr>
          <w:rStyle w:val="21"/>
          <w:rFonts w:hint="eastAsia" w:ascii="仿宋" w:hAnsi="仿宋" w:eastAsia="仿宋"/>
          <w:b w:val="0"/>
          <w:bCs/>
          <w:sz w:val="32"/>
          <w:szCs w:val="32"/>
        </w:rPr>
        <w:t>。</w:t>
      </w:r>
    </w:p>
    <w:p w14:paraId="32C18E9C">
      <w:pPr>
        <w:numPr>
          <w:ilvl w:val="0"/>
          <w:numId w:val="3"/>
        </w:numPr>
        <w:spacing w:line="600" w:lineRule="exact"/>
        <w:ind w:left="0" w:leftChars="0" w:firstLine="643" w:firstLineChars="200"/>
        <w:rPr>
          <w:rFonts w:ascii="仿宋" w:hAnsi="仿宋" w:eastAsia="仿宋"/>
          <w:b/>
          <w:sz w:val="32"/>
          <w:szCs w:val="32"/>
        </w:rPr>
      </w:pPr>
      <w:r>
        <w:rPr>
          <w:rFonts w:hint="eastAsia" w:ascii="仿宋" w:hAnsi="仿宋" w:eastAsia="仿宋"/>
          <w:b/>
          <w:bCs/>
          <w:sz w:val="32"/>
          <w:szCs w:val="32"/>
        </w:rPr>
        <w:t>卫生健康</w:t>
      </w:r>
      <w:r>
        <w:rPr>
          <w:rStyle w:val="21"/>
          <w:rFonts w:hint="eastAsia" w:ascii="仿宋" w:hAnsi="仿宋" w:eastAsia="仿宋"/>
          <w:bCs/>
          <w:sz w:val="32"/>
          <w:szCs w:val="32"/>
        </w:rPr>
        <w:t>（类）行政事业单位医疗（款）公务员医疗补助（项）</w:t>
      </w:r>
      <w:r>
        <w:rPr>
          <w:rStyle w:val="21"/>
          <w:rFonts w:hint="eastAsia" w:ascii="仿宋" w:hAnsi="仿宋" w:eastAsia="仿宋"/>
          <w:bCs/>
          <w:sz w:val="32"/>
          <w:szCs w:val="32"/>
          <w:lang w:eastAsia="zh-CN"/>
        </w:rPr>
        <w:t>：</w:t>
      </w:r>
      <w:r>
        <w:rPr>
          <w:rStyle w:val="21"/>
          <w:rFonts w:hint="eastAsia" w:ascii="仿宋" w:hAnsi="仿宋" w:eastAsia="仿宋"/>
          <w:b w:val="0"/>
          <w:bCs/>
          <w:sz w:val="32"/>
          <w:szCs w:val="32"/>
        </w:rPr>
        <w:t>支出决算为</w:t>
      </w:r>
      <w:r>
        <w:rPr>
          <w:rStyle w:val="21"/>
          <w:rFonts w:hint="eastAsia" w:ascii="仿宋" w:hAnsi="仿宋" w:eastAsia="仿宋"/>
          <w:b w:val="0"/>
          <w:bCs/>
          <w:sz w:val="32"/>
          <w:szCs w:val="32"/>
          <w:lang w:val="en-US" w:eastAsia="zh-CN"/>
        </w:rPr>
        <w:t>0.3</w:t>
      </w:r>
      <w:r>
        <w:rPr>
          <w:rStyle w:val="21"/>
          <w:rFonts w:hint="eastAsia" w:ascii="仿宋" w:hAnsi="仿宋" w:eastAsia="仿宋"/>
          <w:b w:val="0"/>
          <w:bCs/>
          <w:sz w:val="32"/>
          <w:szCs w:val="32"/>
        </w:rPr>
        <w:t>万元，完成预算</w:t>
      </w:r>
      <w:r>
        <w:rPr>
          <w:rStyle w:val="21"/>
          <w:rFonts w:hint="eastAsia" w:ascii="仿宋" w:hAnsi="仿宋" w:eastAsia="仿宋"/>
          <w:b w:val="0"/>
          <w:bCs/>
          <w:sz w:val="32"/>
          <w:szCs w:val="32"/>
          <w:lang w:val="en-US" w:eastAsia="zh-CN"/>
        </w:rPr>
        <w:t>100</w:t>
      </w:r>
      <w:r>
        <w:rPr>
          <w:rStyle w:val="21"/>
          <w:rFonts w:ascii="仿宋" w:hAnsi="仿宋" w:eastAsia="仿宋"/>
          <w:b w:val="0"/>
          <w:bCs/>
          <w:sz w:val="32"/>
          <w:szCs w:val="32"/>
        </w:rPr>
        <w:t>%</w:t>
      </w:r>
      <w:r>
        <w:rPr>
          <w:rStyle w:val="21"/>
          <w:rFonts w:hint="eastAsia" w:ascii="仿宋" w:hAnsi="仿宋" w:eastAsia="仿宋"/>
          <w:b w:val="0"/>
          <w:bCs/>
          <w:sz w:val="32"/>
          <w:szCs w:val="32"/>
        </w:rPr>
        <w:t>，决算数</w:t>
      </w:r>
      <w:r>
        <w:rPr>
          <w:rStyle w:val="21"/>
          <w:rFonts w:hint="eastAsia" w:ascii="仿宋" w:hAnsi="仿宋" w:eastAsia="仿宋"/>
          <w:b w:val="0"/>
          <w:bCs/>
          <w:sz w:val="32"/>
          <w:szCs w:val="32"/>
          <w:lang w:val="en-US" w:eastAsia="zh-CN"/>
        </w:rPr>
        <w:t>与</w:t>
      </w:r>
      <w:r>
        <w:rPr>
          <w:rStyle w:val="21"/>
          <w:rFonts w:hint="eastAsia" w:ascii="仿宋" w:hAnsi="仿宋" w:eastAsia="仿宋"/>
          <w:b w:val="0"/>
          <w:bCs/>
          <w:sz w:val="32"/>
          <w:szCs w:val="32"/>
        </w:rPr>
        <w:t>预算数</w:t>
      </w:r>
      <w:r>
        <w:rPr>
          <w:rStyle w:val="21"/>
          <w:rFonts w:hint="eastAsia" w:ascii="仿宋" w:hAnsi="仿宋" w:eastAsia="仿宋"/>
          <w:b w:val="0"/>
          <w:bCs/>
          <w:sz w:val="32"/>
          <w:szCs w:val="32"/>
          <w:lang w:val="en-US" w:eastAsia="zh-CN"/>
        </w:rPr>
        <w:t>持平</w:t>
      </w:r>
      <w:r>
        <w:rPr>
          <w:rStyle w:val="21"/>
          <w:rFonts w:hint="eastAsia" w:ascii="仿宋" w:hAnsi="仿宋" w:eastAsia="仿宋"/>
          <w:b w:val="0"/>
          <w:bCs/>
          <w:sz w:val="32"/>
          <w:szCs w:val="32"/>
        </w:rPr>
        <w:t>。</w:t>
      </w:r>
    </w:p>
    <w:p w14:paraId="752D16EA">
      <w:pPr>
        <w:numPr>
          <w:ilvl w:val="0"/>
          <w:numId w:val="3"/>
        </w:numPr>
        <w:spacing w:line="600" w:lineRule="exact"/>
        <w:ind w:left="0" w:leftChars="0" w:firstLine="643" w:firstLineChars="200"/>
        <w:rPr>
          <w:rFonts w:ascii="仿宋" w:hAnsi="仿宋" w:eastAsia="仿宋"/>
          <w:b/>
          <w:sz w:val="32"/>
          <w:szCs w:val="32"/>
        </w:rPr>
      </w:pPr>
      <w:r>
        <w:rPr>
          <w:rFonts w:hint="eastAsia" w:ascii="仿宋" w:hAnsi="仿宋" w:eastAsia="仿宋"/>
          <w:b/>
          <w:bCs/>
          <w:sz w:val="32"/>
          <w:szCs w:val="32"/>
        </w:rPr>
        <w:t>住房保障</w:t>
      </w:r>
      <w:r>
        <w:rPr>
          <w:rStyle w:val="21"/>
          <w:rFonts w:hint="eastAsia" w:ascii="仿宋" w:hAnsi="仿宋" w:eastAsia="仿宋"/>
          <w:bCs/>
          <w:sz w:val="32"/>
          <w:szCs w:val="32"/>
        </w:rPr>
        <w:t>（类）住房改革支出（款）住房公积</w:t>
      </w:r>
      <w:r>
        <w:rPr>
          <w:rStyle w:val="21"/>
          <w:rFonts w:hint="eastAsia" w:ascii="仿宋" w:hAnsi="仿宋" w:eastAsia="仿宋"/>
          <w:bCs/>
          <w:sz w:val="32"/>
          <w:szCs w:val="32"/>
          <w:lang w:eastAsia="zh-CN"/>
        </w:rPr>
        <w:t>金补</w:t>
      </w:r>
      <w:r>
        <w:rPr>
          <w:rStyle w:val="21"/>
          <w:rFonts w:hint="eastAsia" w:ascii="仿宋" w:hAnsi="仿宋" w:eastAsia="仿宋"/>
          <w:bCs/>
          <w:sz w:val="32"/>
          <w:szCs w:val="32"/>
        </w:rPr>
        <w:t>助（项）</w:t>
      </w:r>
      <w:r>
        <w:rPr>
          <w:rStyle w:val="21"/>
          <w:rFonts w:hint="eastAsia" w:ascii="仿宋" w:hAnsi="仿宋" w:eastAsia="仿宋"/>
          <w:bCs/>
          <w:sz w:val="32"/>
          <w:szCs w:val="32"/>
          <w:lang w:eastAsia="zh-CN"/>
        </w:rPr>
        <w:t>：</w:t>
      </w:r>
      <w:r>
        <w:rPr>
          <w:rStyle w:val="21"/>
          <w:rFonts w:hint="eastAsia" w:ascii="仿宋" w:hAnsi="仿宋" w:eastAsia="仿宋"/>
          <w:b w:val="0"/>
          <w:bCs/>
          <w:sz w:val="32"/>
          <w:szCs w:val="32"/>
        </w:rPr>
        <w:t>支出决算为</w:t>
      </w:r>
      <w:r>
        <w:rPr>
          <w:rStyle w:val="21"/>
          <w:rFonts w:hint="eastAsia" w:ascii="仿宋" w:hAnsi="仿宋" w:eastAsia="仿宋"/>
          <w:b w:val="0"/>
          <w:bCs/>
          <w:sz w:val="32"/>
          <w:szCs w:val="32"/>
          <w:lang w:val="en-US" w:eastAsia="zh-CN"/>
        </w:rPr>
        <w:t>8.81</w:t>
      </w:r>
      <w:r>
        <w:rPr>
          <w:rStyle w:val="21"/>
          <w:rFonts w:hint="eastAsia" w:ascii="仿宋" w:hAnsi="仿宋" w:eastAsia="仿宋"/>
          <w:b w:val="0"/>
          <w:bCs/>
          <w:sz w:val="32"/>
          <w:szCs w:val="32"/>
        </w:rPr>
        <w:t>万元，完成预算</w:t>
      </w:r>
      <w:r>
        <w:rPr>
          <w:rStyle w:val="21"/>
          <w:rFonts w:hint="eastAsia" w:ascii="仿宋" w:hAnsi="仿宋" w:eastAsia="仿宋"/>
          <w:b w:val="0"/>
          <w:bCs/>
          <w:sz w:val="32"/>
          <w:szCs w:val="32"/>
          <w:lang w:val="en-US" w:eastAsia="zh-CN"/>
        </w:rPr>
        <w:t>100</w:t>
      </w:r>
      <w:r>
        <w:rPr>
          <w:rStyle w:val="21"/>
          <w:rFonts w:ascii="仿宋" w:hAnsi="仿宋" w:eastAsia="仿宋"/>
          <w:b w:val="0"/>
          <w:bCs/>
          <w:sz w:val="32"/>
          <w:szCs w:val="32"/>
        </w:rPr>
        <w:t>%</w:t>
      </w:r>
      <w:r>
        <w:rPr>
          <w:rStyle w:val="21"/>
          <w:rFonts w:hint="eastAsia" w:ascii="仿宋" w:hAnsi="仿宋" w:eastAsia="仿宋"/>
          <w:b w:val="0"/>
          <w:bCs/>
          <w:sz w:val="32"/>
          <w:szCs w:val="32"/>
        </w:rPr>
        <w:t>，决算数</w:t>
      </w:r>
      <w:r>
        <w:rPr>
          <w:rStyle w:val="21"/>
          <w:rFonts w:hint="eastAsia" w:ascii="仿宋" w:hAnsi="仿宋" w:eastAsia="仿宋"/>
          <w:b w:val="0"/>
          <w:bCs/>
          <w:sz w:val="32"/>
          <w:szCs w:val="32"/>
          <w:lang w:val="en-US" w:eastAsia="zh-CN"/>
        </w:rPr>
        <w:t>与</w:t>
      </w:r>
      <w:r>
        <w:rPr>
          <w:rStyle w:val="21"/>
          <w:rFonts w:hint="eastAsia" w:ascii="仿宋" w:hAnsi="仿宋" w:eastAsia="仿宋"/>
          <w:b w:val="0"/>
          <w:bCs/>
          <w:sz w:val="32"/>
          <w:szCs w:val="32"/>
        </w:rPr>
        <w:t>预算数</w:t>
      </w:r>
      <w:r>
        <w:rPr>
          <w:rStyle w:val="21"/>
          <w:rFonts w:hint="eastAsia" w:ascii="仿宋" w:hAnsi="仿宋" w:eastAsia="仿宋"/>
          <w:b w:val="0"/>
          <w:bCs/>
          <w:sz w:val="32"/>
          <w:szCs w:val="32"/>
          <w:lang w:val="en-US" w:eastAsia="zh-CN"/>
        </w:rPr>
        <w:t>持平</w:t>
      </w:r>
      <w:r>
        <w:rPr>
          <w:rStyle w:val="21"/>
          <w:rFonts w:hint="eastAsia" w:ascii="仿宋" w:hAnsi="仿宋" w:eastAsia="仿宋"/>
          <w:b w:val="0"/>
          <w:bCs/>
          <w:sz w:val="32"/>
          <w:szCs w:val="32"/>
        </w:rPr>
        <w:t>。</w:t>
      </w:r>
    </w:p>
    <w:p w14:paraId="00250E66">
      <w:pPr>
        <w:spacing w:line="600" w:lineRule="exact"/>
        <w:ind w:firstLine="640"/>
        <w:rPr>
          <w:rFonts w:ascii="仿宋" w:hAnsi="仿宋" w:eastAsia="仿宋"/>
          <w:b/>
          <w:sz w:val="32"/>
          <w:szCs w:val="32"/>
        </w:rPr>
      </w:pPr>
    </w:p>
    <w:p w14:paraId="6D7425BA">
      <w:pPr>
        <w:tabs>
          <w:tab w:val="right" w:pos="8306"/>
        </w:tabs>
        <w:spacing w:line="600" w:lineRule="exact"/>
        <w:ind w:firstLine="640"/>
        <w:outlineLvl w:val="1"/>
        <w:rPr>
          <w:rStyle w:val="33"/>
        </w:rPr>
      </w:pPr>
      <w:bookmarkStart w:id="62" w:name="_Toc15377214"/>
      <w:bookmarkStart w:id="63" w:name="_Toc15396608"/>
      <w:bookmarkStart w:id="64" w:name="_Toc358"/>
      <w:r>
        <w:rPr>
          <w:rFonts w:hint="eastAsia" w:ascii="黑体" w:eastAsia="黑体"/>
          <w:sz w:val="32"/>
          <w:szCs w:val="32"/>
        </w:rPr>
        <w:t>六</w:t>
      </w:r>
      <w:r>
        <w:rPr>
          <w:rFonts w:hint="eastAsia" w:ascii="黑体" w:eastAsia="黑体"/>
          <w:b/>
          <w:sz w:val="32"/>
          <w:szCs w:val="32"/>
        </w:rPr>
        <w:t>、</w:t>
      </w:r>
      <w:r>
        <w:rPr>
          <w:rFonts w:hint="eastAsia" w:ascii="黑体" w:hAnsi="黑体" w:eastAsia="黑体"/>
          <w:b/>
          <w:sz w:val="32"/>
          <w:szCs w:val="32"/>
        </w:rPr>
        <w:t>一</w:t>
      </w:r>
      <w:r>
        <w:rPr>
          <w:rStyle w:val="33"/>
          <w:rFonts w:hint="eastAsia" w:ascii="黑体" w:hAnsi="黑体" w:eastAsia="黑体"/>
          <w:b w:val="0"/>
        </w:rPr>
        <w:t>般公共预算财政拨款基本支出决算情况说明</w:t>
      </w:r>
      <w:bookmarkEnd w:id="62"/>
      <w:bookmarkEnd w:id="63"/>
      <w:bookmarkEnd w:id="64"/>
      <w:r>
        <w:rPr>
          <w:rStyle w:val="33"/>
          <w:rFonts w:ascii="黑体" w:hAnsi="黑体" w:eastAsia="黑体"/>
          <w:b w:val="0"/>
        </w:rPr>
        <w:tab/>
      </w:r>
    </w:p>
    <w:p w14:paraId="256D3166">
      <w:pPr>
        <w:spacing w:line="600" w:lineRule="exact"/>
        <w:ind w:firstLine="645"/>
        <w:rPr>
          <w:rFonts w:ascii="仿宋" w:hAnsi="仿宋" w:eastAsia="仿宋"/>
          <w:sz w:val="32"/>
          <w:szCs w:val="32"/>
        </w:rPr>
      </w:pPr>
      <w:r>
        <w:rPr>
          <w:rFonts w:hint="eastAsia" w:ascii="仿宋" w:hAnsi="仿宋" w:eastAsia="仿宋"/>
          <w:sz w:val="32"/>
          <w:szCs w:val="32"/>
        </w:rPr>
        <w:t>2023年度一般公共预算财政拨款基本支出</w:t>
      </w:r>
      <w:r>
        <w:rPr>
          <w:sz w:val="32"/>
          <w:szCs w:val="32"/>
        </w:rPr>
        <w:t>131.6</w:t>
      </w:r>
      <w:r>
        <w:rPr>
          <w:rFonts w:hint="eastAsia" w:ascii="仿宋" w:hAnsi="仿宋" w:eastAsia="仿宋"/>
          <w:sz w:val="32"/>
          <w:szCs w:val="32"/>
        </w:rPr>
        <w:t>万元，其中：</w:t>
      </w:r>
    </w:p>
    <w:p w14:paraId="1AF0C66F">
      <w:pPr>
        <w:spacing w:line="600" w:lineRule="exact"/>
        <w:ind w:firstLine="645"/>
        <w:rPr>
          <w:rFonts w:hint="eastAsia" w:ascii="仿宋" w:hAnsi="仿宋" w:eastAsia="仿宋"/>
          <w:sz w:val="32"/>
          <w:szCs w:val="32"/>
          <w:lang w:eastAsia="zh-CN"/>
        </w:rPr>
      </w:pPr>
      <w:r>
        <w:rPr>
          <w:rFonts w:hint="eastAsia" w:ascii="仿宋" w:hAnsi="仿宋" w:eastAsia="仿宋"/>
          <w:sz w:val="32"/>
          <w:szCs w:val="32"/>
        </w:rPr>
        <w:t>人员经费</w:t>
      </w:r>
      <w:r>
        <w:rPr>
          <w:sz w:val="32"/>
          <w:szCs w:val="32"/>
        </w:rPr>
        <w:t>110.53</w:t>
      </w:r>
      <w:r>
        <w:rPr>
          <w:rFonts w:hint="eastAsia" w:ascii="仿宋" w:hAnsi="仿宋" w:eastAsia="仿宋"/>
          <w:sz w:val="32"/>
          <w:szCs w:val="32"/>
        </w:rPr>
        <w:t>万元，主要包括：基本工资、津贴补贴、奖金、伙食补助费、机关事业单位基本养老保险缴费、职业年金缴费、其他社会保障缴费、其他工资福利支出、住房公积金等。</w:t>
      </w:r>
    </w:p>
    <w:p w14:paraId="4D451C56">
      <w:pPr>
        <w:spacing w:line="600" w:lineRule="exact"/>
        <w:ind w:firstLine="640" w:firstLineChars="200"/>
        <w:rPr>
          <w:rFonts w:ascii="仿宋" w:hAnsi="仿宋" w:eastAsia="仿宋"/>
          <w:sz w:val="32"/>
          <w:szCs w:val="32"/>
        </w:rPr>
      </w:pPr>
      <w:r>
        <w:rPr>
          <w:rFonts w:hint="eastAsia" w:ascii="仿宋" w:hAnsi="仿宋" w:eastAsia="仿宋"/>
          <w:sz w:val="32"/>
          <w:szCs w:val="32"/>
        </w:rPr>
        <w:t>公用经费</w:t>
      </w:r>
      <w:r>
        <w:rPr>
          <w:sz w:val="32"/>
          <w:szCs w:val="32"/>
        </w:rPr>
        <w:t>21.07</w:t>
      </w:r>
      <w:r>
        <w:rPr>
          <w:rFonts w:hint="eastAsia" w:ascii="仿宋" w:hAnsi="仿宋" w:eastAsia="仿宋"/>
          <w:sz w:val="32"/>
          <w:szCs w:val="32"/>
        </w:rPr>
        <w:t>万元，主要包括：办公费、电费、邮电费、差旅费、公务接待费、劳务费、委托业务费、工会经费、福利费、其他交通费等。</w:t>
      </w:r>
    </w:p>
    <w:p w14:paraId="7B4AF2F4">
      <w:pPr>
        <w:spacing w:line="600" w:lineRule="exact"/>
        <w:ind w:firstLine="645"/>
        <w:rPr>
          <w:rFonts w:ascii="仿宋" w:hAnsi="仿宋" w:eastAsia="仿宋"/>
          <w:b/>
          <w:sz w:val="32"/>
          <w:szCs w:val="32"/>
        </w:rPr>
      </w:pPr>
      <w:r>
        <w:rPr>
          <w:rFonts w:hint="eastAsia" w:ascii="仿宋" w:hAnsi="仿宋" w:eastAsia="仿宋"/>
          <w:b/>
          <w:sz w:val="32"/>
          <w:szCs w:val="32"/>
        </w:rPr>
        <w:t>（注：数据来源于财决</w:t>
      </w:r>
      <w:r>
        <w:rPr>
          <w:rFonts w:ascii="仿宋" w:hAnsi="仿宋" w:eastAsia="仿宋"/>
          <w:b/>
          <w:sz w:val="32"/>
          <w:szCs w:val="32"/>
        </w:rPr>
        <w:t>0</w:t>
      </w:r>
      <w:r>
        <w:rPr>
          <w:rFonts w:hint="eastAsia" w:ascii="仿宋" w:hAnsi="仿宋" w:eastAsia="仿宋"/>
          <w:b/>
          <w:sz w:val="32"/>
          <w:szCs w:val="32"/>
        </w:rPr>
        <w:t>7表和财决08-1表，仅罗列本部门实际支出涉及的经济分类科目）</w:t>
      </w:r>
    </w:p>
    <w:p w14:paraId="6412D384">
      <w:pPr>
        <w:spacing w:line="600" w:lineRule="exact"/>
        <w:ind w:firstLine="640"/>
        <w:outlineLvl w:val="1"/>
        <w:rPr>
          <w:rStyle w:val="33"/>
          <w:rFonts w:ascii="黑体" w:hAnsi="黑体" w:eastAsia="黑体"/>
          <w:b w:val="0"/>
        </w:rPr>
      </w:pPr>
      <w:bookmarkStart w:id="65" w:name="_Toc15377215"/>
      <w:bookmarkStart w:id="66" w:name="_Toc15396609"/>
      <w:bookmarkStart w:id="67" w:name="_Toc6407"/>
      <w:r>
        <w:rPr>
          <w:rFonts w:hint="eastAsia" w:ascii="黑体" w:eastAsia="黑体"/>
          <w:sz w:val="32"/>
          <w:szCs w:val="32"/>
        </w:rPr>
        <w:t>七、</w:t>
      </w:r>
      <w:r>
        <w:rPr>
          <w:rStyle w:val="33"/>
          <w:rFonts w:hint="eastAsia" w:ascii="黑体" w:hAnsi="黑体" w:eastAsia="黑体"/>
          <w:b w:val="0"/>
        </w:rPr>
        <w:t>财政拨款</w:t>
      </w:r>
      <w:r>
        <w:rPr>
          <w:rStyle w:val="33"/>
          <w:rFonts w:hint="eastAsia" w:ascii="黑体" w:hAnsi="黑体" w:eastAsia="黑体"/>
        </w:rPr>
        <w:t>“</w:t>
      </w:r>
      <w:r>
        <w:rPr>
          <w:rStyle w:val="33"/>
          <w:rFonts w:hint="eastAsia" w:ascii="黑体" w:hAnsi="黑体" w:eastAsia="黑体"/>
          <w:b w:val="0"/>
        </w:rPr>
        <w:t>三公”经费支出决算情况说明</w:t>
      </w:r>
      <w:bookmarkEnd w:id="65"/>
      <w:bookmarkEnd w:id="66"/>
      <w:bookmarkEnd w:id="67"/>
    </w:p>
    <w:p w14:paraId="44DE8B1B">
      <w:pPr>
        <w:spacing w:line="600" w:lineRule="exact"/>
        <w:ind w:firstLine="640"/>
        <w:outlineLvl w:val="2"/>
        <w:rPr>
          <w:rFonts w:ascii="仿宋" w:hAnsi="仿宋" w:eastAsia="仿宋"/>
          <w:b/>
          <w:sz w:val="32"/>
          <w:szCs w:val="32"/>
        </w:rPr>
      </w:pPr>
      <w:bookmarkStart w:id="68" w:name="_Toc15377216"/>
      <w:bookmarkStart w:id="69" w:name="_Toc15396610"/>
      <w:bookmarkStart w:id="70" w:name="_Toc15377218"/>
      <w:r>
        <w:rPr>
          <w:rFonts w:hint="eastAsia" w:ascii="仿宋" w:hAnsi="仿宋" w:eastAsia="仿宋"/>
          <w:b/>
          <w:sz w:val="32"/>
          <w:szCs w:val="32"/>
        </w:rPr>
        <w:t>（一）“三公”经费财政拨款支出决算总体情况说明</w:t>
      </w:r>
      <w:bookmarkEnd w:id="68"/>
    </w:p>
    <w:p w14:paraId="56FC97F3">
      <w:pPr>
        <w:spacing w:line="600" w:lineRule="exact"/>
        <w:ind w:firstLine="640"/>
        <w:rPr>
          <w:rFonts w:ascii="仿宋" w:hAnsi="仿宋" w:eastAsia="仿宋"/>
          <w:sz w:val="32"/>
          <w:szCs w:val="32"/>
        </w:rPr>
      </w:pPr>
      <w:r>
        <w:rPr>
          <w:rFonts w:hint="eastAsia" w:ascii="仿宋" w:hAnsi="仿宋" w:eastAsia="仿宋"/>
          <w:sz w:val="32"/>
          <w:szCs w:val="32"/>
        </w:rPr>
        <w:t>2023年度“三公”经费财政拨款支出决算为</w:t>
      </w:r>
      <w:r>
        <w:rPr>
          <w:rFonts w:ascii="仿宋" w:hAnsi="仿宋" w:eastAsia="仿宋"/>
          <w:b/>
          <w:sz w:val="32"/>
          <w:szCs w:val="32"/>
        </w:rPr>
        <w:t>0.32</w:t>
      </w:r>
      <w:r>
        <w:rPr>
          <w:rFonts w:hint="eastAsia" w:ascii="仿宋" w:hAnsi="仿宋" w:eastAsia="仿宋"/>
          <w:sz w:val="32"/>
          <w:szCs w:val="32"/>
        </w:rPr>
        <w:t>万元，完成预算</w:t>
      </w:r>
      <w:r>
        <w:rPr>
          <w:rFonts w:ascii="仿宋" w:hAnsi="仿宋" w:eastAsia="仿宋"/>
          <w:b/>
          <w:sz w:val="32"/>
          <w:szCs w:val="32"/>
        </w:rPr>
        <w:t>100</w:t>
      </w:r>
      <w:r>
        <w:rPr>
          <w:rFonts w:ascii="仿宋" w:hAnsi="仿宋" w:eastAsia="仿宋"/>
          <w:sz w:val="32"/>
          <w:szCs w:val="32"/>
        </w:rPr>
        <w:t>%</w:t>
      </w:r>
      <w:r>
        <w:rPr>
          <w:rFonts w:hint="eastAsia" w:ascii="仿宋" w:hAnsi="仿宋" w:eastAsia="仿宋"/>
          <w:sz w:val="32"/>
          <w:szCs w:val="32"/>
        </w:rPr>
        <w:t>，较上年度减少</w:t>
      </w:r>
      <w:r>
        <w:rPr>
          <w:rFonts w:hint="eastAsia" w:ascii="仿宋" w:hAnsi="仿宋" w:eastAsia="仿宋"/>
          <w:sz w:val="32"/>
          <w:szCs w:val="32"/>
          <w:lang w:val="en-US" w:eastAsia="zh-CN"/>
        </w:rPr>
        <w:t>0.19</w:t>
      </w:r>
      <w:r>
        <w:rPr>
          <w:rFonts w:hint="eastAsia" w:ascii="仿宋" w:hAnsi="仿宋" w:eastAsia="仿宋"/>
          <w:sz w:val="32"/>
          <w:szCs w:val="32"/>
        </w:rPr>
        <w:t>万元，下降</w:t>
      </w:r>
      <w:r>
        <w:rPr>
          <w:rFonts w:hint="eastAsia" w:ascii="仿宋" w:hAnsi="仿宋" w:eastAsia="仿宋"/>
          <w:sz w:val="32"/>
          <w:szCs w:val="32"/>
          <w:lang w:val="en-US" w:eastAsia="zh-CN"/>
        </w:rPr>
        <w:t>36.78</w:t>
      </w:r>
      <w:r>
        <w:rPr>
          <w:rFonts w:hint="eastAsia" w:ascii="仿宋" w:hAnsi="仿宋" w:eastAsia="仿宋"/>
          <w:sz w:val="32"/>
          <w:szCs w:val="32"/>
        </w:rPr>
        <w:t>%。决算数与预算数持平。</w:t>
      </w:r>
    </w:p>
    <w:p w14:paraId="630F3F97">
      <w:pPr>
        <w:spacing w:line="600" w:lineRule="exact"/>
        <w:ind w:firstLine="640"/>
        <w:outlineLvl w:val="2"/>
        <w:rPr>
          <w:rFonts w:ascii="仿宋" w:hAnsi="仿宋" w:eastAsia="仿宋"/>
          <w:b/>
          <w:sz w:val="32"/>
          <w:szCs w:val="32"/>
        </w:rPr>
      </w:pPr>
      <w:bookmarkStart w:id="71" w:name="_Toc15377217"/>
      <w:r>
        <w:rPr>
          <w:rFonts w:hint="eastAsia" w:ascii="仿宋" w:hAnsi="仿宋" w:eastAsia="仿宋"/>
          <w:b/>
          <w:sz w:val="32"/>
          <w:szCs w:val="32"/>
        </w:rPr>
        <w:t>（二）“三公”经费财政拨款支出决算具体情况说明</w:t>
      </w:r>
      <w:bookmarkEnd w:id="71"/>
    </w:p>
    <w:p w14:paraId="351ADDFA">
      <w:pPr>
        <w:spacing w:line="600" w:lineRule="exact"/>
        <w:ind w:firstLine="640"/>
        <w:rPr>
          <w:rFonts w:hint="eastAsia" w:ascii="仿宋" w:hAnsi="仿宋" w:eastAsia="仿宋"/>
          <w:sz w:val="32"/>
          <w:szCs w:val="32"/>
        </w:rPr>
      </w:pPr>
      <w:r>
        <w:rPr>
          <w:rFonts w:hint="eastAsia" w:ascii="仿宋" w:hAnsi="仿宋" w:eastAsia="仿宋"/>
          <w:sz w:val="32"/>
          <w:szCs w:val="32"/>
        </w:rPr>
        <w:t>2023年度“三公”经费财政拨款支出决算中，因公出国（境）费支出决算</w:t>
      </w:r>
      <w:r>
        <w:rPr>
          <w:rFonts w:ascii="仿宋" w:hAnsi="仿宋" w:eastAsia="仿宋"/>
          <w:b/>
          <w:sz w:val="32"/>
          <w:szCs w:val="32"/>
        </w:rPr>
        <w:t>0</w:t>
      </w:r>
      <w:r>
        <w:rPr>
          <w:rFonts w:hint="eastAsia" w:ascii="仿宋" w:hAnsi="仿宋" w:eastAsia="仿宋"/>
          <w:sz w:val="32"/>
          <w:szCs w:val="32"/>
        </w:rPr>
        <w:t>万元，占</w:t>
      </w:r>
      <w:r>
        <w:rPr>
          <w:rFonts w:ascii="仿宋" w:hAnsi="仿宋" w:eastAsia="仿宋"/>
          <w:b/>
          <w:sz w:val="32"/>
          <w:szCs w:val="32"/>
        </w:rPr>
        <w:t>0</w:t>
      </w:r>
      <w:r>
        <w:rPr>
          <w:rFonts w:ascii="仿宋" w:hAnsi="仿宋" w:eastAsia="仿宋"/>
          <w:sz w:val="32"/>
          <w:szCs w:val="32"/>
        </w:rPr>
        <w:t>%</w:t>
      </w:r>
      <w:r>
        <w:rPr>
          <w:rFonts w:hint="eastAsia" w:ascii="仿宋" w:hAnsi="仿宋" w:eastAsia="仿宋"/>
          <w:sz w:val="32"/>
          <w:szCs w:val="32"/>
        </w:rPr>
        <w:t>；公务用车购置及运行维护费支出决算</w:t>
      </w:r>
      <w:r>
        <w:rPr>
          <w:rFonts w:ascii="仿宋" w:hAnsi="仿宋" w:eastAsia="仿宋"/>
          <w:b/>
          <w:sz w:val="32"/>
          <w:szCs w:val="32"/>
        </w:rPr>
        <w:t>0</w:t>
      </w:r>
      <w:r>
        <w:rPr>
          <w:rFonts w:hint="eastAsia" w:ascii="仿宋" w:hAnsi="仿宋" w:eastAsia="仿宋"/>
          <w:sz w:val="32"/>
          <w:szCs w:val="32"/>
        </w:rPr>
        <w:t>万元，占</w:t>
      </w:r>
      <w:r>
        <w:rPr>
          <w:rFonts w:ascii="仿宋" w:hAnsi="仿宋" w:eastAsia="仿宋"/>
          <w:b/>
          <w:sz w:val="32"/>
          <w:szCs w:val="32"/>
        </w:rPr>
        <w:t>0</w:t>
      </w:r>
      <w:r>
        <w:rPr>
          <w:rFonts w:ascii="仿宋" w:hAnsi="仿宋" w:eastAsia="仿宋"/>
          <w:sz w:val="32"/>
          <w:szCs w:val="32"/>
        </w:rPr>
        <w:t>%</w:t>
      </w:r>
      <w:r>
        <w:rPr>
          <w:rFonts w:hint="eastAsia" w:ascii="仿宋" w:hAnsi="仿宋" w:eastAsia="仿宋"/>
          <w:sz w:val="32"/>
          <w:szCs w:val="32"/>
        </w:rPr>
        <w:t>；公务接待费支出决算</w:t>
      </w:r>
      <w:r>
        <w:rPr>
          <w:rFonts w:ascii="仿宋" w:hAnsi="仿宋" w:eastAsia="仿宋"/>
          <w:b/>
          <w:sz w:val="32"/>
          <w:szCs w:val="32"/>
        </w:rPr>
        <w:t>0.32</w:t>
      </w:r>
      <w:r>
        <w:rPr>
          <w:rFonts w:hint="eastAsia" w:ascii="仿宋" w:hAnsi="仿宋" w:eastAsia="仿宋"/>
          <w:sz w:val="32"/>
          <w:szCs w:val="32"/>
        </w:rPr>
        <w:t>万元，占</w:t>
      </w:r>
      <w:r>
        <w:rPr>
          <w:rFonts w:ascii="仿宋" w:hAnsi="仿宋" w:eastAsia="仿宋"/>
          <w:b/>
          <w:sz w:val="32"/>
          <w:szCs w:val="32"/>
        </w:rPr>
        <w:t>100</w:t>
      </w:r>
      <w:r>
        <w:rPr>
          <w:rFonts w:ascii="仿宋" w:hAnsi="仿宋" w:eastAsia="仿宋"/>
          <w:sz w:val="32"/>
          <w:szCs w:val="32"/>
        </w:rPr>
        <w:t>%</w:t>
      </w:r>
      <w:r>
        <w:rPr>
          <w:rFonts w:hint="eastAsia" w:ascii="仿宋" w:hAnsi="仿宋" w:eastAsia="仿宋"/>
          <w:sz w:val="32"/>
          <w:szCs w:val="32"/>
        </w:rPr>
        <w:t>。具体情况如下：</w:t>
      </w:r>
    </w:p>
    <w:p w14:paraId="07EE6AED">
      <w:pPr>
        <w:pStyle w:val="18"/>
        <w:outlineLvl w:val="9"/>
        <w:rPr>
          <w:rFonts w:hint="eastAsia" w:eastAsia="仿宋"/>
          <w:lang w:eastAsia="zh-CN"/>
        </w:rPr>
      </w:pPr>
      <w:bookmarkStart w:id="72" w:name="_Toc8194"/>
      <w:r>
        <w:rPr>
          <w:rFonts w:hint="eastAsia" w:eastAsia="仿宋"/>
          <w:lang w:eastAsia="zh-CN"/>
        </w:rPr>
        <w:drawing>
          <wp:inline distT="0" distB="0" distL="114300" distR="114300">
            <wp:extent cx="5256530" cy="2988310"/>
            <wp:effectExtent l="5080" t="4445" r="15240" b="17145"/>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bookmarkEnd w:id="72"/>
    </w:p>
    <w:p w14:paraId="357171AB">
      <w:pPr>
        <w:spacing w:line="600" w:lineRule="exact"/>
        <w:ind w:firstLine="640"/>
        <w:rPr>
          <w:rFonts w:ascii="仿宋" w:hAnsi="仿宋" w:eastAsia="仿宋"/>
          <w:sz w:val="32"/>
          <w:szCs w:val="32"/>
        </w:rPr>
      </w:pPr>
      <w:r>
        <w:rPr>
          <w:rFonts w:hint="eastAsia" w:ascii="仿宋" w:hAnsi="仿宋" w:eastAsia="仿宋"/>
          <w:sz w:val="32"/>
          <w:szCs w:val="32"/>
        </w:rPr>
        <w:t>（图7：“三公”经费财政拨款支出结构）（饼状图）</w:t>
      </w:r>
    </w:p>
    <w:p w14:paraId="1641D1A1">
      <w:pPr>
        <w:spacing w:line="600" w:lineRule="exact"/>
        <w:ind w:firstLine="640"/>
        <w:rPr>
          <w:rFonts w:ascii="仿宋_GB2312" w:eastAsia="仿宋_GB2312"/>
          <w:b/>
          <w:sz w:val="32"/>
          <w:szCs w:val="32"/>
        </w:rPr>
      </w:pPr>
      <w:r>
        <w:rPr>
          <w:rFonts w:ascii="仿宋_GB2312" w:eastAsia="仿宋_GB2312"/>
          <w:b/>
          <w:sz w:val="32"/>
          <w:szCs w:val="32"/>
        </w:rPr>
        <w:t>1.</w:t>
      </w:r>
      <w:r>
        <w:rPr>
          <w:rFonts w:hint="eastAsia" w:ascii="仿宋_GB2312" w:eastAsia="仿宋_GB2312"/>
          <w:b/>
          <w:sz w:val="32"/>
          <w:szCs w:val="32"/>
        </w:rPr>
        <w:t>因公出国（境）经费支出</w:t>
      </w:r>
      <w:r>
        <w:rPr>
          <w:rFonts w:ascii="仿宋" w:hAnsi="仿宋" w:eastAsia="仿宋"/>
          <w:b/>
          <w:sz w:val="32"/>
          <w:szCs w:val="32"/>
        </w:rPr>
        <w:t>0</w:t>
      </w:r>
      <w:r>
        <w:rPr>
          <w:rFonts w:hint="eastAsia" w:ascii="仿宋_GB2312" w:eastAsia="仿宋_GB2312"/>
          <w:sz w:val="32"/>
          <w:szCs w:val="32"/>
        </w:rPr>
        <w:t>万元，</w:t>
      </w:r>
      <w:r>
        <w:rPr>
          <w:rStyle w:val="21"/>
          <w:rFonts w:hint="eastAsia" w:ascii="仿宋" w:hAnsi="仿宋" w:eastAsia="仿宋"/>
          <w:b w:val="0"/>
          <w:bCs/>
          <w:sz w:val="32"/>
          <w:szCs w:val="32"/>
        </w:rPr>
        <w:t>完成预算</w:t>
      </w:r>
      <w:r>
        <w:rPr>
          <w:rStyle w:val="21"/>
          <w:rFonts w:ascii="仿宋" w:hAnsi="仿宋" w:eastAsia="仿宋"/>
          <w:bCs/>
          <w:sz w:val="32"/>
          <w:szCs w:val="32"/>
        </w:rPr>
        <w:t>0</w:t>
      </w:r>
      <w:r>
        <w:rPr>
          <w:rStyle w:val="21"/>
          <w:rFonts w:ascii="仿宋" w:hAnsi="仿宋" w:eastAsia="仿宋"/>
          <w:b w:val="0"/>
          <w:bCs/>
          <w:sz w:val="32"/>
          <w:szCs w:val="32"/>
        </w:rPr>
        <w:t>%</w:t>
      </w:r>
      <w:r>
        <w:rPr>
          <w:rStyle w:val="21"/>
          <w:rFonts w:hint="eastAsia" w:ascii="仿宋" w:hAnsi="仿宋" w:eastAsia="仿宋"/>
          <w:b w:val="0"/>
          <w:bCs/>
          <w:sz w:val="32"/>
          <w:szCs w:val="32"/>
        </w:rPr>
        <w:t>。</w:t>
      </w:r>
      <w:r>
        <w:rPr>
          <w:rFonts w:hint="eastAsia" w:ascii="仿宋_GB2312" w:eastAsia="仿宋_GB2312"/>
          <w:sz w:val="32"/>
          <w:szCs w:val="32"/>
        </w:rPr>
        <w:t>全年安排因公出国（境）团组</w:t>
      </w:r>
      <w:r>
        <w:rPr>
          <w:rFonts w:ascii="仿宋_GB2312" w:eastAsia="仿宋_GB2312"/>
          <w:b/>
          <w:sz w:val="32"/>
          <w:szCs w:val="32"/>
        </w:rPr>
        <w:t>0</w:t>
      </w:r>
      <w:r>
        <w:rPr>
          <w:rFonts w:hint="eastAsia" w:ascii="仿宋_GB2312" w:eastAsia="仿宋_GB2312"/>
          <w:sz w:val="32"/>
          <w:szCs w:val="32"/>
        </w:rPr>
        <w:t>次，出国（境）</w:t>
      </w:r>
      <w:r>
        <w:rPr>
          <w:rFonts w:ascii="仿宋_GB2312" w:eastAsia="仿宋_GB2312"/>
          <w:b/>
          <w:sz w:val="32"/>
          <w:szCs w:val="32"/>
        </w:rPr>
        <w:t>0</w:t>
      </w:r>
      <w:r>
        <w:rPr>
          <w:rFonts w:hint="eastAsia" w:ascii="仿宋_GB2312" w:eastAsia="仿宋_GB2312"/>
          <w:sz w:val="32"/>
          <w:szCs w:val="32"/>
        </w:rPr>
        <w:t>人。因公出国（境）支出决算</w:t>
      </w:r>
      <w:r>
        <w:rPr>
          <w:rFonts w:hint="eastAsia" w:ascii="仿宋_GB2312" w:eastAsia="仿宋_GB2312"/>
          <w:sz w:val="32"/>
          <w:szCs w:val="32"/>
          <w:lang w:val="en-US" w:eastAsia="zh-CN"/>
        </w:rPr>
        <w:t>较</w:t>
      </w:r>
      <w:r>
        <w:rPr>
          <w:rFonts w:hint="eastAsia" w:ascii="仿宋_GB2312" w:eastAsia="仿宋_GB2312"/>
          <w:sz w:val="32"/>
          <w:szCs w:val="32"/>
        </w:rPr>
        <w:t>2022年</w:t>
      </w:r>
      <w:r>
        <w:rPr>
          <w:rFonts w:hint="eastAsia" w:ascii="仿宋_GB2312" w:eastAsia="仿宋_GB2312"/>
          <w:sz w:val="32"/>
          <w:szCs w:val="32"/>
          <w:lang w:val="en-US" w:eastAsia="zh-CN"/>
        </w:rPr>
        <w:t>持平</w:t>
      </w:r>
      <w:r>
        <w:rPr>
          <w:rFonts w:hint="eastAsia" w:ascii="仿宋_GB2312" w:eastAsia="仿宋_GB2312"/>
          <w:sz w:val="32"/>
          <w:szCs w:val="32"/>
        </w:rPr>
        <w:t>。</w:t>
      </w:r>
    </w:p>
    <w:p w14:paraId="64D7D0CC">
      <w:pPr>
        <w:spacing w:line="600" w:lineRule="exact"/>
        <w:ind w:firstLine="640"/>
        <w:rPr>
          <w:rFonts w:ascii="仿宋_GB2312" w:eastAsia="仿宋_GB2312"/>
          <w:b/>
          <w:sz w:val="32"/>
          <w:szCs w:val="32"/>
        </w:rPr>
      </w:pPr>
      <w:r>
        <w:rPr>
          <w:rFonts w:ascii="仿宋_GB2312" w:eastAsia="仿宋_GB2312"/>
          <w:b/>
          <w:sz w:val="32"/>
          <w:szCs w:val="32"/>
        </w:rPr>
        <w:t>2.</w:t>
      </w:r>
      <w:r>
        <w:rPr>
          <w:rFonts w:hint="eastAsia" w:ascii="仿宋_GB2312" w:eastAsia="仿宋_GB2312"/>
          <w:b/>
          <w:sz w:val="32"/>
          <w:szCs w:val="32"/>
        </w:rPr>
        <w:t>公务用车购置及运行维护费支出</w:t>
      </w:r>
      <w:r>
        <w:rPr>
          <w:rFonts w:ascii="仿宋" w:hAnsi="仿宋" w:eastAsia="仿宋"/>
          <w:b/>
          <w:sz w:val="32"/>
          <w:szCs w:val="32"/>
        </w:rPr>
        <w:t>0</w:t>
      </w:r>
      <w:r>
        <w:rPr>
          <w:rFonts w:hint="eastAsia" w:ascii="仿宋_GB2312" w:eastAsia="仿宋_GB2312"/>
          <w:sz w:val="32"/>
          <w:szCs w:val="32"/>
        </w:rPr>
        <w:t>万元</w:t>
      </w:r>
      <w:r>
        <w:rPr>
          <w:rFonts w:hint="eastAsia" w:ascii="仿宋_GB2312" w:eastAsia="仿宋_GB2312"/>
          <w:sz w:val="32"/>
          <w:szCs w:val="32"/>
          <w:lang w:eastAsia="zh-CN"/>
        </w:rPr>
        <w:t>，</w:t>
      </w:r>
      <w:r>
        <w:rPr>
          <w:rStyle w:val="21"/>
          <w:rFonts w:hint="eastAsia" w:ascii="仿宋" w:hAnsi="仿宋" w:eastAsia="仿宋"/>
          <w:b w:val="0"/>
          <w:bCs/>
          <w:sz w:val="32"/>
          <w:szCs w:val="32"/>
        </w:rPr>
        <w:t>完成预算</w:t>
      </w:r>
      <w:r>
        <w:rPr>
          <w:rStyle w:val="21"/>
          <w:rFonts w:ascii="仿宋" w:hAnsi="仿宋" w:eastAsia="仿宋"/>
          <w:bCs/>
          <w:sz w:val="32"/>
          <w:szCs w:val="32"/>
        </w:rPr>
        <w:t>0</w:t>
      </w:r>
      <w:r>
        <w:rPr>
          <w:rStyle w:val="21"/>
          <w:rFonts w:ascii="仿宋" w:hAnsi="仿宋" w:eastAsia="仿宋"/>
          <w:b w:val="0"/>
          <w:bCs/>
          <w:sz w:val="32"/>
          <w:szCs w:val="32"/>
        </w:rPr>
        <w:t>%</w:t>
      </w:r>
      <w:r>
        <w:rPr>
          <w:rStyle w:val="21"/>
          <w:rFonts w:hint="eastAsia" w:ascii="仿宋" w:hAnsi="仿宋" w:eastAsia="仿宋"/>
          <w:b w:val="0"/>
          <w:bCs/>
          <w:sz w:val="32"/>
          <w:szCs w:val="32"/>
        </w:rPr>
        <w:t>。</w:t>
      </w:r>
      <w:r>
        <w:rPr>
          <w:rFonts w:hint="eastAsia" w:ascii="仿宋_GB2312" w:eastAsia="仿宋_GB2312"/>
          <w:sz w:val="32"/>
          <w:szCs w:val="32"/>
        </w:rPr>
        <w:t>公务用车购置及运行维护费支出决算</w:t>
      </w:r>
      <w:r>
        <w:rPr>
          <w:rFonts w:hint="eastAsia" w:ascii="仿宋_GB2312" w:eastAsia="仿宋_GB2312"/>
          <w:sz w:val="32"/>
          <w:szCs w:val="32"/>
          <w:lang w:val="en-US" w:eastAsia="zh-CN"/>
        </w:rPr>
        <w:t>较</w:t>
      </w:r>
      <w:r>
        <w:rPr>
          <w:rFonts w:hint="eastAsia" w:ascii="仿宋_GB2312" w:eastAsia="仿宋_GB2312"/>
          <w:sz w:val="32"/>
          <w:szCs w:val="32"/>
        </w:rPr>
        <w:t>2022年度</w:t>
      </w:r>
      <w:r>
        <w:rPr>
          <w:rFonts w:hint="eastAsia" w:ascii="仿宋_GB2312" w:eastAsia="仿宋_GB2312"/>
          <w:sz w:val="32"/>
          <w:szCs w:val="32"/>
          <w:lang w:val="en-US" w:eastAsia="zh-CN"/>
        </w:rPr>
        <w:t>持平</w:t>
      </w:r>
      <w:r>
        <w:rPr>
          <w:rFonts w:hint="eastAsia" w:ascii="仿宋_GB2312" w:eastAsia="仿宋_GB2312"/>
          <w:sz w:val="32"/>
          <w:szCs w:val="32"/>
        </w:rPr>
        <w:t>。</w:t>
      </w:r>
    </w:p>
    <w:p w14:paraId="2F6E70BF">
      <w:pPr>
        <w:spacing w:line="600" w:lineRule="exact"/>
        <w:ind w:firstLine="640" w:firstLineChars="200"/>
        <w:rPr>
          <w:rFonts w:ascii="仿宋_GB2312" w:eastAsia="仿宋_GB2312"/>
          <w:b/>
          <w:sz w:val="32"/>
          <w:szCs w:val="32"/>
        </w:rPr>
      </w:pPr>
      <w:r>
        <w:rPr>
          <w:rFonts w:hint="eastAsia" w:ascii="仿宋_GB2312" w:eastAsia="仿宋_GB2312"/>
          <w:sz w:val="32"/>
          <w:szCs w:val="32"/>
        </w:rPr>
        <w:t>其中：</w:t>
      </w:r>
      <w:r>
        <w:rPr>
          <w:rFonts w:hint="eastAsia" w:ascii="仿宋_GB2312" w:eastAsia="仿宋_GB2312"/>
          <w:b/>
          <w:sz w:val="32"/>
          <w:szCs w:val="32"/>
        </w:rPr>
        <w:t>公务用车购置支出</w:t>
      </w:r>
      <w:r>
        <w:rPr>
          <w:rFonts w:ascii="仿宋" w:hAnsi="仿宋" w:eastAsia="仿宋"/>
          <w:b/>
          <w:sz w:val="32"/>
          <w:szCs w:val="32"/>
        </w:rPr>
        <w:t>0</w:t>
      </w:r>
      <w:r>
        <w:rPr>
          <w:rFonts w:hint="eastAsia" w:ascii="仿宋_GB2312" w:eastAsia="仿宋_GB2312"/>
          <w:sz w:val="32"/>
          <w:szCs w:val="32"/>
        </w:rPr>
        <w:t>万元。全年按规定更新购置公务用车</w:t>
      </w:r>
      <w:r>
        <w:rPr>
          <w:rFonts w:hint="eastAsia" w:ascii="仿宋_GB2312" w:eastAsia="仿宋_GB2312"/>
          <w:sz w:val="32"/>
          <w:szCs w:val="32"/>
          <w:lang w:val="en-US" w:eastAsia="zh-CN"/>
        </w:rPr>
        <w:t>0</w:t>
      </w:r>
      <w:r>
        <w:rPr>
          <w:rFonts w:hint="eastAsia" w:ascii="仿宋_GB2312" w:eastAsia="仿宋_GB2312"/>
          <w:sz w:val="32"/>
          <w:szCs w:val="32"/>
        </w:rPr>
        <w:t>辆，其中：轿车</w:t>
      </w:r>
      <w:r>
        <w:rPr>
          <w:rFonts w:hint="eastAsia" w:ascii="仿宋_GB2312" w:eastAsia="仿宋_GB2312"/>
          <w:sz w:val="32"/>
          <w:szCs w:val="32"/>
          <w:lang w:val="en-US" w:eastAsia="zh-CN"/>
        </w:rPr>
        <w:t>0</w:t>
      </w:r>
      <w:r>
        <w:rPr>
          <w:rFonts w:hint="eastAsia" w:ascii="仿宋_GB2312" w:eastAsia="仿宋_GB2312"/>
          <w:sz w:val="32"/>
          <w:szCs w:val="32"/>
        </w:rPr>
        <w:t>辆、金额</w:t>
      </w:r>
      <w:r>
        <w:rPr>
          <w:rFonts w:hint="eastAsia" w:ascii="仿宋_GB2312" w:eastAsia="仿宋_GB2312"/>
          <w:sz w:val="32"/>
          <w:szCs w:val="32"/>
          <w:lang w:val="en-US" w:eastAsia="zh-CN"/>
        </w:rPr>
        <w:t>0</w:t>
      </w:r>
      <w:r>
        <w:rPr>
          <w:rFonts w:hint="eastAsia" w:ascii="仿宋_GB2312" w:eastAsia="仿宋_GB2312"/>
          <w:sz w:val="32"/>
          <w:szCs w:val="32"/>
        </w:rPr>
        <w:t>万元，越野车</w:t>
      </w:r>
      <w:r>
        <w:rPr>
          <w:rFonts w:hint="eastAsia" w:ascii="仿宋_GB2312" w:eastAsia="仿宋_GB2312"/>
          <w:sz w:val="32"/>
          <w:szCs w:val="32"/>
          <w:lang w:val="en-US" w:eastAsia="zh-CN"/>
        </w:rPr>
        <w:t>0</w:t>
      </w:r>
      <w:r>
        <w:rPr>
          <w:rFonts w:hint="eastAsia" w:ascii="仿宋_GB2312" w:eastAsia="仿宋_GB2312"/>
          <w:sz w:val="32"/>
          <w:szCs w:val="32"/>
        </w:rPr>
        <w:t>辆、金额</w:t>
      </w:r>
      <w:r>
        <w:rPr>
          <w:rFonts w:hint="eastAsia" w:ascii="仿宋_GB2312" w:eastAsia="仿宋_GB2312"/>
          <w:sz w:val="32"/>
          <w:szCs w:val="32"/>
          <w:lang w:val="en-US" w:eastAsia="zh-CN"/>
        </w:rPr>
        <w:t>0</w:t>
      </w:r>
      <w:r>
        <w:rPr>
          <w:rFonts w:hint="eastAsia" w:ascii="仿宋_GB2312" w:eastAsia="仿宋_GB2312"/>
          <w:sz w:val="32"/>
          <w:szCs w:val="32"/>
        </w:rPr>
        <w:t>万元，载客汽车</w:t>
      </w:r>
      <w:r>
        <w:rPr>
          <w:rFonts w:hint="eastAsia" w:ascii="仿宋_GB2312" w:eastAsia="仿宋_GB2312"/>
          <w:sz w:val="32"/>
          <w:szCs w:val="32"/>
          <w:lang w:val="en-US" w:eastAsia="zh-CN"/>
        </w:rPr>
        <w:t>0</w:t>
      </w:r>
      <w:r>
        <w:rPr>
          <w:rFonts w:hint="eastAsia" w:ascii="仿宋_GB2312" w:eastAsia="仿宋_GB2312"/>
          <w:sz w:val="32"/>
          <w:szCs w:val="32"/>
        </w:rPr>
        <w:t>辆、金额</w:t>
      </w:r>
      <w:r>
        <w:rPr>
          <w:rFonts w:hint="eastAsia" w:ascii="仿宋_GB2312" w:eastAsia="仿宋_GB2312"/>
          <w:sz w:val="32"/>
          <w:szCs w:val="32"/>
          <w:lang w:val="en-US" w:eastAsia="zh-CN"/>
        </w:rPr>
        <w:t>0</w:t>
      </w:r>
      <w:r>
        <w:rPr>
          <w:rFonts w:hint="eastAsia" w:ascii="仿宋_GB2312" w:eastAsia="仿宋_GB2312"/>
          <w:sz w:val="32"/>
          <w:szCs w:val="32"/>
        </w:rPr>
        <w:t>万元。截至2023年</w:t>
      </w:r>
      <w:r>
        <w:rPr>
          <w:rFonts w:ascii="仿宋_GB2312" w:eastAsia="仿宋_GB2312"/>
          <w:sz w:val="32"/>
          <w:szCs w:val="32"/>
        </w:rPr>
        <w:t>12</w:t>
      </w:r>
      <w:r>
        <w:rPr>
          <w:rFonts w:hint="eastAsia" w:ascii="仿宋_GB2312" w:eastAsia="仿宋_GB2312"/>
          <w:sz w:val="32"/>
          <w:szCs w:val="32"/>
        </w:rPr>
        <w:t>月31日，单位共有公务用车</w:t>
      </w:r>
      <w:r>
        <w:rPr>
          <w:rFonts w:hint="eastAsia" w:ascii="仿宋_GB2312" w:eastAsia="仿宋_GB2312"/>
          <w:sz w:val="32"/>
          <w:szCs w:val="32"/>
          <w:lang w:val="en-US" w:eastAsia="zh-CN"/>
        </w:rPr>
        <w:t>0</w:t>
      </w:r>
      <w:r>
        <w:rPr>
          <w:rFonts w:hint="eastAsia" w:ascii="仿宋_GB2312" w:eastAsia="仿宋_GB2312"/>
          <w:sz w:val="32"/>
          <w:szCs w:val="32"/>
        </w:rPr>
        <w:t>辆，其中：轿车</w:t>
      </w:r>
      <w:r>
        <w:rPr>
          <w:rFonts w:hint="eastAsia" w:ascii="仿宋_GB2312" w:eastAsia="仿宋_GB2312"/>
          <w:sz w:val="32"/>
          <w:szCs w:val="32"/>
          <w:lang w:val="en-US" w:eastAsia="zh-CN"/>
        </w:rPr>
        <w:t>0</w:t>
      </w:r>
      <w:r>
        <w:rPr>
          <w:rFonts w:hint="eastAsia" w:ascii="仿宋_GB2312" w:eastAsia="仿宋_GB2312"/>
          <w:sz w:val="32"/>
          <w:szCs w:val="32"/>
        </w:rPr>
        <w:t>辆、越野车</w:t>
      </w:r>
      <w:r>
        <w:rPr>
          <w:rFonts w:hint="eastAsia" w:ascii="仿宋_GB2312" w:eastAsia="仿宋_GB2312"/>
          <w:sz w:val="32"/>
          <w:szCs w:val="32"/>
          <w:lang w:val="en-US" w:eastAsia="zh-CN"/>
        </w:rPr>
        <w:t>0</w:t>
      </w:r>
      <w:r>
        <w:rPr>
          <w:rFonts w:hint="eastAsia" w:ascii="仿宋_GB2312" w:eastAsia="仿宋_GB2312"/>
          <w:sz w:val="32"/>
          <w:szCs w:val="32"/>
        </w:rPr>
        <w:t>辆、载客汽车</w:t>
      </w:r>
      <w:r>
        <w:rPr>
          <w:rFonts w:hint="eastAsia" w:ascii="仿宋_GB2312" w:eastAsia="仿宋_GB2312"/>
          <w:sz w:val="32"/>
          <w:szCs w:val="32"/>
          <w:lang w:val="en-US" w:eastAsia="zh-CN"/>
        </w:rPr>
        <w:t>0</w:t>
      </w:r>
      <w:r>
        <w:rPr>
          <w:rFonts w:hint="eastAsia" w:ascii="仿宋_GB2312" w:eastAsia="仿宋_GB2312"/>
          <w:sz w:val="32"/>
          <w:szCs w:val="32"/>
        </w:rPr>
        <w:t>辆。</w:t>
      </w:r>
    </w:p>
    <w:p w14:paraId="0A92481C">
      <w:pPr>
        <w:spacing w:line="600" w:lineRule="exact"/>
        <w:ind w:firstLine="640"/>
        <w:rPr>
          <w:rFonts w:hint="eastAsia" w:ascii="仿宋_GB2312" w:eastAsia="仿宋_GB2312"/>
          <w:sz w:val="32"/>
          <w:szCs w:val="32"/>
        </w:rPr>
      </w:pPr>
      <w:r>
        <w:rPr>
          <w:rFonts w:hint="eastAsia" w:ascii="仿宋_GB2312" w:eastAsia="仿宋_GB2312"/>
          <w:b/>
          <w:sz w:val="32"/>
          <w:szCs w:val="32"/>
        </w:rPr>
        <w:t>公务用车运行维护费支出</w:t>
      </w:r>
      <w:r>
        <w:rPr>
          <w:rFonts w:ascii="仿宋" w:hAnsi="仿宋" w:eastAsia="仿宋"/>
          <w:b/>
          <w:sz w:val="32"/>
          <w:szCs w:val="32"/>
        </w:rPr>
        <w:t>0</w:t>
      </w:r>
      <w:r>
        <w:rPr>
          <w:rFonts w:hint="eastAsia" w:ascii="仿宋_GB2312" w:eastAsia="仿宋_GB2312"/>
          <w:sz w:val="32"/>
          <w:szCs w:val="32"/>
        </w:rPr>
        <w:t>万元。</w:t>
      </w:r>
    </w:p>
    <w:p w14:paraId="53753776">
      <w:pPr>
        <w:spacing w:line="600" w:lineRule="exact"/>
        <w:ind w:firstLine="640"/>
        <w:rPr>
          <w:rFonts w:ascii="仿宋_GB2312" w:eastAsia="仿宋_GB2312"/>
          <w:sz w:val="32"/>
          <w:szCs w:val="32"/>
        </w:rPr>
      </w:pPr>
      <w:r>
        <w:rPr>
          <w:rFonts w:ascii="仿宋_GB2312" w:eastAsia="仿宋_GB2312"/>
          <w:b/>
          <w:sz w:val="32"/>
          <w:szCs w:val="32"/>
        </w:rPr>
        <w:t>3.</w:t>
      </w:r>
      <w:r>
        <w:rPr>
          <w:rFonts w:hint="eastAsia" w:ascii="仿宋_GB2312" w:eastAsia="仿宋_GB2312"/>
          <w:b/>
          <w:sz w:val="32"/>
          <w:szCs w:val="32"/>
        </w:rPr>
        <w:t>公务接待费支出</w:t>
      </w:r>
      <w:r>
        <w:rPr>
          <w:rFonts w:ascii="仿宋" w:hAnsi="仿宋" w:eastAsia="仿宋"/>
          <w:b/>
          <w:sz w:val="32"/>
          <w:szCs w:val="32"/>
        </w:rPr>
        <w:t>0.32</w:t>
      </w:r>
      <w:r>
        <w:rPr>
          <w:rFonts w:hint="eastAsia" w:ascii="仿宋_GB2312" w:eastAsia="仿宋_GB2312"/>
          <w:sz w:val="32"/>
          <w:szCs w:val="32"/>
        </w:rPr>
        <w:t>万元，</w:t>
      </w:r>
      <w:r>
        <w:rPr>
          <w:rStyle w:val="21"/>
          <w:rFonts w:hint="eastAsia" w:ascii="仿宋" w:hAnsi="仿宋" w:eastAsia="仿宋"/>
          <w:b w:val="0"/>
          <w:bCs/>
          <w:sz w:val="32"/>
          <w:szCs w:val="32"/>
        </w:rPr>
        <w:t>完成预算</w:t>
      </w:r>
      <w:r>
        <w:rPr>
          <w:rStyle w:val="21"/>
          <w:rFonts w:ascii="仿宋" w:hAnsi="仿宋" w:eastAsia="仿宋"/>
          <w:b w:val="0"/>
          <w:bCs/>
          <w:sz w:val="32"/>
          <w:szCs w:val="32"/>
        </w:rPr>
        <w:t>100%</w:t>
      </w:r>
      <w:r>
        <w:rPr>
          <w:rStyle w:val="21"/>
          <w:rFonts w:hint="eastAsia" w:ascii="仿宋" w:hAnsi="仿宋" w:eastAsia="仿宋"/>
          <w:b w:val="0"/>
          <w:bCs/>
          <w:sz w:val="32"/>
          <w:szCs w:val="32"/>
        </w:rPr>
        <w:t>。</w:t>
      </w:r>
      <w:r>
        <w:rPr>
          <w:rFonts w:hint="eastAsia" w:ascii="仿宋_GB2312" w:eastAsia="仿宋_GB2312"/>
          <w:sz w:val="32"/>
          <w:szCs w:val="32"/>
        </w:rPr>
        <w:t>公务接待费支出决算比2022年度减少</w:t>
      </w:r>
      <w:r>
        <w:rPr>
          <w:rFonts w:hint="eastAsia" w:ascii="仿宋_GB2312" w:eastAsia="仿宋_GB2312"/>
          <w:sz w:val="32"/>
          <w:szCs w:val="32"/>
          <w:lang w:val="en-US" w:eastAsia="zh-CN"/>
        </w:rPr>
        <w:t>0.19</w:t>
      </w:r>
      <w:r>
        <w:rPr>
          <w:rFonts w:hint="eastAsia" w:ascii="仿宋_GB2312" w:eastAsia="仿宋_GB2312"/>
          <w:sz w:val="32"/>
          <w:szCs w:val="32"/>
        </w:rPr>
        <w:t>万元，下降</w:t>
      </w:r>
      <w:r>
        <w:rPr>
          <w:rFonts w:hint="eastAsia" w:ascii="仿宋_GB2312" w:eastAsia="仿宋_GB2312"/>
          <w:sz w:val="32"/>
          <w:szCs w:val="32"/>
          <w:lang w:val="en-US" w:eastAsia="zh-CN"/>
        </w:rPr>
        <w:t>36.89</w:t>
      </w:r>
      <w:r>
        <w:rPr>
          <w:rFonts w:ascii="仿宋_GB2312" w:eastAsia="仿宋_GB2312"/>
          <w:sz w:val="32"/>
          <w:szCs w:val="32"/>
        </w:rPr>
        <w:t>%</w:t>
      </w:r>
      <w:r>
        <w:rPr>
          <w:rFonts w:hint="eastAsia" w:ascii="仿宋_GB2312" w:eastAsia="仿宋_GB2312"/>
          <w:sz w:val="32"/>
          <w:szCs w:val="32"/>
        </w:rPr>
        <w:t>。主要原因是厉行节约，公务接待从简。其中：</w:t>
      </w:r>
    </w:p>
    <w:p w14:paraId="7EA18892">
      <w:pPr>
        <w:spacing w:line="600" w:lineRule="exact"/>
        <w:ind w:firstLine="640"/>
        <w:rPr>
          <w:rFonts w:ascii="仿宋_GB2312" w:eastAsia="仿宋_GB2312"/>
          <w:sz w:val="32"/>
          <w:szCs w:val="32"/>
          <w:highlight w:val="none"/>
        </w:rPr>
      </w:pPr>
      <w:r>
        <w:rPr>
          <w:rFonts w:hint="eastAsia" w:ascii="仿宋" w:hAnsi="仿宋" w:eastAsia="仿宋"/>
          <w:b/>
          <w:sz w:val="32"/>
          <w:szCs w:val="32"/>
        </w:rPr>
        <w:t>国内公务接待支出</w:t>
      </w:r>
      <w:r>
        <w:rPr>
          <w:rFonts w:ascii="仿宋" w:hAnsi="仿宋" w:eastAsia="仿宋"/>
          <w:b/>
          <w:sz w:val="32"/>
          <w:szCs w:val="32"/>
        </w:rPr>
        <w:t>0.32</w:t>
      </w:r>
      <w:r>
        <w:rPr>
          <w:rFonts w:hint="eastAsia" w:ascii="仿宋_GB2312" w:eastAsia="仿宋_GB2312"/>
          <w:sz w:val="32"/>
          <w:szCs w:val="32"/>
        </w:rPr>
        <w:t>万元</w:t>
      </w:r>
      <w:r>
        <w:rPr>
          <w:rFonts w:hint="eastAsia" w:ascii="仿宋_GB2312" w:eastAsia="仿宋_GB2312"/>
          <w:sz w:val="32"/>
          <w:szCs w:val="32"/>
          <w:highlight w:val="none"/>
        </w:rPr>
        <w:t>，主要用于开展业务活动开支的交通费、住宿费、用餐费等。国内公务接待</w:t>
      </w:r>
      <w:r>
        <w:rPr>
          <w:rFonts w:hint="eastAsia" w:ascii="仿宋_GB2312" w:eastAsia="仿宋_GB2312"/>
          <w:sz w:val="32"/>
          <w:szCs w:val="32"/>
          <w:highlight w:val="none"/>
          <w:lang w:val="en-US" w:eastAsia="zh-CN"/>
        </w:rPr>
        <w:t>3</w:t>
      </w:r>
      <w:r>
        <w:rPr>
          <w:rFonts w:hint="eastAsia" w:ascii="仿宋_GB2312" w:eastAsia="仿宋_GB2312"/>
          <w:sz w:val="32"/>
          <w:szCs w:val="32"/>
          <w:highlight w:val="none"/>
        </w:rPr>
        <w:t>批次，</w:t>
      </w:r>
      <w:r>
        <w:rPr>
          <w:rFonts w:hint="eastAsia" w:ascii="仿宋_GB2312" w:eastAsia="仿宋_GB2312"/>
          <w:sz w:val="32"/>
          <w:szCs w:val="32"/>
          <w:highlight w:val="none"/>
          <w:lang w:val="en-US" w:eastAsia="zh-CN"/>
        </w:rPr>
        <w:t>33</w:t>
      </w:r>
      <w:r>
        <w:rPr>
          <w:rFonts w:hint="eastAsia" w:ascii="仿宋_GB2312" w:eastAsia="仿宋_GB2312"/>
          <w:sz w:val="32"/>
          <w:szCs w:val="32"/>
          <w:highlight w:val="none"/>
        </w:rPr>
        <w:t>人次（不包括陪同人员），共计支出</w:t>
      </w:r>
      <w:r>
        <w:rPr>
          <w:rFonts w:hint="eastAsia" w:ascii="仿宋_GB2312" w:eastAsia="仿宋_GB2312"/>
          <w:sz w:val="32"/>
          <w:szCs w:val="32"/>
          <w:highlight w:val="none"/>
          <w:lang w:val="en-US" w:eastAsia="zh-CN"/>
        </w:rPr>
        <w:t>0.32</w:t>
      </w:r>
      <w:r>
        <w:rPr>
          <w:rFonts w:hint="eastAsia" w:ascii="仿宋_GB2312" w:eastAsia="仿宋_GB2312"/>
          <w:sz w:val="32"/>
          <w:szCs w:val="32"/>
          <w:highlight w:val="none"/>
        </w:rPr>
        <w:t>万元，具体内容包括：公务接待沙湾区科协一行10人（考察学习新林镇茗新村乡村振兴</w:t>
      </w:r>
      <w:r>
        <w:rPr>
          <w:rFonts w:hint="eastAsia" w:ascii="仿宋_GB2312" w:eastAsia="仿宋_GB2312"/>
          <w:sz w:val="32"/>
          <w:szCs w:val="32"/>
          <w:highlight w:val="none"/>
          <w:lang w:eastAsia="zh-CN"/>
        </w:rPr>
        <w:t>工作</w:t>
      </w:r>
      <w:r>
        <w:rPr>
          <w:rFonts w:hint="eastAsia" w:ascii="仿宋_GB2312" w:eastAsia="仿宋_GB2312"/>
          <w:sz w:val="32"/>
          <w:szCs w:val="32"/>
          <w:highlight w:val="none"/>
        </w:rPr>
        <w:t>）</w:t>
      </w:r>
      <w:r>
        <w:rPr>
          <w:rFonts w:hint="eastAsia" w:ascii="仿宋_GB2312" w:eastAsia="仿宋_GB2312"/>
          <w:sz w:val="32"/>
          <w:szCs w:val="32"/>
          <w:highlight w:val="none"/>
          <w:lang w:val="en-US" w:eastAsia="zh-CN"/>
        </w:rPr>
        <w:t>1225元；公务接待（市科协党组成员李瑛一行4人赴峨边开展调研科普工作）595元；公务接待（乐山市科协税杰一行5人赴峨边开展少数民族地区科普工作调研）735元；接待市科协开展协会党建天府科技调研5人680元</w:t>
      </w:r>
      <w:r>
        <w:rPr>
          <w:rFonts w:hint="eastAsia" w:ascii="仿宋_GB2312" w:eastAsia="仿宋_GB2312"/>
          <w:sz w:val="32"/>
          <w:szCs w:val="32"/>
          <w:highlight w:val="none"/>
        </w:rPr>
        <w:t>。</w:t>
      </w:r>
    </w:p>
    <w:p w14:paraId="49F2A7CE">
      <w:pPr>
        <w:spacing w:line="600" w:lineRule="exact"/>
        <w:ind w:firstLine="643" w:firstLineChars="200"/>
        <w:rPr>
          <w:rFonts w:hint="eastAsia" w:ascii="仿宋_GB2312" w:eastAsia="仿宋_GB2312"/>
          <w:sz w:val="32"/>
          <w:szCs w:val="32"/>
          <w:highlight w:val="none"/>
          <w:lang w:eastAsia="zh-CN"/>
        </w:rPr>
      </w:pPr>
      <w:r>
        <w:rPr>
          <w:rFonts w:hint="eastAsia" w:ascii="仿宋" w:hAnsi="仿宋" w:eastAsia="仿宋"/>
          <w:b/>
          <w:sz w:val="32"/>
          <w:szCs w:val="32"/>
          <w:highlight w:val="none"/>
        </w:rPr>
        <w:t>外事接待支出</w:t>
      </w:r>
      <w:r>
        <w:rPr>
          <w:rFonts w:ascii="仿宋" w:hAnsi="仿宋" w:eastAsia="仿宋"/>
          <w:b/>
          <w:sz w:val="32"/>
          <w:szCs w:val="32"/>
          <w:highlight w:val="none"/>
        </w:rPr>
        <w:t>0</w:t>
      </w:r>
      <w:r>
        <w:rPr>
          <w:rFonts w:hint="eastAsia" w:ascii="仿宋_GB2312" w:eastAsia="仿宋_GB2312"/>
          <w:sz w:val="32"/>
          <w:szCs w:val="32"/>
          <w:highlight w:val="none"/>
        </w:rPr>
        <w:t>万元</w:t>
      </w:r>
      <w:r>
        <w:rPr>
          <w:rFonts w:hint="eastAsia" w:ascii="仿宋_GB2312" w:eastAsia="仿宋_GB2312"/>
          <w:sz w:val="32"/>
          <w:szCs w:val="32"/>
          <w:highlight w:val="none"/>
          <w:lang w:eastAsia="zh-CN"/>
        </w:rPr>
        <w:t>。</w:t>
      </w:r>
    </w:p>
    <w:p w14:paraId="3A732132">
      <w:pPr>
        <w:spacing w:line="600" w:lineRule="exact"/>
        <w:ind w:firstLine="640"/>
        <w:outlineLvl w:val="1"/>
        <w:rPr>
          <w:rStyle w:val="33"/>
          <w:rFonts w:ascii="黑体" w:hAnsi="黑体" w:eastAsia="黑体"/>
        </w:rPr>
      </w:pPr>
      <w:bookmarkStart w:id="73" w:name="_Toc31915"/>
      <w:r>
        <w:rPr>
          <w:rFonts w:hint="eastAsia" w:ascii="黑体" w:eastAsia="黑体"/>
          <w:sz w:val="32"/>
          <w:szCs w:val="32"/>
        </w:rPr>
        <w:t>八、</w:t>
      </w:r>
      <w:r>
        <w:rPr>
          <w:rStyle w:val="33"/>
          <w:rFonts w:hint="eastAsia" w:ascii="黑体" w:hAnsi="黑体" w:eastAsia="黑体"/>
          <w:b w:val="0"/>
        </w:rPr>
        <w:t>政府性基金预算支出决算情况说明</w:t>
      </w:r>
      <w:bookmarkEnd w:id="69"/>
      <w:bookmarkEnd w:id="70"/>
      <w:bookmarkEnd w:id="73"/>
    </w:p>
    <w:p w14:paraId="561552FA">
      <w:pPr>
        <w:spacing w:line="600" w:lineRule="exact"/>
        <w:ind w:firstLine="640"/>
        <w:rPr>
          <w:rFonts w:ascii="仿宋_GB2312" w:eastAsia="仿宋_GB2312"/>
          <w:sz w:val="32"/>
          <w:szCs w:val="32"/>
        </w:rPr>
      </w:pPr>
      <w:r>
        <w:rPr>
          <w:rFonts w:hint="eastAsia" w:ascii="仿宋_GB2312" w:eastAsia="仿宋_GB2312"/>
          <w:sz w:val="32"/>
          <w:szCs w:val="32"/>
        </w:rPr>
        <w:t>2023年度政府性基金预算财政拨款支出</w:t>
      </w:r>
      <w:r>
        <w:rPr>
          <w:sz w:val="32"/>
          <w:szCs w:val="32"/>
        </w:rPr>
        <w:t>0</w:t>
      </w:r>
      <w:r>
        <w:rPr>
          <w:rFonts w:hint="eastAsia" w:ascii="仿宋_GB2312" w:eastAsia="仿宋_GB2312"/>
          <w:sz w:val="32"/>
          <w:szCs w:val="32"/>
        </w:rPr>
        <w:t>万元。</w:t>
      </w:r>
    </w:p>
    <w:p w14:paraId="302D94A6">
      <w:pPr>
        <w:numPr>
          <w:ilvl w:val="0"/>
          <w:numId w:val="4"/>
        </w:numPr>
        <w:spacing w:line="600" w:lineRule="exact"/>
        <w:ind w:firstLine="640"/>
        <w:outlineLvl w:val="1"/>
        <w:rPr>
          <w:rStyle w:val="33"/>
          <w:rFonts w:ascii="黑体" w:hAnsi="黑体" w:eastAsia="黑体"/>
          <w:b w:val="0"/>
        </w:rPr>
      </w:pPr>
      <w:bookmarkStart w:id="74" w:name="_Toc15377219"/>
      <w:bookmarkStart w:id="75" w:name="_Toc16468"/>
      <w:bookmarkStart w:id="76" w:name="_Toc15396611"/>
      <w:r>
        <w:rPr>
          <w:rStyle w:val="33"/>
          <w:rFonts w:hint="eastAsia" w:ascii="黑体" w:hAnsi="黑体" w:eastAsia="黑体"/>
          <w:b w:val="0"/>
        </w:rPr>
        <w:t>国有资本经营预算支出决算情况说明</w:t>
      </w:r>
      <w:bookmarkEnd w:id="74"/>
      <w:bookmarkEnd w:id="75"/>
      <w:bookmarkEnd w:id="76"/>
    </w:p>
    <w:p w14:paraId="790D6926">
      <w:pPr>
        <w:spacing w:line="600" w:lineRule="exact"/>
        <w:ind w:firstLine="640"/>
        <w:rPr>
          <w:rFonts w:ascii="仿宋_GB2312" w:eastAsia="仿宋_GB2312"/>
          <w:sz w:val="32"/>
          <w:szCs w:val="32"/>
        </w:rPr>
      </w:pPr>
      <w:r>
        <w:rPr>
          <w:rFonts w:hint="eastAsia" w:ascii="仿宋_GB2312" w:eastAsia="仿宋_GB2312"/>
          <w:sz w:val="32"/>
          <w:szCs w:val="32"/>
        </w:rPr>
        <w:t>2023年度国有资本经营预算财政拨款支出</w:t>
      </w:r>
      <w:r>
        <w:rPr>
          <w:sz w:val="32"/>
          <w:szCs w:val="32"/>
        </w:rPr>
        <w:t>0</w:t>
      </w:r>
      <w:r>
        <w:rPr>
          <w:rFonts w:hint="eastAsia" w:ascii="仿宋_GB2312" w:eastAsia="仿宋_GB2312"/>
          <w:sz w:val="32"/>
          <w:szCs w:val="32"/>
        </w:rPr>
        <w:t>万元。</w:t>
      </w:r>
    </w:p>
    <w:p w14:paraId="3FCE37D3">
      <w:pPr>
        <w:numPr>
          <w:ilvl w:val="0"/>
          <w:numId w:val="4"/>
        </w:numPr>
        <w:spacing w:line="600" w:lineRule="exact"/>
        <w:ind w:firstLine="640"/>
        <w:outlineLvl w:val="1"/>
        <w:rPr>
          <w:rStyle w:val="33"/>
          <w:rFonts w:ascii="黑体" w:hAnsi="黑体" w:eastAsia="黑体"/>
          <w:b w:val="0"/>
        </w:rPr>
      </w:pPr>
      <w:bookmarkStart w:id="77" w:name="_Toc15377221"/>
      <w:bookmarkStart w:id="78" w:name="_Toc7449"/>
      <w:bookmarkStart w:id="79" w:name="_Toc15396612"/>
      <w:r>
        <w:rPr>
          <w:rStyle w:val="33"/>
          <w:rFonts w:hint="eastAsia" w:ascii="黑体" w:hAnsi="黑体" w:eastAsia="黑体"/>
          <w:b w:val="0"/>
        </w:rPr>
        <w:t>其他重要事项的情况说明</w:t>
      </w:r>
      <w:bookmarkEnd w:id="77"/>
      <w:bookmarkEnd w:id="78"/>
      <w:bookmarkEnd w:id="79"/>
    </w:p>
    <w:p w14:paraId="6D1D6FE4">
      <w:pPr>
        <w:spacing w:line="600" w:lineRule="exact"/>
        <w:ind w:firstLine="643" w:firstLineChars="200"/>
        <w:outlineLvl w:val="2"/>
        <w:rPr>
          <w:rFonts w:ascii="仿宋" w:hAnsi="仿宋" w:eastAsia="仿宋"/>
          <w:sz w:val="32"/>
          <w:szCs w:val="32"/>
        </w:rPr>
      </w:pPr>
      <w:bookmarkStart w:id="80" w:name="_Toc15377222"/>
      <w:r>
        <w:rPr>
          <w:rFonts w:hint="eastAsia" w:ascii="仿宋" w:hAnsi="仿宋" w:eastAsia="仿宋"/>
          <w:b/>
          <w:sz w:val="32"/>
          <w:szCs w:val="32"/>
        </w:rPr>
        <w:t>（一）机关运行经费支出情况</w:t>
      </w:r>
      <w:bookmarkEnd w:id="80"/>
    </w:p>
    <w:p w14:paraId="77BA6C1D">
      <w:pPr>
        <w:spacing w:line="600" w:lineRule="exact"/>
        <w:ind w:firstLine="640" w:firstLineChars="200"/>
        <w:rPr>
          <w:rFonts w:ascii="仿宋_GB2312" w:eastAsia="仿宋_GB2312"/>
          <w:sz w:val="32"/>
          <w:szCs w:val="32"/>
        </w:rPr>
      </w:pPr>
      <w:r>
        <w:rPr>
          <w:rFonts w:hint="eastAsia" w:ascii="仿宋_GB2312" w:eastAsia="仿宋_GB2312"/>
          <w:sz w:val="32"/>
          <w:szCs w:val="32"/>
        </w:rPr>
        <w:t>2023年度，</w:t>
      </w:r>
      <w:r>
        <w:rPr>
          <w:rFonts w:ascii="仿宋_GB2312" w:eastAsia="仿宋_GB2312"/>
          <w:b w:val="0"/>
          <w:bCs/>
          <w:sz w:val="32"/>
          <w:szCs w:val="32"/>
        </w:rPr>
        <w:t>峨边彝族自治县科学技术协会</w:t>
      </w:r>
      <w:r>
        <w:rPr>
          <w:rFonts w:hint="eastAsia" w:ascii="仿宋_GB2312" w:eastAsia="仿宋_GB2312"/>
          <w:b w:val="0"/>
          <w:bCs/>
          <w:sz w:val="32"/>
          <w:szCs w:val="32"/>
        </w:rPr>
        <w:t>机关运行经费支出</w:t>
      </w:r>
      <w:r>
        <w:rPr>
          <w:rFonts w:ascii="仿宋" w:hAnsi="仿宋" w:eastAsia="仿宋"/>
          <w:b w:val="0"/>
          <w:bCs/>
          <w:sz w:val="32"/>
          <w:szCs w:val="32"/>
        </w:rPr>
        <w:t>21.07</w:t>
      </w:r>
      <w:r>
        <w:rPr>
          <w:rFonts w:hint="eastAsia" w:ascii="仿宋_GB2312" w:eastAsia="仿宋_GB2312"/>
          <w:b w:val="0"/>
          <w:bCs/>
          <w:sz w:val="32"/>
          <w:szCs w:val="32"/>
        </w:rPr>
        <w:t>万元，比2022年度减少</w:t>
      </w:r>
      <w:r>
        <w:rPr>
          <w:rFonts w:hint="eastAsia" w:ascii="仿宋_GB2312" w:eastAsia="仿宋_GB2312"/>
          <w:b w:val="0"/>
          <w:bCs/>
          <w:sz w:val="32"/>
          <w:szCs w:val="32"/>
          <w:lang w:val="en-US" w:eastAsia="zh-CN"/>
        </w:rPr>
        <w:t>0.14</w:t>
      </w:r>
      <w:r>
        <w:rPr>
          <w:rFonts w:hint="eastAsia" w:ascii="仿宋_GB2312" w:eastAsia="仿宋_GB2312"/>
          <w:b w:val="0"/>
          <w:bCs/>
          <w:sz w:val="32"/>
          <w:szCs w:val="32"/>
        </w:rPr>
        <w:t>万元，下降</w:t>
      </w:r>
      <w:r>
        <w:rPr>
          <w:rFonts w:hint="eastAsia" w:ascii="仿宋_GB2312" w:eastAsia="仿宋_GB2312"/>
          <w:b w:val="0"/>
          <w:bCs/>
          <w:sz w:val="32"/>
          <w:szCs w:val="32"/>
          <w:lang w:val="en-US" w:eastAsia="zh-CN"/>
        </w:rPr>
        <w:t>0.65</w:t>
      </w:r>
      <w:r>
        <w:rPr>
          <w:rFonts w:ascii="仿宋_GB2312" w:eastAsia="仿宋_GB2312"/>
          <w:b w:val="0"/>
          <w:bCs/>
          <w:sz w:val="32"/>
          <w:szCs w:val="32"/>
        </w:rPr>
        <w:t>%</w:t>
      </w:r>
      <w:r>
        <w:rPr>
          <w:rFonts w:hint="eastAsia" w:ascii="仿宋_GB2312" w:eastAsia="仿宋_GB2312"/>
          <w:b w:val="0"/>
          <w:bCs/>
          <w:sz w:val="32"/>
          <w:szCs w:val="32"/>
        </w:rPr>
        <w:t>。</w:t>
      </w:r>
    </w:p>
    <w:p w14:paraId="69C8744E">
      <w:pPr>
        <w:autoSpaceDE w:val="0"/>
        <w:autoSpaceDN w:val="0"/>
        <w:adjustRightInd w:val="0"/>
        <w:spacing w:line="600" w:lineRule="exact"/>
        <w:ind w:firstLine="643" w:firstLineChars="200"/>
        <w:jc w:val="left"/>
        <w:outlineLvl w:val="2"/>
        <w:rPr>
          <w:rFonts w:ascii="仿宋" w:hAnsi="仿宋" w:eastAsia="仿宋"/>
          <w:b/>
          <w:sz w:val="32"/>
          <w:szCs w:val="32"/>
        </w:rPr>
      </w:pPr>
      <w:bookmarkStart w:id="81" w:name="_Toc15377223"/>
      <w:r>
        <w:rPr>
          <w:rFonts w:hint="eastAsia" w:ascii="仿宋" w:hAnsi="仿宋" w:eastAsia="仿宋"/>
          <w:b/>
          <w:sz w:val="32"/>
          <w:szCs w:val="32"/>
        </w:rPr>
        <w:t>（二）政府采购支出情况</w:t>
      </w:r>
      <w:bookmarkEnd w:id="81"/>
    </w:p>
    <w:p w14:paraId="7EAE8C62">
      <w:pPr>
        <w:spacing w:line="600" w:lineRule="exact"/>
        <w:ind w:firstLine="640" w:firstLineChars="200"/>
        <w:rPr>
          <w:rFonts w:ascii="仿宋_GB2312" w:eastAsia="仿宋_GB2312"/>
          <w:sz w:val="32"/>
          <w:szCs w:val="32"/>
        </w:rPr>
      </w:pPr>
      <w:r>
        <w:rPr>
          <w:rFonts w:hint="eastAsia" w:ascii="仿宋_GB2312" w:eastAsia="仿宋_GB2312"/>
          <w:sz w:val="32"/>
          <w:szCs w:val="32"/>
        </w:rPr>
        <w:t>2023年度，峨边彝族自治县科学技术协会政府采购支出总额</w:t>
      </w:r>
      <w:r>
        <w:rPr>
          <w:sz w:val="32"/>
          <w:szCs w:val="32"/>
        </w:rPr>
        <w:t>0</w:t>
      </w:r>
      <w:r>
        <w:rPr>
          <w:rFonts w:hint="eastAsia" w:ascii="仿宋_GB2312" w:eastAsia="仿宋_GB2312"/>
          <w:sz w:val="32"/>
          <w:szCs w:val="32"/>
        </w:rPr>
        <w:t>万元，其中：政府采购货物支出</w:t>
      </w:r>
      <w:r>
        <w:rPr>
          <w:sz w:val="32"/>
          <w:szCs w:val="32"/>
        </w:rPr>
        <w:t>0</w:t>
      </w:r>
      <w:r>
        <w:rPr>
          <w:rFonts w:hint="eastAsia" w:ascii="仿宋_GB2312" w:eastAsia="仿宋_GB2312"/>
          <w:sz w:val="32"/>
          <w:szCs w:val="32"/>
        </w:rPr>
        <w:t>万元、政府采购工程支出</w:t>
      </w:r>
      <w:r>
        <w:rPr>
          <w:sz w:val="32"/>
          <w:szCs w:val="32"/>
        </w:rPr>
        <w:t>0</w:t>
      </w:r>
      <w:r>
        <w:rPr>
          <w:rFonts w:hint="eastAsia" w:ascii="仿宋_GB2312" w:eastAsia="仿宋_GB2312"/>
          <w:sz w:val="32"/>
          <w:szCs w:val="32"/>
        </w:rPr>
        <w:t>万元、政府采购服务支出</w:t>
      </w:r>
      <w:r>
        <w:rPr>
          <w:sz w:val="32"/>
          <w:szCs w:val="32"/>
        </w:rPr>
        <w:t>0</w:t>
      </w:r>
      <w:r>
        <w:rPr>
          <w:rFonts w:hint="eastAsia" w:ascii="仿宋_GB2312" w:eastAsia="仿宋_GB2312"/>
          <w:sz w:val="32"/>
          <w:szCs w:val="32"/>
        </w:rPr>
        <w:t>万元。授予中小企业合同金额</w:t>
      </w:r>
      <w:r>
        <w:rPr>
          <w:sz w:val="32"/>
          <w:szCs w:val="32"/>
        </w:rPr>
        <w:t>0</w:t>
      </w:r>
      <w:r>
        <w:rPr>
          <w:rFonts w:hint="eastAsia" w:ascii="仿宋_GB2312" w:eastAsia="仿宋_GB2312"/>
          <w:sz w:val="32"/>
          <w:szCs w:val="32"/>
        </w:rPr>
        <w:t>万元，占政府采购支出总额的</w:t>
      </w:r>
      <w:r>
        <w:rPr>
          <w:sz w:val="32"/>
          <w:szCs w:val="32"/>
        </w:rPr>
        <w:t>0</w:t>
      </w:r>
      <w:r>
        <w:rPr>
          <w:rFonts w:ascii="仿宋_GB2312" w:eastAsia="仿宋_GB2312"/>
          <w:sz w:val="32"/>
          <w:szCs w:val="32"/>
        </w:rPr>
        <w:t>%</w:t>
      </w:r>
      <w:r>
        <w:rPr>
          <w:rFonts w:hint="eastAsia" w:ascii="仿宋_GB2312" w:eastAsia="仿宋_GB2312"/>
          <w:sz w:val="32"/>
          <w:szCs w:val="32"/>
        </w:rPr>
        <w:t>，其中：授予小微企业合同金额</w:t>
      </w:r>
      <w:r>
        <w:rPr>
          <w:sz w:val="32"/>
          <w:szCs w:val="32"/>
        </w:rPr>
        <w:t>0</w:t>
      </w:r>
      <w:r>
        <w:rPr>
          <w:rFonts w:hint="eastAsia" w:ascii="仿宋_GB2312" w:eastAsia="仿宋_GB2312"/>
          <w:sz w:val="32"/>
          <w:szCs w:val="32"/>
        </w:rPr>
        <w:t>万元，占政府采购支出总额的</w:t>
      </w:r>
      <w:r>
        <w:rPr>
          <w:sz w:val="32"/>
          <w:szCs w:val="32"/>
        </w:rPr>
        <w:t>0</w:t>
      </w:r>
      <w:r>
        <w:rPr>
          <w:rFonts w:ascii="仿宋_GB2312" w:eastAsia="仿宋_GB2312"/>
          <w:sz w:val="32"/>
          <w:szCs w:val="32"/>
        </w:rPr>
        <w:t>%</w:t>
      </w:r>
      <w:r>
        <w:rPr>
          <w:rFonts w:hint="eastAsia" w:ascii="仿宋_GB2312" w:eastAsia="仿宋_GB2312"/>
          <w:sz w:val="32"/>
          <w:szCs w:val="32"/>
        </w:rPr>
        <w:t>。</w:t>
      </w:r>
    </w:p>
    <w:p w14:paraId="40A77159">
      <w:pPr>
        <w:autoSpaceDE w:val="0"/>
        <w:autoSpaceDN w:val="0"/>
        <w:adjustRightInd w:val="0"/>
        <w:spacing w:line="600" w:lineRule="exact"/>
        <w:ind w:firstLine="643" w:firstLineChars="200"/>
        <w:jc w:val="left"/>
        <w:outlineLvl w:val="2"/>
        <w:rPr>
          <w:rFonts w:ascii="仿宋" w:hAnsi="仿宋" w:eastAsia="仿宋"/>
          <w:b/>
          <w:sz w:val="32"/>
          <w:szCs w:val="32"/>
        </w:rPr>
      </w:pPr>
      <w:bookmarkStart w:id="82" w:name="_Toc15377224"/>
      <w:r>
        <w:rPr>
          <w:rFonts w:hint="eastAsia" w:ascii="仿宋" w:hAnsi="仿宋" w:eastAsia="仿宋"/>
          <w:b/>
          <w:sz w:val="32"/>
          <w:szCs w:val="32"/>
        </w:rPr>
        <w:t>（三）国有资产占有使用情况</w:t>
      </w:r>
      <w:bookmarkEnd w:id="82"/>
    </w:p>
    <w:p w14:paraId="557F1B99">
      <w:pPr>
        <w:autoSpaceDE w:val="0"/>
        <w:autoSpaceDN w:val="0"/>
        <w:adjustRightInd w:val="0"/>
        <w:spacing w:line="600" w:lineRule="exact"/>
        <w:ind w:firstLine="640" w:firstLineChars="200"/>
        <w:jc w:val="left"/>
        <w:rPr>
          <w:rFonts w:ascii="仿宋_GB2312" w:eastAsia="仿宋_GB2312"/>
          <w:b w:val="0"/>
          <w:bCs w:val="0"/>
          <w:sz w:val="32"/>
          <w:szCs w:val="32"/>
        </w:rPr>
      </w:pPr>
      <w:r>
        <w:rPr>
          <w:rFonts w:hint="eastAsia" w:ascii="仿宋_GB2312" w:eastAsia="仿宋_GB2312"/>
          <w:b w:val="0"/>
          <w:bCs w:val="0"/>
          <w:sz w:val="32"/>
          <w:szCs w:val="32"/>
        </w:rPr>
        <w:t>截至2023年</w:t>
      </w:r>
      <w:r>
        <w:rPr>
          <w:rFonts w:ascii="仿宋_GB2312" w:eastAsia="仿宋_GB2312"/>
          <w:b w:val="0"/>
          <w:bCs w:val="0"/>
          <w:sz w:val="32"/>
          <w:szCs w:val="32"/>
        </w:rPr>
        <w:t>12</w:t>
      </w:r>
      <w:r>
        <w:rPr>
          <w:rFonts w:hint="eastAsia" w:ascii="仿宋_GB2312" w:eastAsia="仿宋_GB2312"/>
          <w:b w:val="0"/>
          <w:bCs w:val="0"/>
          <w:sz w:val="32"/>
          <w:szCs w:val="32"/>
        </w:rPr>
        <w:t>月</w:t>
      </w:r>
      <w:r>
        <w:rPr>
          <w:rFonts w:ascii="仿宋_GB2312" w:eastAsia="仿宋_GB2312"/>
          <w:b w:val="0"/>
          <w:bCs w:val="0"/>
          <w:sz w:val="32"/>
          <w:szCs w:val="32"/>
        </w:rPr>
        <w:t>31</w:t>
      </w:r>
      <w:r>
        <w:rPr>
          <w:rFonts w:hint="eastAsia" w:ascii="仿宋_GB2312" w:eastAsia="仿宋_GB2312"/>
          <w:b w:val="0"/>
          <w:bCs w:val="0"/>
          <w:sz w:val="32"/>
          <w:szCs w:val="32"/>
        </w:rPr>
        <w:t>日，</w:t>
      </w:r>
      <w:r>
        <w:rPr>
          <w:rFonts w:ascii="仿宋_GB2312" w:eastAsia="仿宋_GB2312"/>
          <w:b w:val="0"/>
          <w:bCs w:val="0"/>
          <w:sz w:val="32"/>
          <w:szCs w:val="32"/>
        </w:rPr>
        <w:t>峨边彝族自治县科学技术协会</w:t>
      </w:r>
      <w:r>
        <w:rPr>
          <w:rFonts w:hint="eastAsia" w:ascii="仿宋_GB2312" w:eastAsia="仿宋_GB2312"/>
          <w:b w:val="0"/>
          <w:bCs w:val="0"/>
          <w:sz w:val="32"/>
          <w:szCs w:val="32"/>
        </w:rPr>
        <w:t>共有车辆0辆，其中：主要领导干部用车</w:t>
      </w:r>
      <w:r>
        <w:rPr>
          <w:rFonts w:hint="eastAsia" w:ascii="仿宋_GB2312" w:eastAsia="仿宋_GB2312"/>
          <w:b w:val="0"/>
          <w:bCs w:val="0"/>
          <w:sz w:val="32"/>
          <w:szCs w:val="32"/>
          <w:lang w:val="en-US" w:eastAsia="zh-CN"/>
        </w:rPr>
        <w:t>0</w:t>
      </w:r>
      <w:r>
        <w:rPr>
          <w:rFonts w:hint="eastAsia" w:ascii="仿宋_GB2312" w:eastAsia="仿宋_GB2312"/>
          <w:b w:val="0"/>
          <w:bCs w:val="0"/>
          <w:sz w:val="32"/>
          <w:szCs w:val="32"/>
        </w:rPr>
        <w:t>辆、机要通信用车</w:t>
      </w:r>
      <w:r>
        <w:rPr>
          <w:rFonts w:hint="eastAsia" w:ascii="仿宋_GB2312" w:eastAsia="仿宋_GB2312"/>
          <w:b w:val="0"/>
          <w:bCs w:val="0"/>
          <w:sz w:val="32"/>
          <w:szCs w:val="32"/>
          <w:lang w:val="en-US" w:eastAsia="zh-CN"/>
        </w:rPr>
        <w:t>0</w:t>
      </w:r>
      <w:r>
        <w:rPr>
          <w:rFonts w:hint="eastAsia" w:ascii="仿宋_GB2312" w:eastAsia="仿宋_GB2312"/>
          <w:b w:val="0"/>
          <w:bCs w:val="0"/>
          <w:sz w:val="32"/>
          <w:szCs w:val="32"/>
        </w:rPr>
        <w:t>辆、应急保障用车</w:t>
      </w:r>
      <w:r>
        <w:rPr>
          <w:rFonts w:hint="eastAsia" w:ascii="仿宋_GB2312" w:eastAsia="仿宋_GB2312"/>
          <w:b w:val="0"/>
          <w:bCs w:val="0"/>
          <w:sz w:val="32"/>
          <w:szCs w:val="32"/>
          <w:lang w:val="en-US" w:eastAsia="zh-CN"/>
        </w:rPr>
        <w:t>0</w:t>
      </w:r>
      <w:r>
        <w:rPr>
          <w:rFonts w:hint="eastAsia" w:ascii="仿宋_GB2312" w:eastAsia="仿宋_GB2312"/>
          <w:b w:val="0"/>
          <w:bCs w:val="0"/>
          <w:sz w:val="32"/>
          <w:szCs w:val="32"/>
        </w:rPr>
        <w:t>辆、其他用</w:t>
      </w:r>
      <w:r>
        <w:rPr>
          <w:rFonts w:hint="eastAsia" w:ascii="仿宋_GB2312" w:eastAsia="仿宋_GB2312"/>
          <w:b w:val="0"/>
          <w:bCs w:val="0"/>
          <w:sz w:val="32"/>
          <w:szCs w:val="32"/>
          <w:lang w:val="en-US" w:eastAsia="zh-CN"/>
        </w:rPr>
        <w:t>车0</w:t>
      </w:r>
      <w:r>
        <w:rPr>
          <w:rFonts w:hint="eastAsia" w:ascii="仿宋_GB2312" w:eastAsia="仿宋_GB2312"/>
          <w:b w:val="0"/>
          <w:bCs w:val="0"/>
          <w:sz w:val="32"/>
          <w:szCs w:val="32"/>
        </w:rPr>
        <w:t>辆</w:t>
      </w:r>
      <w:r>
        <w:rPr>
          <w:rFonts w:hint="eastAsia" w:ascii="仿宋_GB2312" w:eastAsia="仿宋_GB2312"/>
          <w:b w:val="0"/>
          <w:bCs w:val="0"/>
          <w:sz w:val="32"/>
          <w:szCs w:val="32"/>
          <w:lang w:eastAsia="zh-CN"/>
        </w:rPr>
        <w:t>。</w:t>
      </w:r>
      <w:r>
        <w:rPr>
          <w:rFonts w:hint="eastAsia" w:ascii="仿宋_GB2312" w:eastAsia="仿宋_GB2312"/>
          <w:b w:val="0"/>
          <w:bCs w:val="0"/>
          <w:sz w:val="32"/>
          <w:szCs w:val="32"/>
        </w:rPr>
        <w:t>单价</w:t>
      </w:r>
      <w:r>
        <w:rPr>
          <w:rFonts w:ascii="仿宋_GB2312" w:eastAsia="仿宋_GB2312"/>
          <w:b w:val="0"/>
          <w:bCs w:val="0"/>
          <w:sz w:val="32"/>
          <w:szCs w:val="32"/>
        </w:rPr>
        <w:t>100</w:t>
      </w:r>
      <w:r>
        <w:rPr>
          <w:rFonts w:hint="eastAsia" w:ascii="仿宋_GB2312" w:eastAsia="仿宋_GB2312"/>
          <w:b w:val="0"/>
          <w:bCs w:val="0"/>
          <w:sz w:val="32"/>
          <w:szCs w:val="32"/>
        </w:rPr>
        <w:t>万元以上设备（不含车辆）</w:t>
      </w:r>
      <w:r>
        <w:rPr>
          <w:rFonts w:ascii="仿宋_GB2312" w:eastAsia="仿宋_GB2312"/>
          <w:b w:val="0"/>
          <w:bCs w:val="0"/>
          <w:sz w:val="32"/>
          <w:szCs w:val="32"/>
        </w:rPr>
        <w:t>0</w:t>
      </w:r>
      <w:r>
        <w:rPr>
          <w:rFonts w:hint="eastAsia" w:ascii="仿宋_GB2312" w:eastAsia="仿宋_GB2312"/>
          <w:b w:val="0"/>
          <w:bCs w:val="0"/>
          <w:sz w:val="32"/>
          <w:szCs w:val="32"/>
        </w:rPr>
        <w:t>台（套）。</w:t>
      </w:r>
    </w:p>
    <w:p w14:paraId="530A91D5">
      <w:pPr>
        <w:autoSpaceDE w:val="0"/>
        <w:autoSpaceDN w:val="0"/>
        <w:adjustRightInd w:val="0"/>
        <w:spacing w:line="600" w:lineRule="exact"/>
        <w:ind w:firstLine="643" w:firstLineChars="200"/>
        <w:jc w:val="left"/>
        <w:outlineLvl w:val="2"/>
        <w:rPr>
          <w:rFonts w:ascii="仿宋" w:hAnsi="仿宋" w:eastAsia="仿宋"/>
          <w:b/>
          <w:sz w:val="32"/>
          <w:szCs w:val="32"/>
        </w:rPr>
      </w:pPr>
      <w:r>
        <w:rPr>
          <w:rFonts w:hint="eastAsia" w:ascii="仿宋" w:hAnsi="仿宋" w:eastAsia="仿宋"/>
          <w:b/>
          <w:sz w:val="32"/>
          <w:szCs w:val="32"/>
        </w:rPr>
        <w:t>（四）预算绩效管理情况</w:t>
      </w:r>
    </w:p>
    <w:p w14:paraId="5DBB35BD">
      <w:pPr>
        <w:autoSpaceDE w:val="0"/>
        <w:autoSpaceDN w:val="0"/>
        <w:adjustRightInd w:val="0"/>
        <w:spacing w:line="600" w:lineRule="exact"/>
        <w:ind w:firstLine="643" w:firstLineChars="200"/>
        <w:jc w:val="left"/>
        <w:outlineLvl w:val="2"/>
        <w:rPr>
          <w:rFonts w:ascii="仿宋" w:hAnsi="仿宋" w:eastAsia="仿宋"/>
          <w:b/>
          <w:sz w:val="32"/>
          <w:szCs w:val="32"/>
        </w:rPr>
      </w:pPr>
      <w:r>
        <w:rPr>
          <w:rFonts w:hint="eastAsia" w:ascii="仿宋" w:hAnsi="仿宋" w:eastAsia="仿宋"/>
          <w:b/>
          <w:sz w:val="32"/>
          <w:szCs w:val="32"/>
        </w:rPr>
        <w:t>（四）预算绩效管理情况</w:t>
      </w:r>
    </w:p>
    <w:p w14:paraId="64CE87C7">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根据预算绩效管理要求，本部门在2023年度预算编制阶段，组织对</w:t>
      </w:r>
      <w:r>
        <w:rPr>
          <w:rFonts w:hint="eastAsia" w:ascii="仿宋_GB2312" w:eastAsia="仿宋_GB2312"/>
          <w:sz w:val="32"/>
          <w:szCs w:val="32"/>
        </w:rPr>
        <w:t>科普宣传经费</w:t>
      </w:r>
      <w:r>
        <w:rPr>
          <w:rFonts w:hint="eastAsia" w:ascii="仿宋_GB2312" w:hAnsi="仿宋_GB2312" w:eastAsia="仿宋_GB2312" w:cs="仿宋_GB2312"/>
          <w:sz w:val="32"/>
          <w:szCs w:val="32"/>
        </w:rPr>
        <w:t>等</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个项目开展了预算事前绩效评估，对</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个项目编制了绩效目标，预算执行过程中，选取</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个项目开展绩效监控。</w:t>
      </w:r>
    </w:p>
    <w:p w14:paraId="27EF31BD">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组织对2023年度一般公共预算、政府性基金预算、国有资本经营预算、社会保险基金预算以及资本资产、债券资金等全面开展绩效自评，形成</w:t>
      </w:r>
      <w:r>
        <w:rPr>
          <w:rFonts w:ascii="仿宋_GB2312" w:eastAsia="仿宋_GB2312"/>
          <w:b w:val="0"/>
          <w:bCs w:val="0"/>
          <w:sz w:val="32"/>
          <w:szCs w:val="32"/>
        </w:rPr>
        <w:t>峨边彝族自治县科学技术协会</w:t>
      </w:r>
      <w:r>
        <w:rPr>
          <w:rFonts w:hint="eastAsia" w:ascii="仿宋_GB2312" w:hAnsi="仿宋_GB2312" w:eastAsia="仿宋_GB2312" w:cs="仿宋_GB2312"/>
          <w:sz w:val="32"/>
          <w:szCs w:val="32"/>
        </w:rPr>
        <w:t>门整体（含部门预算项目）绩效自评报告</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其中，</w:t>
      </w:r>
      <w:r>
        <w:rPr>
          <w:rFonts w:ascii="仿宋_GB2312" w:eastAsia="仿宋_GB2312"/>
          <w:b w:val="0"/>
          <w:bCs w:val="0"/>
          <w:sz w:val="32"/>
          <w:szCs w:val="32"/>
        </w:rPr>
        <w:t>峨边彝族自治县科学技术协会</w:t>
      </w:r>
      <w:r>
        <w:rPr>
          <w:rFonts w:hint="eastAsia" w:ascii="仿宋_GB2312" w:hAnsi="仿宋_GB2312" w:eastAsia="仿宋_GB2312" w:cs="仿宋_GB2312"/>
          <w:sz w:val="32"/>
          <w:szCs w:val="32"/>
        </w:rPr>
        <w:t>部门整体（含部门预算项目）绩效自评得分为</w:t>
      </w:r>
      <w:r>
        <w:rPr>
          <w:rFonts w:hint="eastAsia" w:ascii="仿宋_GB2312" w:hAnsi="仿宋_GB2312" w:eastAsia="仿宋_GB2312" w:cs="仿宋_GB2312"/>
          <w:sz w:val="32"/>
          <w:szCs w:val="32"/>
          <w:lang w:val="en-US" w:eastAsia="zh-CN"/>
        </w:rPr>
        <w:t>99</w:t>
      </w:r>
      <w:r>
        <w:rPr>
          <w:rFonts w:hint="eastAsia" w:ascii="仿宋_GB2312" w:hAnsi="仿宋_GB2312" w:eastAsia="仿宋_GB2312" w:cs="仿宋_GB2312"/>
          <w:sz w:val="32"/>
          <w:szCs w:val="32"/>
        </w:rPr>
        <w:t>分。绩效自评报告详见附件。</w:t>
      </w:r>
    </w:p>
    <w:p w14:paraId="23E32330">
      <w:pPr>
        <w:pStyle w:val="5"/>
        <w:jc w:val="center"/>
        <w:rPr>
          <w:rFonts w:hint="eastAsia"/>
        </w:rPr>
        <w:sectPr>
          <w:pgSz w:w="11906" w:h="16838"/>
          <w:pgMar w:top="1440" w:right="1800" w:bottom="1440" w:left="1800" w:header="851" w:footer="992" w:gutter="0"/>
          <w:cols w:space="425" w:num="1"/>
          <w:titlePg/>
          <w:docGrid w:type="lines" w:linePitch="312" w:charSpace="0"/>
        </w:sectPr>
      </w:pPr>
      <w:bookmarkStart w:id="83" w:name="_Toc12668"/>
    </w:p>
    <w:p w14:paraId="3E17AA19">
      <w:pPr>
        <w:pStyle w:val="5"/>
        <w:jc w:val="center"/>
      </w:pPr>
      <w:r>
        <w:rPr>
          <w:rFonts w:hint="eastAsia"/>
        </w:rPr>
        <w:t>第三部分 名词解释</w:t>
      </w:r>
      <w:bookmarkEnd w:id="83"/>
    </w:p>
    <w:p w14:paraId="5B7B3245"/>
    <w:p w14:paraId="3AB9FE94">
      <w:pPr>
        <w:pStyle w:val="30"/>
        <w:numPr>
          <w:ilvl w:val="0"/>
          <w:numId w:val="5"/>
        </w:numPr>
        <w:spacing w:line="560" w:lineRule="exact"/>
        <w:ind w:left="0" w:leftChars="0" w:firstLine="640" w:firstLineChars="200"/>
        <w:outlineLvl w:val="1"/>
        <w:rPr>
          <w:rFonts w:ascii="仿宋_GB2312" w:eastAsia="仿宋_GB2312"/>
          <w:color w:val="auto"/>
          <w:sz w:val="32"/>
          <w:szCs w:val="32"/>
        </w:rPr>
      </w:pPr>
      <w:bookmarkStart w:id="84" w:name="_Toc16594"/>
      <w:bookmarkStart w:id="85" w:name="_Toc19602"/>
      <w:bookmarkStart w:id="86" w:name="_Toc20080"/>
      <w:r>
        <w:rPr>
          <w:rFonts w:hint="eastAsia" w:ascii="仿宋_GB2312" w:eastAsia="仿宋_GB2312"/>
          <w:color w:val="auto"/>
          <w:sz w:val="32"/>
          <w:szCs w:val="32"/>
        </w:rPr>
        <w:t>财政拨款收入：指单位从同级财政部门取得的财政预算资金。</w:t>
      </w:r>
      <w:bookmarkEnd w:id="84"/>
      <w:bookmarkEnd w:id="85"/>
      <w:bookmarkEnd w:id="86"/>
    </w:p>
    <w:p w14:paraId="41CB9260">
      <w:pPr>
        <w:pStyle w:val="30"/>
        <w:numPr>
          <w:ilvl w:val="0"/>
          <w:numId w:val="5"/>
        </w:numPr>
        <w:spacing w:line="560" w:lineRule="exact"/>
        <w:ind w:left="0" w:leftChars="0" w:firstLine="640" w:firstLineChars="200"/>
        <w:rPr>
          <w:rFonts w:ascii="仿宋_GB2312" w:eastAsia="仿宋_GB2312"/>
          <w:color w:val="auto"/>
          <w:sz w:val="32"/>
          <w:szCs w:val="32"/>
        </w:rPr>
      </w:pPr>
      <w:r>
        <w:rPr>
          <w:rFonts w:hint="eastAsia" w:ascii="仿宋_GB2312" w:eastAsia="仿宋_GB2312"/>
          <w:color w:val="auto"/>
          <w:sz w:val="32"/>
          <w:szCs w:val="32"/>
        </w:rPr>
        <w:t>事业收入：指事业单位开展专业业务活动及辅助活动取得的收入。</w:t>
      </w:r>
    </w:p>
    <w:p w14:paraId="38DECF0F">
      <w:pPr>
        <w:pStyle w:val="30"/>
        <w:numPr>
          <w:ilvl w:val="0"/>
          <w:numId w:val="5"/>
        </w:numPr>
        <w:spacing w:line="560" w:lineRule="exact"/>
        <w:ind w:left="0" w:leftChars="0" w:firstLine="640" w:firstLineChars="200"/>
        <w:rPr>
          <w:rFonts w:ascii="仿宋_GB2312" w:eastAsia="仿宋_GB2312"/>
          <w:color w:val="auto"/>
          <w:sz w:val="32"/>
          <w:szCs w:val="32"/>
        </w:rPr>
      </w:pPr>
      <w:r>
        <w:rPr>
          <w:rFonts w:hint="eastAsia" w:ascii="仿宋_GB2312" w:eastAsia="仿宋_GB2312"/>
          <w:color w:val="auto"/>
          <w:sz w:val="32"/>
          <w:szCs w:val="32"/>
        </w:rPr>
        <w:t>经营收入：指事业单位在专业业务活动及其辅助活动之外开展非独立核算经营活动取得的收入。</w:t>
      </w:r>
    </w:p>
    <w:p w14:paraId="20834646">
      <w:pPr>
        <w:pStyle w:val="30"/>
        <w:numPr>
          <w:ilvl w:val="0"/>
          <w:numId w:val="5"/>
        </w:numPr>
        <w:spacing w:line="560" w:lineRule="exact"/>
        <w:ind w:left="0" w:leftChars="0" w:firstLine="640" w:firstLineChars="200"/>
        <w:outlineLvl w:val="1"/>
        <w:rPr>
          <w:rFonts w:ascii="仿宋_GB2312" w:eastAsia="仿宋_GB2312"/>
          <w:color w:val="auto"/>
          <w:sz w:val="32"/>
          <w:szCs w:val="32"/>
        </w:rPr>
      </w:pPr>
      <w:bookmarkStart w:id="87" w:name="_Toc6828"/>
      <w:bookmarkStart w:id="88" w:name="_Toc1050"/>
      <w:bookmarkStart w:id="89" w:name="_Toc6964"/>
      <w:r>
        <w:rPr>
          <w:rFonts w:hint="eastAsia" w:ascii="仿宋_GB2312" w:eastAsia="仿宋_GB2312"/>
          <w:color w:val="auto"/>
          <w:sz w:val="32"/>
          <w:szCs w:val="32"/>
        </w:rPr>
        <w:t>其他收入：指单位取得的除上述收入以外的各项收入。</w:t>
      </w:r>
      <w:bookmarkEnd w:id="87"/>
      <w:bookmarkEnd w:id="88"/>
      <w:bookmarkEnd w:id="89"/>
      <w:r>
        <w:rPr>
          <w:rFonts w:ascii="仿宋_GB2312" w:eastAsia="仿宋_GB2312"/>
          <w:color w:val="auto"/>
          <w:sz w:val="32"/>
          <w:szCs w:val="32"/>
        </w:rPr>
        <w:t xml:space="preserve"> </w:t>
      </w:r>
    </w:p>
    <w:p w14:paraId="120BE7E6">
      <w:pPr>
        <w:pStyle w:val="30"/>
        <w:numPr>
          <w:ilvl w:val="0"/>
          <w:numId w:val="5"/>
        </w:numPr>
        <w:spacing w:line="560" w:lineRule="exact"/>
        <w:ind w:left="0" w:leftChars="0" w:firstLine="640" w:firstLineChars="200"/>
        <w:rPr>
          <w:rFonts w:ascii="仿宋_GB2312" w:eastAsia="仿宋_GB2312"/>
          <w:color w:val="auto"/>
          <w:sz w:val="32"/>
          <w:szCs w:val="32"/>
        </w:rPr>
      </w:pPr>
      <w:r>
        <w:rPr>
          <w:rFonts w:hint="eastAsia" w:ascii="仿宋_GB2312" w:hAnsi="华文中宋" w:eastAsia="仿宋_GB2312"/>
          <w:sz w:val="32"/>
          <w:szCs w:val="32"/>
        </w:rPr>
        <w:t>使用非财政拨款结余（含专用结余）</w:t>
      </w:r>
      <w:r>
        <w:rPr>
          <w:rFonts w:hint="eastAsia" w:ascii="仿宋_GB2312" w:eastAsia="仿宋_GB2312"/>
          <w:color w:val="auto"/>
          <w:sz w:val="32"/>
          <w:szCs w:val="32"/>
        </w:rPr>
        <w:t>：指事业单位使用以前年度积累的非财政拨款结余弥补当年收支差额的金额。</w:t>
      </w:r>
      <w:r>
        <w:rPr>
          <w:rFonts w:ascii="仿宋_GB2312" w:eastAsia="仿宋_GB2312"/>
          <w:color w:val="auto"/>
          <w:sz w:val="32"/>
          <w:szCs w:val="32"/>
        </w:rPr>
        <w:t xml:space="preserve"> </w:t>
      </w:r>
    </w:p>
    <w:p w14:paraId="324001DA">
      <w:pPr>
        <w:pStyle w:val="30"/>
        <w:numPr>
          <w:ilvl w:val="0"/>
          <w:numId w:val="5"/>
        </w:numPr>
        <w:spacing w:line="560" w:lineRule="exact"/>
        <w:ind w:left="0" w:leftChars="0" w:firstLine="640" w:firstLineChars="200"/>
        <w:rPr>
          <w:rFonts w:ascii="仿宋_GB2312" w:eastAsia="仿宋_GB2312"/>
          <w:color w:val="auto"/>
          <w:sz w:val="32"/>
          <w:szCs w:val="32"/>
        </w:rPr>
      </w:pPr>
      <w:r>
        <w:rPr>
          <w:rFonts w:hint="eastAsia" w:ascii="仿宋_GB2312" w:eastAsia="仿宋_GB2312"/>
          <w:color w:val="auto"/>
          <w:sz w:val="32"/>
          <w:szCs w:val="32"/>
        </w:rPr>
        <w:t>年初结转和结余：指以前年度尚未完成、结转到本年按有关规定继续使用的资金。</w:t>
      </w:r>
      <w:r>
        <w:rPr>
          <w:rFonts w:ascii="仿宋_GB2312" w:eastAsia="仿宋_GB2312"/>
          <w:color w:val="auto"/>
          <w:sz w:val="32"/>
          <w:szCs w:val="32"/>
        </w:rPr>
        <w:t xml:space="preserve"> </w:t>
      </w:r>
    </w:p>
    <w:p w14:paraId="2D451009">
      <w:pPr>
        <w:pStyle w:val="30"/>
        <w:numPr>
          <w:ilvl w:val="0"/>
          <w:numId w:val="5"/>
        </w:numPr>
        <w:spacing w:line="560" w:lineRule="exact"/>
        <w:ind w:left="0" w:leftChars="0" w:firstLine="640" w:firstLineChars="200"/>
        <w:rPr>
          <w:rFonts w:ascii="仿宋_GB2312" w:eastAsia="仿宋_GB2312"/>
          <w:color w:val="auto"/>
          <w:sz w:val="32"/>
          <w:szCs w:val="32"/>
        </w:rPr>
      </w:pPr>
      <w:r>
        <w:rPr>
          <w:rFonts w:hint="eastAsia" w:ascii="仿宋_GB2312" w:eastAsia="仿宋_GB2312"/>
          <w:color w:val="auto"/>
          <w:sz w:val="32"/>
          <w:szCs w:val="32"/>
        </w:rPr>
        <w:t>结余分配：指事业单位按照会计制度规定缴纳的所得税、提取的专用结余以及转入非财政拨款结余的金额等。</w:t>
      </w:r>
    </w:p>
    <w:p w14:paraId="4B394C1E">
      <w:pPr>
        <w:pStyle w:val="30"/>
        <w:numPr>
          <w:ilvl w:val="0"/>
          <w:numId w:val="5"/>
        </w:numPr>
        <w:spacing w:line="560" w:lineRule="exact"/>
        <w:ind w:left="0" w:leftChars="0" w:firstLine="640" w:firstLineChars="200"/>
        <w:rPr>
          <w:rFonts w:ascii="仿宋_GB2312" w:eastAsia="仿宋_GB2312"/>
          <w:color w:val="auto"/>
          <w:sz w:val="32"/>
          <w:szCs w:val="32"/>
        </w:rPr>
      </w:pPr>
      <w:r>
        <w:rPr>
          <w:rFonts w:hint="eastAsia" w:ascii="仿宋_GB2312" w:eastAsia="仿宋_GB2312"/>
          <w:color w:val="auto"/>
          <w:sz w:val="32"/>
          <w:szCs w:val="32"/>
        </w:rPr>
        <w:t>年末结转和结余：指单位按有关规定结转到下年或以后年度继续使用的资金。</w:t>
      </w:r>
    </w:p>
    <w:p w14:paraId="227AF8C8">
      <w:pPr>
        <w:numPr>
          <w:ilvl w:val="0"/>
          <w:numId w:val="5"/>
        </w:numPr>
        <w:ind w:left="0" w:leftChars="0" w:firstLine="640" w:firstLineChars="200"/>
        <w:rPr>
          <w:rFonts w:ascii="仿宋_GB2312" w:eastAsia="仿宋_GB2312"/>
          <w:sz w:val="32"/>
          <w:szCs w:val="32"/>
        </w:rPr>
      </w:pPr>
      <w:r>
        <w:rPr>
          <w:rFonts w:hint="eastAsia" w:ascii="仿宋_GB2312" w:eastAsia="仿宋_GB2312"/>
          <w:sz w:val="32"/>
          <w:szCs w:val="32"/>
        </w:rPr>
        <w:t>科学技术（类）科学技术普及（款）机构运行（项）：指反映科普事业单位的基本支出。</w:t>
      </w:r>
    </w:p>
    <w:p w14:paraId="5A196D17">
      <w:pPr>
        <w:numPr>
          <w:ilvl w:val="0"/>
          <w:numId w:val="5"/>
        </w:numPr>
        <w:ind w:left="0" w:leftChars="0" w:firstLine="640" w:firstLineChars="200"/>
        <w:rPr>
          <w:rFonts w:ascii="仿宋_GB2312" w:eastAsia="仿宋_GB2312"/>
          <w:sz w:val="32"/>
          <w:szCs w:val="32"/>
        </w:rPr>
      </w:pPr>
      <w:r>
        <w:rPr>
          <w:rFonts w:hint="eastAsia" w:ascii="仿宋_GB2312" w:eastAsia="仿宋_GB2312"/>
          <w:sz w:val="32"/>
          <w:szCs w:val="32"/>
        </w:rPr>
        <w:t>科学技术（类）科学技术普及（款）科普活动（项）：指反映用于开展科普活动的支出。</w:t>
      </w:r>
    </w:p>
    <w:p w14:paraId="27018714">
      <w:pPr>
        <w:numPr>
          <w:ilvl w:val="0"/>
          <w:numId w:val="5"/>
        </w:numPr>
        <w:ind w:left="0" w:leftChars="0" w:firstLine="640" w:firstLineChars="200"/>
        <w:rPr>
          <w:rFonts w:ascii="仿宋_GB2312" w:eastAsia="仿宋_GB2312"/>
          <w:sz w:val="32"/>
          <w:szCs w:val="32"/>
        </w:rPr>
      </w:pPr>
      <w:r>
        <w:rPr>
          <w:rFonts w:hint="eastAsia" w:ascii="仿宋_GB2312" w:eastAsia="仿宋_GB2312"/>
          <w:sz w:val="32"/>
          <w:szCs w:val="32"/>
        </w:rPr>
        <w:t>科学技术（类）科学技术普及（款）其他科学技术普及支出（项）：指反映除上述项目以外其他用于科学技术普及方面的支出。</w:t>
      </w:r>
    </w:p>
    <w:p w14:paraId="642E2845">
      <w:pPr>
        <w:numPr>
          <w:ilvl w:val="0"/>
          <w:numId w:val="5"/>
        </w:numPr>
        <w:ind w:left="0" w:leftChars="0" w:firstLine="640" w:firstLineChars="200"/>
        <w:rPr>
          <w:rFonts w:ascii="仿宋_GB2312" w:eastAsia="仿宋_GB2312"/>
          <w:sz w:val="32"/>
          <w:szCs w:val="32"/>
        </w:rPr>
      </w:pPr>
      <w:r>
        <w:rPr>
          <w:rFonts w:hint="eastAsia" w:ascii="仿宋_GB2312" w:eastAsia="仿宋_GB2312"/>
          <w:sz w:val="32"/>
          <w:szCs w:val="32"/>
        </w:rPr>
        <w:t>社会保障和就业（类）行政事业单位养老支出（款）机关事业单位基本养老保险缴费支出（项）：指反映机关事业单位实施养老保险制度由单位缴纳的基本养老保险费支出。</w:t>
      </w:r>
    </w:p>
    <w:p w14:paraId="20A5EF03">
      <w:pPr>
        <w:numPr>
          <w:ilvl w:val="0"/>
          <w:numId w:val="5"/>
        </w:numPr>
        <w:ind w:left="0" w:leftChars="0" w:firstLine="640" w:firstLineChars="200"/>
        <w:rPr>
          <w:rFonts w:ascii="仿宋_GB2312" w:eastAsia="仿宋_GB2312"/>
          <w:sz w:val="32"/>
          <w:szCs w:val="32"/>
        </w:rPr>
      </w:pPr>
      <w:r>
        <w:rPr>
          <w:rFonts w:hint="eastAsia" w:ascii="仿宋_GB2312" w:eastAsia="仿宋_GB2312"/>
          <w:sz w:val="32"/>
          <w:szCs w:val="32"/>
        </w:rPr>
        <w:t>社会保障和就业（类）行政事业单位养老支出（款）机关事业单位职业年金缴费支出（项）：指反映机关事业单位实施养老保险制度由单位实际缴纳的职业年金支出。</w:t>
      </w:r>
    </w:p>
    <w:p w14:paraId="44E038B6">
      <w:pPr>
        <w:numPr>
          <w:ilvl w:val="0"/>
          <w:numId w:val="5"/>
        </w:numPr>
        <w:ind w:left="0" w:leftChars="0" w:firstLine="640" w:firstLineChars="200"/>
        <w:rPr>
          <w:rFonts w:ascii="仿宋_GB2312" w:eastAsia="仿宋_GB2312"/>
          <w:sz w:val="32"/>
          <w:szCs w:val="32"/>
        </w:rPr>
      </w:pPr>
      <w:r>
        <w:rPr>
          <w:rFonts w:hint="eastAsia" w:ascii="仿宋_GB2312" w:eastAsia="仿宋_GB2312"/>
          <w:sz w:val="32"/>
          <w:szCs w:val="32"/>
        </w:rPr>
        <w:t>社会保障和就业（类）其他社会保障和就业支出（款）其他社会保障和就业支出（项）：指反映除上述项目以外其他用于社会保障和就业方面的支出。</w:t>
      </w:r>
    </w:p>
    <w:p w14:paraId="65733467">
      <w:pPr>
        <w:numPr>
          <w:ilvl w:val="0"/>
          <w:numId w:val="5"/>
        </w:numPr>
        <w:ind w:left="0" w:leftChars="0" w:firstLine="640" w:firstLineChars="200"/>
        <w:rPr>
          <w:rFonts w:ascii="仿宋_GB2312" w:eastAsia="仿宋_GB2312"/>
          <w:sz w:val="32"/>
          <w:szCs w:val="32"/>
        </w:rPr>
      </w:pPr>
      <w:r>
        <w:rPr>
          <w:rFonts w:hint="eastAsia" w:ascii="仿宋_GB2312" w:eastAsia="仿宋_GB2312"/>
          <w:sz w:val="32"/>
          <w:szCs w:val="32"/>
        </w:rPr>
        <w:t>卫生健康（类）行政事业单位医疗（款）行政单位医疗（项）：指反映财政部门安排的行政单位</w:t>
      </w:r>
      <w:r>
        <w:rPr>
          <w:rFonts w:hint="eastAsia" w:ascii="仿宋_GB2312" w:eastAsia="仿宋_GB2312"/>
          <w:sz w:val="32"/>
          <w:szCs w:val="32"/>
          <w:lang w:eastAsia="zh-CN"/>
        </w:rPr>
        <w:t>（</w:t>
      </w:r>
      <w:r>
        <w:rPr>
          <w:rFonts w:hint="eastAsia" w:ascii="仿宋_GB2312" w:eastAsia="仿宋_GB2312"/>
          <w:sz w:val="32"/>
          <w:szCs w:val="32"/>
        </w:rPr>
        <w:t>包括实行公务员管理的事业单位，下同</w:t>
      </w:r>
      <w:r>
        <w:rPr>
          <w:rFonts w:hint="eastAsia" w:ascii="仿宋_GB2312" w:eastAsia="仿宋_GB2312"/>
          <w:sz w:val="32"/>
          <w:szCs w:val="32"/>
          <w:lang w:eastAsia="zh-CN"/>
        </w:rPr>
        <w:t>）</w:t>
      </w:r>
      <w:r>
        <w:rPr>
          <w:rFonts w:hint="eastAsia" w:ascii="仿宋_GB2312" w:eastAsia="仿宋_GB2312"/>
          <w:sz w:val="32"/>
          <w:szCs w:val="32"/>
        </w:rPr>
        <w:t>基本医疗保险缴费经费，未参加医疗保险的行政单位的公费医疗经费，按国家规定享受离休人员、红军老战士待遇人员的医疗经费。</w:t>
      </w:r>
    </w:p>
    <w:p w14:paraId="5839E2B6">
      <w:pPr>
        <w:numPr>
          <w:ilvl w:val="0"/>
          <w:numId w:val="5"/>
        </w:numPr>
        <w:ind w:left="0" w:leftChars="0" w:firstLine="640" w:firstLineChars="200"/>
        <w:rPr>
          <w:rFonts w:ascii="仿宋_GB2312" w:eastAsia="仿宋_GB2312"/>
          <w:sz w:val="32"/>
          <w:szCs w:val="32"/>
        </w:rPr>
      </w:pPr>
      <w:r>
        <w:rPr>
          <w:rFonts w:hint="eastAsia" w:ascii="仿宋_GB2312" w:eastAsia="仿宋_GB2312"/>
          <w:sz w:val="32"/>
          <w:szCs w:val="32"/>
        </w:rPr>
        <w:t>卫生健康（类）行政事业单位医疗（款）公务员医疗补助（项）：指</w:t>
      </w:r>
      <w:r>
        <w:rPr>
          <w:rFonts w:hint="eastAsia" w:ascii="仿宋_GB2312" w:hAnsi="Times New Roman" w:eastAsia="仿宋_GB2312" w:cs="Times New Roman"/>
          <w:sz w:val="32"/>
          <w:szCs w:val="32"/>
        </w:rPr>
        <w:t>反映财政部门安排的公务员医疗补助经费。</w:t>
      </w:r>
    </w:p>
    <w:p w14:paraId="385FE3DE">
      <w:pPr>
        <w:numPr>
          <w:ilvl w:val="0"/>
          <w:numId w:val="5"/>
        </w:numPr>
        <w:ind w:left="0" w:leftChars="0" w:firstLine="640" w:firstLineChars="200"/>
        <w:rPr>
          <w:rFonts w:ascii="仿宋_GB2312" w:eastAsia="仿宋_GB2312"/>
          <w:sz w:val="32"/>
          <w:szCs w:val="32"/>
        </w:rPr>
      </w:pPr>
      <w:r>
        <w:rPr>
          <w:rFonts w:hint="eastAsia" w:ascii="仿宋_GB2312" w:eastAsia="仿宋_GB2312"/>
          <w:sz w:val="32"/>
          <w:szCs w:val="32"/>
        </w:rPr>
        <w:t>住房保障（类）住房改革支出（款）</w:t>
      </w:r>
      <w:r>
        <w:rPr>
          <w:rFonts w:hint="eastAsia" w:ascii="仿宋_GB2312" w:eastAsia="仿宋_GB2312"/>
          <w:sz w:val="32"/>
          <w:szCs w:val="32"/>
          <w:lang w:val="en-US" w:eastAsia="zh-CN"/>
        </w:rPr>
        <w:t>住房公积金</w:t>
      </w:r>
      <w:r>
        <w:rPr>
          <w:rFonts w:hint="eastAsia" w:ascii="仿宋_GB2312" w:eastAsia="仿宋_GB2312"/>
          <w:sz w:val="32"/>
          <w:szCs w:val="32"/>
        </w:rPr>
        <w:t>（项）：指反映行政事业单位按人力资源和社会保障部、财政部规定的 基本工资和津贴补贴以及规定比例为职工缴纳的住房公积金。</w:t>
      </w:r>
    </w:p>
    <w:p w14:paraId="0D2A1A55">
      <w:pPr>
        <w:numPr>
          <w:ilvl w:val="0"/>
          <w:numId w:val="5"/>
        </w:numPr>
        <w:ind w:left="0" w:leftChars="0" w:firstLine="640" w:firstLineChars="200"/>
        <w:rPr>
          <w:rFonts w:ascii="仿宋_GB2312" w:eastAsia="仿宋_GB2312"/>
          <w:sz w:val="32"/>
          <w:szCs w:val="32"/>
        </w:rPr>
      </w:pPr>
      <w:r>
        <w:rPr>
          <w:rFonts w:hint="eastAsia" w:ascii="仿宋_GB2312" w:eastAsia="仿宋_GB2312"/>
          <w:sz w:val="32"/>
          <w:szCs w:val="32"/>
        </w:rPr>
        <w:t>基本支出：指为保障机构正常运转、完成日常工作任务而发生的人员支出和公用支出。</w:t>
      </w:r>
    </w:p>
    <w:p w14:paraId="58DC3351">
      <w:pPr>
        <w:numPr>
          <w:ilvl w:val="0"/>
          <w:numId w:val="5"/>
        </w:numPr>
        <w:ind w:left="0" w:leftChars="0" w:firstLine="640" w:firstLineChars="200"/>
        <w:rPr>
          <w:rFonts w:ascii="仿宋_GB2312" w:eastAsia="仿宋_GB2312"/>
          <w:sz w:val="32"/>
          <w:szCs w:val="32"/>
        </w:rPr>
      </w:pPr>
      <w:r>
        <w:rPr>
          <w:rFonts w:hint="eastAsia" w:ascii="仿宋_GB2312" w:eastAsia="仿宋_GB2312"/>
          <w:sz w:val="32"/>
          <w:szCs w:val="32"/>
        </w:rPr>
        <w:t>项目支出：指在基本支出之外为完成特定行政任务和事业发展目标所发生的支出。</w:t>
      </w:r>
      <w:r>
        <w:rPr>
          <w:rFonts w:ascii="仿宋_GB2312" w:eastAsia="仿宋_GB2312"/>
          <w:sz w:val="32"/>
          <w:szCs w:val="32"/>
        </w:rPr>
        <w:t xml:space="preserve"> </w:t>
      </w:r>
    </w:p>
    <w:p w14:paraId="67A211EC">
      <w:pPr>
        <w:numPr>
          <w:ilvl w:val="0"/>
          <w:numId w:val="5"/>
        </w:numPr>
        <w:ind w:left="0" w:leftChars="0" w:firstLine="640" w:firstLineChars="200"/>
        <w:rPr>
          <w:rFonts w:ascii="仿宋_GB2312" w:eastAsia="仿宋_GB2312"/>
          <w:sz w:val="32"/>
          <w:szCs w:val="32"/>
        </w:rPr>
      </w:pPr>
      <w:r>
        <w:rPr>
          <w:rFonts w:hint="eastAsia" w:ascii="仿宋_GB2312" w:eastAsia="仿宋_GB2312"/>
          <w:sz w:val="32"/>
          <w:szCs w:val="32"/>
        </w:rPr>
        <w:t>经营支出：指事业单位在专业业务活动及其辅助活动之外开展非独立核算经营活动发生的支出。</w:t>
      </w:r>
    </w:p>
    <w:p w14:paraId="5AA4C5F2">
      <w:pPr>
        <w:pStyle w:val="30"/>
        <w:numPr>
          <w:ilvl w:val="0"/>
          <w:numId w:val="5"/>
        </w:numPr>
        <w:spacing w:line="560" w:lineRule="exact"/>
        <w:ind w:left="0" w:leftChars="0" w:firstLine="640" w:firstLineChars="200"/>
        <w:rPr>
          <w:rFonts w:ascii="仿宋_GB2312" w:eastAsia="仿宋_GB2312"/>
          <w:color w:val="auto"/>
          <w:sz w:val="32"/>
          <w:szCs w:val="32"/>
        </w:rPr>
      </w:pPr>
      <w:r>
        <w:rPr>
          <w:rFonts w:hint="eastAsia" w:ascii="仿宋_GB2312" w:eastAsia="仿宋_GB2312"/>
          <w:color w:val="auto"/>
          <w:sz w:val="32"/>
          <w:szCs w:val="32"/>
        </w:rPr>
        <w:t>“三公”经费：指单位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2624FDA4">
      <w:pPr>
        <w:pStyle w:val="30"/>
        <w:numPr>
          <w:ilvl w:val="0"/>
          <w:numId w:val="5"/>
        </w:numPr>
        <w:spacing w:line="560" w:lineRule="exact"/>
        <w:ind w:left="0" w:leftChars="0" w:firstLine="640" w:firstLineChars="200"/>
        <w:rPr>
          <w:rFonts w:ascii="仿宋_GB2312" w:eastAsia="仿宋_GB2312"/>
          <w:color w:val="auto"/>
          <w:sz w:val="32"/>
          <w:szCs w:val="32"/>
        </w:rPr>
      </w:pPr>
      <w:r>
        <w:rPr>
          <w:rFonts w:hint="eastAsia" w:ascii="仿宋_GB2312" w:eastAsia="仿宋_GB2312"/>
          <w:color w:val="auto"/>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018A24D7">
      <w:pPr>
        <w:ind w:firstLine="643" w:firstLineChars="200"/>
        <w:rPr>
          <w:rFonts w:ascii="仿宋" w:hAnsi="仿宋" w:eastAsia="仿宋"/>
          <w:b/>
          <w:sz w:val="32"/>
          <w:szCs w:val="32"/>
        </w:rPr>
      </w:pPr>
      <w:r>
        <w:rPr>
          <w:rFonts w:ascii="仿宋" w:hAnsi="仿宋" w:eastAsia="仿宋"/>
          <w:b/>
          <w:sz w:val="32"/>
          <w:szCs w:val="32"/>
        </w:rPr>
        <w:br w:type="page"/>
      </w:r>
    </w:p>
    <w:p w14:paraId="5FCAD786">
      <w:pPr>
        <w:pStyle w:val="5"/>
        <w:jc w:val="center"/>
        <w:rPr>
          <w:rFonts w:ascii="黑体" w:hAnsi="黑体" w:eastAsia="黑体"/>
          <w:b w:val="0"/>
        </w:rPr>
      </w:pPr>
      <w:bookmarkStart w:id="90" w:name="_Toc30818"/>
      <w:r>
        <w:rPr>
          <w:rFonts w:hint="eastAsia" w:ascii="黑体" w:hAnsi="黑体" w:eastAsia="黑体"/>
          <w:b w:val="0"/>
        </w:rPr>
        <w:t>第四部分 附件</w:t>
      </w:r>
      <w:bookmarkEnd w:id="90"/>
    </w:p>
    <w:p w14:paraId="626DF10A">
      <w:pPr>
        <w:keepNext w:val="0"/>
        <w:keepLines w:val="0"/>
        <w:pageBreakBefore w:val="0"/>
        <w:kinsoku/>
        <w:wordWrap/>
        <w:overflowPunct/>
        <w:topLinePunct w:val="0"/>
        <w:autoSpaceDE/>
        <w:autoSpaceDN/>
        <w:bidi w:val="0"/>
        <w:spacing w:line="572" w:lineRule="exact"/>
        <w:jc w:val="left"/>
        <w:textAlignment w:val="auto"/>
        <w:outlineLvl w:val="0"/>
        <w:rPr>
          <w:rFonts w:hint="eastAsia" w:ascii="方正小标宋简体" w:hAnsi="方正小标宋简体" w:eastAsia="黑体" w:cs="方正小标宋简体"/>
          <w:color w:val="auto"/>
          <w:sz w:val="44"/>
          <w:szCs w:val="44"/>
          <w:highlight w:val="none"/>
          <w:lang w:val="en-US" w:eastAsia="zh-CN"/>
        </w:rPr>
      </w:pPr>
      <w:r>
        <w:rPr>
          <w:rFonts w:hint="eastAsia" w:ascii="黑体" w:hAnsi="黑体" w:eastAsia="黑体" w:cs="黑体"/>
          <w:color w:val="auto"/>
          <w:sz w:val="32"/>
          <w:szCs w:val="32"/>
          <w:highlight w:val="none"/>
        </w:rPr>
        <w:t>附件</w:t>
      </w:r>
      <w:r>
        <w:rPr>
          <w:rFonts w:hint="eastAsia" w:ascii="黑体" w:hAnsi="黑体" w:eastAsia="黑体" w:cs="黑体"/>
          <w:color w:val="auto"/>
          <w:sz w:val="32"/>
          <w:szCs w:val="32"/>
          <w:highlight w:val="none"/>
          <w:lang w:val="en-US" w:eastAsia="zh-CN"/>
        </w:rPr>
        <w:t>1</w:t>
      </w:r>
    </w:p>
    <w:p w14:paraId="3C960E08">
      <w:pPr>
        <w:widowControl/>
        <w:spacing w:line="580" w:lineRule="exact"/>
        <w:contextualSpacing/>
        <w:jc w:val="both"/>
        <w:rPr>
          <w:rFonts w:ascii="宋体"/>
          <w:b/>
          <w:sz w:val="44"/>
          <w:szCs w:val="44"/>
          <w:shd w:val="clear" w:color="auto" w:fill="FFFFFF"/>
        </w:rPr>
      </w:pPr>
    </w:p>
    <w:p w14:paraId="06A8014E">
      <w:pPr>
        <w:widowControl/>
        <w:spacing w:line="580" w:lineRule="exact"/>
        <w:contextualSpacing/>
        <w:jc w:val="center"/>
        <w:rPr>
          <w:rFonts w:hint="eastAsia" w:ascii="方正小标宋简体" w:hAnsi="宋体" w:eastAsia="方正小标宋简体"/>
          <w:sz w:val="44"/>
          <w:szCs w:val="44"/>
          <w:shd w:val="clear" w:color="auto" w:fill="FFFFFF"/>
          <w:lang w:val="en-US" w:eastAsia="zh-CN"/>
        </w:rPr>
      </w:pPr>
      <w:r>
        <w:rPr>
          <w:rFonts w:hint="eastAsia" w:ascii="方正小标宋简体" w:hAnsi="宋体" w:eastAsia="方正小标宋简体"/>
          <w:sz w:val="44"/>
          <w:szCs w:val="44"/>
          <w:shd w:val="clear" w:color="auto" w:fill="FFFFFF"/>
          <w:lang w:val="en-US" w:eastAsia="zh-CN"/>
        </w:rPr>
        <w:t>峨边彝族自治县科学技术协会</w:t>
      </w:r>
    </w:p>
    <w:p w14:paraId="30A43133">
      <w:pPr>
        <w:widowControl/>
        <w:spacing w:line="580" w:lineRule="exact"/>
        <w:contextualSpacing/>
        <w:jc w:val="center"/>
        <w:rPr>
          <w:rFonts w:ascii="方正小标宋简体" w:eastAsia="方正小标宋简体"/>
          <w:sz w:val="44"/>
          <w:szCs w:val="44"/>
          <w:shd w:val="clear" w:color="auto" w:fill="FFFFFF"/>
        </w:rPr>
      </w:pPr>
      <w:r>
        <w:rPr>
          <w:rFonts w:hint="eastAsia" w:ascii="方正小标宋简体" w:hAnsi="宋体" w:eastAsia="方正小标宋简体"/>
          <w:sz w:val="44"/>
          <w:szCs w:val="44"/>
          <w:shd w:val="clear" w:color="auto" w:fill="FFFFFF"/>
          <w:lang w:val="en-US" w:eastAsia="zh-CN"/>
        </w:rPr>
        <w:t>2023年</w:t>
      </w:r>
      <w:r>
        <w:rPr>
          <w:rFonts w:hint="eastAsia" w:ascii="方正小标宋简体" w:hAnsi="宋体" w:eastAsia="方正小标宋简体"/>
          <w:sz w:val="44"/>
          <w:szCs w:val="44"/>
          <w:shd w:val="clear" w:color="auto" w:fill="FFFFFF"/>
        </w:rPr>
        <w:t>部门整体绩效自评报告</w:t>
      </w:r>
    </w:p>
    <w:p w14:paraId="4CEFE4A5">
      <w:pPr>
        <w:widowControl/>
        <w:adjustRightInd w:val="0"/>
        <w:snapToGrid w:val="0"/>
        <w:spacing w:line="580" w:lineRule="exact"/>
        <w:ind w:firstLine="660" w:firstLineChars="200"/>
        <w:contextualSpacing/>
        <w:jc w:val="left"/>
        <w:rPr>
          <w:rFonts w:ascii="方正仿宋_GBK" w:hAnsi="宋体" w:eastAsia="方正仿宋_GBK" w:cs="宋体"/>
          <w:color w:val="000000"/>
          <w:kern w:val="0"/>
          <w:sz w:val="33"/>
          <w:szCs w:val="33"/>
          <w:shd w:val="clear" w:color="auto" w:fill="FFFFFF"/>
        </w:rPr>
      </w:pPr>
    </w:p>
    <w:p w14:paraId="714A664B">
      <w:pPr>
        <w:widowControl/>
        <w:adjustRightInd w:val="0"/>
        <w:snapToGrid w:val="0"/>
        <w:spacing w:line="580" w:lineRule="exact"/>
        <w:ind w:firstLine="640" w:firstLineChars="200"/>
        <w:contextualSpacing/>
        <w:jc w:val="left"/>
        <w:rPr>
          <w:rFonts w:ascii="黑体" w:hAnsi="黑体" w:eastAsia="黑体" w:cs="宋体"/>
          <w:color w:val="000000"/>
          <w:kern w:val="0"/>
          <w:sz w:val="32"/>
          <w:szCs w:val="32"/>
          <w:shd w:val="clear" w:color="auto" w:fill="FFFFFF"/>
          <w:lang w:val="zh-CN"/>
        </w:rPr>
      </w:pPr>
      <w:r>
        <w:rPr>
          <w:rFonts w:hint="eastAsia" w:ascii="黑体" w:hAnsi="黑体" w:eastAsia="黑体" w:cs="宋体"/>
          <w:color w:val="000000"/>
          <w:kern w:val="0"/>
          <w:sz w:val="32"/>
          <w:szCs w:val="32"/>
          <w:shd w:val="clear" w:color="auto" w:fill="FFFFFF"/>
        </w:rPr>
        <w:t>一、</w:t>
      </w:r>
      <w:r>
        <w:rPr>
          <w:rFonts w:hint="eastAsia" w:ascii="黑体" w:hAnsi="黑体" w:eastAsia="黑体" w:cs="宋体"/>
          <w:color w:val="000000"/>
          <w:kern w:val="0"/>
          <w:sz w:val="32"/>
          <w:szCs w:val="32"/>
          <w:shd w:val="clear" w:color="auto" w:fill="FFFFFF"/>
          <w:lang w:val="zh-CN"/>
        </w:rPr>
        <w:t>部门基本情况</w:t>
      </w:r>
    </w:p>
    <w:p w14:paraId="04F757A0">
      <w:pPr>
        <w:widowControl/>
        <w:adjustRightInd w:val="0"/>
        <w:snapToGrid w:val="0"/>
        <w:spacing w:line="580" w:lineRule="exact"/>
        <w:ind w:firstLine="640" w:firstLineChars="200"/>
        <w:contextualSpacing/>
        <w:jc w:val="left"/>
        <w:rPr>
          <w:rFonts w:ascii="楷体_GB2312" w:hAnsi="宋体" w:eastAsia="楷体_GB2312" w:cs="宋体"/>
          <w:color w:val="000000"/>
          <w:kern w:val="0"/>
          <w:sz w:val="32"/>
          <w:szCs w:val="32"/>
          <w:shd w:val="clear" w:color="auto" w:fill="FFFFFF"/>
          <w:lang w:val="zh-CN"/>
        </w:rPr>
      </w:pPr>
      <w:r>
        <w:rPr>
          <w:rFonts w:hint="eastAsia" w:ascii="楷体_GB2312" w:hAnsi="宋体" w:eastAsia="楷体_GB2312" w:cs="宋体"/>
          <w:color w:val="000000"/>
          <w:kern w:val="0"/>
          <w:sz w:val="32"/>
          <w:szCs w:val="32"/>
          <w:shd w:val="clear" w:color="auto" w:fill="FFFFFF"/>
          <w:lang w:val="zh-CN"/>
        </w:rPr>
        <w:t>（一）机构组成。</w:t>
      </w:r>
      <w:r>
        <w:rPr>
          <w:rFonts w:hint="eastAsia" w:ascii="仿宋_GB2312" w:hAnsi="仿宋_GB2312" w:eastAsia="仿宋_GB2312" w:cs="仿宋_GB2312"/>
          <w:color w:val="000000"/>
          <w:sz w:val="32"/>
          <w:szCs w:val="32"/>
          <w:lang w:eastAsia="zh-CN"/>
        </w:rPr>
        <w:t>县科协内设办公室、综合股、财务室，办公室负责机关文电、会务、机要、保密、档案、接待、后勤等，财务室负责财务、国有资产管理等，综合股负责开展学术交流，传播科学思想及方法等。</w:t>
      </w:r>
    </w:p>
    <w:p w14:paraId="28CB8787">
      <w:pPr>
        <w:widowControl/>
        <w:adjustRightInd w:val="0"/>
        <w:snapToGrid w:val="0"/>
        <w:spacing w:line="580" w:lineRule="exact"/>
        <w:ind w:firstLine="640" w:firstLineChars="200"/>
        <w:contextualSpacing/>
        <w:jc w:val="left"/>
        <w:rPr>
          <w:rFonts w:ascii="楷体_GB2312" w:hAnsi="宋体" w:eastAsia="楷体_GB2312" w:cs="宋体"/>
          <w:color w:val="000000"/>
          <w:kern w:val="0"/>
          <w:sz w:val="32"/>
          <w:szCs w:val="32"/>
          <w:shd w:val="clear" w:color="auto" w:fill="FFFFFF"/>
          <w:lang w:val="zh-CN"/>
        </w:rPr>
      </w:pPr>
      <w:r>
        <w:rPr>
          <w:rFonts w:hint="eastAsia" w:ascii="楷体_GB2312" w:hAnsi="宋体" w:eastAsia="楷体_GB2312" w:cs="宋体"/>
          <w:color w:val="000000"/>
          <w:kern w:val="0"/>
          <w:sz w:val="32"/>
          <w:szCs w:val="32"/>
          <w:shd w:val="clear" w:color="auto" w:fill="FFFFFF"/>
          <w:lang w:val="zh-CN"/>
        </w:rPr>
        <w:t>（二）机构职能和人员概况。</w:t>
      </w:r>
      <w:r>
        <w:rPr>
          <w:rFonts w:hint="eastAsia" w:ascii="仿宋_GB2312" w:hAnsi="仿宋_GB2312" w:eastAsia="仿宋_GB2312" w:cs="仿宋_GB2312"/>
          <w:kern w:val="0"/>
          <w:sz w:val="32"/>
          <w:szCs w:val="32"/>
        </w:rPr>
        <w:t>开展学术交流，活跃学术思想</w:t>
      </w:r>
      <w:r>
        <w:rPr>
          <w:rFonts w:hint="eastAsia" w:ascii="仿宋_GB2312" w:hAnsi="仿宋_GB2312" w:cs="仿宋_GB2312"/>
          <w:kern w:val="0"/>
          <w:sz w:val="32"/>
          <w:szCs w:val="32"/>
          <w:lang w:eastAsia="zh-CN"/>
        </w:rPr>
        <w:t>；</w:t>
      </w:r>
      <w:r>
        <w:rPr>
          <w:rFonts w:hint="eastAsia" w:ascii="仿宋_GB2312" w:hAnsi="仿宋_GB2312" w:eastAsia="仿宋_GB2312" w:cs="仿宋_GB2312"/>
          <w:kern w:val="0"/>
          <w:sz w:val="32"/>
          <w:szCs w:val="32"/>
        </w:rPr>
        <w:t>普及科学文化知识，传播科学思想、科学方法，推广先进技术</w:t>
      </w:r>
      <w:r>
        <w:rPr>
          <w:rFonts w:hint="eastAsia" w:ascii="仿宋_GB2312" w:hAnsi="仿宋_GB2312" w:cs="仿宋_GB2312"/>
          <w:kern w:val="0"/>
          <w:sz w:val="32"/>
          <w:szCs w:val="32"/>
          <w:lang w:eastAsia="zh-CN"/>
        </w:rPr>
        <w:t>；</w:t>
      </w:r>
      <w:r>
        <w:rPr>
          <w:rFonts w:hint="eastAsia" w:ascii="仿宋_GB2312" w:hAnsi="仿宋_GB2312" w:eastAsia="仿宋_GB2312" w:cs="仿宋_GB2312"/>
          <w:kern w:val="0"/>
          <w:sz w:val="32"/>
          <w:szCs w:val="32"/>
        </w:rPr>
        <w:t>反映科技工作者的意见和要求，维护科技工作者的合法权益</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完成县委交办的其他事项</w:t>
      </w:r>
      <w:r>
        <w:rPr>
          <w:rFonts w:hint="eastAsia" w:ascii="仿宋_GB2312" w:hAnsi="仿宋_GB2312" w:eastAsia="仿宋_GB2312" w:cs="仿宋_GB2312"/>
          <w:kern w:val="0"/>
          <w:sz w:val="32"/>
          <w:szCs w:val="32"/>
          <w:lang w:eastAsia="zh-CN"/>
        </w:rPr>
        <w:t>等。</w:t>
      </w:r>
      <w:r>
        <w:rPr>
          <w:rFonts w:hint="eastAsia" w:ascii="仿宋_GB2312" w:hAnsi="仿宋_GB2312" w:eastAsia="仿宋_GB2312" w:cs="仿宋_GB2312"/>
          <w:kern w:val="0"/>
          <w:sz w:val="32"/>
          <w:szCs w:val="32"/>
          <w:lang w:val="zh-CN"/>
        </w:rPr>
        <w:t>县科协参公编制</w:t>
      </w:r>
      <w:r>
        <w:rPr>
          <w:rFonts w:hint="eastAsia" w:ascii="仿宋_GB2312" w:hAnsi="仿宋_GB2312" w:eastAsia="仿宋_GB2312" w:cs="仿宋_GB2312"/>
          <w:kern w:val="0"/>
          <w:sz w:val="32"/>
          <w:szCs w:val="32"/>
          <w:lang w:val="en-US" w:eastAsia="zh-CN"/>
        </w:rPr>
        <w:t>5名，其中主席1名，副主席1名，中层职数1名，一般工作人员2名。</w:t>
      </w:r>
    </w:p>
    <w:p w14:paraId="02244AB0">
      <w:pPr>
        <w:widowControl/>
        <w:adjustRightInd w:val="0"/>
        <w:snapToGrid w:val="0"/>
        <w:spacing w:line="580" w:lineRule="exact"/>
        <w:ind w:firstLine="640" w:firstLineChars="200"/>
        <w:contextualSpacing/>
        <w:jc w:val="left"/>
        <w:rPr>
          <w:rFonts w:hint="eastAsia" w:ascii="仿宋_GB2312" w:hAnsi="仿宋_GB2312" w:eastAsia="仿宋_GB2312" w:cs="仿宋_GB2312"/>
          <w:kern w:val="0"/>
          <w:sz w:val="32"/>
          <w:szCs w:val="32"/>
          <w:lang w:val="zh-CN" w:eastAsia="zh-CN"/>
        </w:rPr>
      </w:pPr>
      <w:r>
        <w:rPr>
          <w:rFonts w:hint="eastAsia" w:ascii="楷体_GB2312" w:hAnsi="宋体" w:eastAsia="楷体_GB2312" w:cs="宋体"/>
          <w:color w:val="000000"/>
          <w:kern w:val="0"/>
          <w:sz w:val="32"/>
          <w:szCs w:val="32"/>
          <w:shd w:val="clear" w:color="auto" w:fill="FFFFFF"/>
          <w:lang w:val="zh-CN"/>
        </w:rPr>
        <w:t>（三）年度主要工作任务。</w:t>
      </w:r>
      <w:r>
        <w:rPr>
          <w:rFonts w:hint="eastAsia" w:ascii="仿宋_GB2312" w:hAnsi="仿宋_GB2312" w:eastAsia="仿宋_GB2312" w:cs="仿宋_GB2312"/>
          <w:kern w:val="0"/>
          <w:sz w:val="32"/>
          <w:szCs w:val="32"/>
          <w:lang w:val="zh-CN" w:eastAsia="zh-CN"/>
        </w:rPr>
        <w:t>抓实党建工作：一是履职尽责，把思想政治建设放在首位。二是抓实作风建设，党风廉政工作稳步推进。三是抓好制度建设，深入推进治本抓源工作。全力抓好天府科技云服务工作：一是保姆式服务工作，二是示范科创工作室打造，三是第三届科创会项目征集，四是科普服务工作，五是科普传播员体系建设工作。</w:t>
      </w:r>
      <w:r>
        <w:rPr>
          <w:rFonts w:hint="eastAsia" w:ascii="仿宋_GB2312" w:hAnsi="仿宋_GB2312" w:eastAsia="仿宋_GB2312" w:cs="仿宋_GB2312"/>
          <w:kern w:val="0"/>
          <w:sz w:val="32"/>
          <w:szCs w:val="32"/>
          <w:lang w:val="en-US" w:eastAsia="zh-CN"/>
        </w:rPr>
        <w:t>以上天府科技云服务工作圆满完成省市下达的目标任务。</w:t>
      </w:r>
      <w:r>
        <w:rPr>
          <w:rFonts w:hint="eastAsia" w:ascii="仿宋_GB2312" w:hAnsi="仿宋_GB2312" w:eastAsia="仿宋_GB2312" w:cs="仿宋_GB2312"/>
          <w:kern w:val="0"/>
          <w:sz w:val="32"/>
          <w:szCs w:val="32"/>
          <w:lang w:val="zh-CN" w:eastAsia="zh-CN"/>
        </w:rPr>
        <w:t>落实科普宣传工作：</w:t>
      </w:r>
      <w:r>
        <w:rPr>
          <w:rFonts w:hint="eastAsia" w:ascii="仿宋_GB2312" w:hAnsi="仿宋_GB2312" w:eastAsia="仿宋_GB2312" w:cs="仿宋_GB2312"/>
          <w:kern w:val="0"/>
          <w:sz w:val="32"/>
          <w:szCs w:val="32"/>
          <w:lang w:val="en-US" w:eastAsia="zh-CN"/>
        </w:rPr>
        <w:t>一是</w:t>
      </w:r>
      <w:r>
        <w:rPr>
          <w:rFonts w:hint="eastAsia" w:ascii="仿宋_GB2312" w:hAnsi="仿宋_GB2312" w:eastAsia="仿宋_GB2312" w:cs="仿宋_GB2312"/>
          <w:kern w:val="0"/>
          <w:sz w:val="32"/>
          <w:szCs w:val="32"/>
          <w:lang w:val="zh-CN" w:eastAsia="zh-CN"/>
        </w:rPr>
        <w:t>开展科普宣传工作，</w:t>
      </w:r>
      <w:r>
        <w:rPr>
          <w:rFonts w:hint="eastAsia" w:ascii="仿宋_GB2312" w:hAnsi="仿宋_GB2312" w:eastAsia="仿宋_GB2312" w:cs="仿宋_GB2312"/>
          <w:kern w:val="0"/>
          <w:sz w:val="32"/>
          <w:szCs w:val="32"/>
          <w:lang w:val="en-US" w:eastAsia="zh-CN"/>
        </w:rPr>
        <w:t>二是开展</w:t>
      </w:r>
      <w:r>
        <w:rPr>
          <w:rFonts w:hint="eastAsia" w:ascii="仿宋_GB2312" w:hAnsi="仿宋_GB2312" w:eastAsia="仿宋_GB2312" w:cs="仿宋_GB2312"/>
          <w:kern w:val="0"/>
          <w:sz w:val="32"/>
          <w:szCs w:val="32"/>
          <w:lang w:val="zh-CN" w:eastAsia="zh-CN"/>
        </w:rPr>
        <w:t>新品种推广工作，</w:t>
      </w:r>
      <w:r>
        <w:rPr>
          <w:rFonts w:hint="eastAsia" w:ascii="仿宋_GB2312" w:hAnsi="仿宋_GB2312" w:eastAsia="仿宋_GB2312" w:cs="仿宋_GB2312"/>
          <w:kern w:val="0"/>
          <w:sz w:val="32"/>
          <w:szCs w:val="32"/>
          <w:lang w:val="en-US" w:eastAsia="zh-CN"/>
        </w:rPr>
        <w:t>三是</w:t>
      </w:r>
      <w:r>
        <w:rPr>
          <w:rFonts w:hint="eastAsia" w:ascii="仿宋_GB2312" w:hAnsi="仿宋_GB2312" w:eastAsia="仿宋_GB2312" w:cs="仿宋_GB2312"/>
          <w:kern w:val="0"/>
          <w:sz w:val="32"/>
          <w:szCs w:val="32"/>
          <w:lang w:val="zh-CN" w:eastAsia="zh-CN"/>
        </w:rPr>
        <w:t>开展科技巡诊工作，</w:t>
      </w:r>
      <w:r>
        <w:rPr>
          <w:rFonts w:hint="eastAsia" w:ascii="仿宋_GB2312" w:hAnsi="仿宋_GB2312" w:eastAsia="仿宋_GB2312" w:cs="仿宋_GB2312"/>
          <w:kern w:val="0"/>
          <w:sz w:val="32"/>
          <w:szCs w:val="32"/>
          <w:lang w:val="en-US" w:eastAsia="zh-CN"/>
        </w:rPr>
        <w:t>四是</w:t>
      </w:r>
      <w:r>
        <w:rPr>
          <w:rFonts w:hint="eastAsia" w:ascii="仿宋_GB2312" w:hAnsi="仿宋_GB2312" w:eastAsia="仿宋_GB2312" w:cs="仿宋_GB2312"/>
          <w:kern w:val="0"/>
          <w:sz w:val="32"/>
          <w:szCs w:val="32"/>
          <w:lang w:val="zh-CN" w:eastAsia="zh-CN"/>
        </w:rPr>
        <w:t>打造科普创新试点示范工作。</w:t>
      </w:r>
    </w:p>
    <w:p w14:paraId="425DA184">
      <w:pPr>
        <w:widowControl/>
        <w:adjustRightInd w:val="0"/>
        <w:snapToGrid w:val="0"/>
        <w:spacing w:line="580" w:lineRule="exact"/>
        <w:ind w:firstLine="640" w:firstLineChars="200"/>
        <w:contextualSpacing/>
        <w:jc w:val="left"/>
        <w:rPr>
          <w:rFonts w:hint="default" w:ascii="仿宋_GB2312" w:hAnsi="仿宋_GB2312" w:eastAsia="仿宋_GB2312" w:cs="仿宋_GB2312"/>
          <w:kern w:val="0"/>
          <w:sz w:val="32"/>
          <w:szCs w:val="32"/>
          <w:lang w:val="en-US" w:eastAsia="zh-CN"/>
        </w:rPr>
      </w:pPr>
      <w:r>
        <w:rPr>
          <w:rFonts w:hint="eastAsia" w:ascii="楷体_GB2312" w:hAnsi="宋体" w:eastAsia="楷体_GB2312" w:cs="宋体"/>
          <w:b w:val="0"/>
          <w:bCs w:val="0"/>
          <w:color w:val="auto"/>
          <w:kern w:val="0"/>
          <w:sz w:val="32"/>
          <w:szCs w:val="32"/>
          <w:shd w:val="clear" w:color="auto" w:fill="FFFFFF"/>
          <w:lang w:val="zh-CN"/>
        </w:rPr>
        <w:t>（四）部门整体支出绩效目标。</w:t>
      </w:r>
      <w:r>
        <w:rPr>
          <w:rFonts w:hint="eastAsia" w:ascii="仿宋_GB2312" w:hAnsi="仿宋_GB2312" w:eastAsia="仿宋_GB2312" w:cs="仿宋_GB2312"/>
          <w:kern w:val="0"/>
          <w:sz w:val="32"/>
          <w:szCs w:val="32"/>
          <w:lang w:val="en-US" w:eastAsia="zh-CN"/>
        </w:rPr>
        <w:t>一是保障单位日常运转和人员经费支出，开展帮扶活动；二是开展科普宣传，举办科普活动、推广种养殖业新品种、维护科普设备等；三是开展天府科技云服务中心运维工作，为县内科技工作者、企事业单位、群众提供科技交易平台服务。</w:t>
      </w:r>
    </w:p>
    <w:p w14:paraId="504213C8">
      <w:pPr>
        <w:widowControl/>
        <w:adjustRightInd w:val="0"/>
        <w:snapToGrid w:val="0"/>
        <w:spacing w:line="580" w:lineRule="exact"/>
        <w:ind w:firstLine="640" w:firstLineChars="200"/>
        <w:contextualSpacing/>
        <w:jc w:val="left"/>
        <w:rPr>
          <w:rFonts w:ascii="黑体" w:hAnsi="黑体" w:eastAsia="黑体" w:cs="宋体"/>
          <w:color w:val="000000"/>
          <w:kern w:val="0"/>
          <w:sz w:val="32"/>
          <w:szCs w:val="32"/>
          <w:shd w:val="clear" w:color="auto" w:fill="FFFFFF"/>
        </w:rPr>
      </w:pPr>
      <w:r>
        <w:rPr>
          <w:rFonts w:hint="eastAsia" w:ascii="黑体" w:hAnsi="黑体" w:eastAsia="黑体" w:cs="宋体"/>
          <w:color w:val="000000"/>
          <w:kern w:val="0"/>
          <w:sz w:val="32"/>
          <w:szCs w:val="32"/>
          <w:shd w:val="clear" w:color="auto" w:fill="FFFFFF"/>
        </w:rPr>
        <w:t>二、部门财政资金收支情况</w:t>
      </w:r>
    </w:p>
    <w:p w14:paraId="6B031420">
      <w:pPr>
        <w:widowControl/>
        <w:adjustRightInd w:val="0"/>
        <w:snapToGrid w:val="0"/>
        <w:spacing w:line="580" w:lineRule="exact"/>
        <w:ind w:firstLine="640" w:firstLineChars="200"/>
        <w:contextualSpacing/>
        <w:jc w:val="left"/>
        <w:rPr>
          <w:rFonts w:hint="default" w:ascii="楷体_GB2312" w:hAnsi="宋体" w:eastAsia="楷体_GB2312" w:cs="宋体"/>
          <w:b w:val="0"/>
          <w:bCs w:val="0"/>
          <w:color w:val="000000"/>
          <w:kern w:val="0"/>
          <w:sz w:val="32"/>
          <w:szCs w:val="32"/>
          <w:shd w:val="clear" w:color="auto" w:fill="FFFFFF"/>
          <w:lang w:val="en-US" w:eastAsia="zh-CN"/>
        </w:rPr>
      </w:pPr>
      <w:r>
        <w:rPr>
          <w:rFonts w:hint="eastAsia" w:ascii="楷体_GB2312" w:hAnsi="宋体" w:eastAsia="楷体_GB2312" w:cs="宋体"/>
          <w:color w:val="000000"/>
          <w:kern w:val="0"/>
          <w:sz w:val="32"/>
          <w:szCs w:val="32"/>
          <w:shd w:val="clear" w:color="auto" w:fill="FFFFFF"/>
          <w:lang w:val="zh-CN"/>
        </w:rPr>
        <w:t>（一）部门财政资</w:t>
      </w:r>
      <w:r>
        <w:rPr>
          <w:rFonts w:hint="eastAsia" w:ascii="楷体_GB2312" w:hAnsi="宋体" w:eastAsia="楷体_GB2312" w:cs="宋体"/>
          <w:b w:val="0"/>
          <w:bCs w:val="0"/>
          <w:color w:val="000000"/>
          <w:kern w:val="0"/>
          <w:sz w:val="32"/>
          <w:szCs w:val="32"/>
          <w:shd w:val="clear" w:color="auto" w:fill="FFFFFF"/>
          <w:lang w:val="zh-CN"/>
        </w:rPr>
        <w:t>金收入：</w:t>
      </w:r>
      <w:r>
        <w:rPr>
          <w:rFonts w:hint="eastAsia" w:ascii="楷体_GB2312" w:hAnsi="宋体" w:eastAsia="楷体_GB2312" w:cs="宋体"/>
          <w:b w:val="0"/>
          <w:bCs w:val="0"/>
          <w:color w:val="000000"/>
          <w:kern w:val="0"/>
          <w:sz w:val="32"/>
          <w:szCs w:val="32"/>
          <w:shd w:val="clear" w:color="auto" w:fill="FFFFFF"/>
          <w:lang w:val="en-US" w:eastAsia="zh-CN"/>
        </w:rPr>
        <w:t>181.49万元。</w:t>
      </w:r>
    </w:p>
    <w:p w14:paraId="66E96B79">
      <w:pPr>
        <w:widowControl/>
        <w:adjustRightInd w:val="0"/>
        <w:snapToGrid w:val="0"/>
        <w:spacing w:line="580" w:lineRule="exact"/>
        <w:ind w:firstLine="640" w:firstLineChars="200"/>
        <w:contextualSpacing/>
        <w:jc w:val="left"/>
        <w:rPr>
          <w:rFonts w:hint="default" w:ascii="楷体_GB2312" w:hAnsi="宋体" w:eastAsia="楷体_GB2312" w:cs="宋体"/>
          <w:color w:val="000000"/>
          <w:kern w:val="0"/>
          <w:sz w:val="32"/>
          <w:szCs w:val="32"/>
          <w:shd w:val="clear" w:color="auto" w:fill="FFFFFF"/>
          <w:lang w:val="en-US" w:eastAsia="zh-CN"/>
        </w:rPr>
      </w:pPr>
      <w:r>
        <w:rPr>
          <w:rFonts w:hint="eastAsia" w:ascii="楷体_GB2312" w:hAnsi="宋体" w:eastAsia="楷体_GB2312" w:cs="宋体"/>
          <w:b w:val="0"/>
          <w:bCs w:val="0"/>
          <w:color w:val="000000"/>
          <w:kern w:val="0"/>
          <w:sz w:val="32"/>
          <w:szCs w:val="32"/>
          <w:shd w:val="clear" w:color="auto" w:fill="FFFFFF"/>
          <w:lang w:val="zh-CN"/>
        </w:rPr>
        <w:t>（二）部门财政资金支出：</w:t>
      </w:r>
      <w:r>
        <w:rPr>
          <w:rFonts w:hint="eastAsia" w:ascii="楷体_GB2312" w:hAnsi="宋体" w:eastAsia="楷体_GB2312" w:cs="宋体"/>
          <w:b w:val="0"/>
          <w:bCs w:val="0"/>
          <w:color w:val="000000"/>
          <w:kern w:val="0"/>
          <w:sz w:val="32"/>
          <w:szCs w:val="32"/>
          <w:shd w:val="clear" w:color="auto" w:fill="FFFFFF"/>
          <w:lang w:val="en-US" w:eastAsia="zh-CN"/>
        </w:rPr>
        <w:t>181.49万元。</w:t>
      </w:r>
    </w:p>
    <w:p w14:paraId="2FAA14E7">
      <w:pPr>
        <w:widowControl/>
        <w:adjustRightInd w:val="0"/>
        <w:snapToGrid w:val="0"/>
        <w:spacing w:line="580" w:lineRule="exact"/>
        <w:ind w:firstLine="640" w:firstLineChars="200"/>
        <w:contextualSpacing/>
        <w:jc w:val="left"/>
        <w:rPr>
          <w:rFonts w:ascii="楷体_GB2312" w:hAnsi="宋体" w:eastAsia="楷体_GB2312" w:cs="宋体"/>
          <w:color w:val="000000"/>
          <w:kern w:val="0"/>
          <w:sz w:val="32"/>
          <w:szCs w:val="32"/>
          <w:shd w:val="clear" w:color="auto" w:fill="FFFFFF"/>
          <w:lang w:val="zh-CN"/>
        </w:rPr>
      </w:pPr>
      <w:r>
        <w:rPr>
          <w:rFonts w:hint="eastAsia" w:ascii="楷体_GB2312" w:hAnsi="宋体" w:eastAsia="楷体_GB2312" w:cs="宋体"/>
          <w:color w:val="000000"/>
          <w:kern w:val="0"/>
          <w:sz w:val="32"/>
          <w:szCs w:val="32"/>
          <w:shd w:val="clear" w:color="auto" w:fill="FFFFFF"/>
          <w:lang w:val="zh-CN"/>
        </w:rPr>
        <w:t>（三）部门财政资金结转结余：</w:t>
      </w:r>
      <w:r>
        <w:rPr>
          <w:rFonts w:hint="eastAsia" w:ascii="楷体_GB2312" w:hAnsi="宋体" w:eastAsia="楷体_GB2312" w:cs="宋体"/>
          <w:color w:val="000000"/>
          <w:kern w:val="0"/>
          <w:sz w:val="32"/>
          <w:szCs w:val="32"/>
          <w:shd w:val="clear" w:color="auto" w:fill="FFFFFF"/>
          <w:lang w:val="en-US" w:eastAsia="zh-CN"/>
        </w:rPr>
        <w:t>34.22万元</w:t>
      </w:r>
      <w:r>
        <w:rPr>
          <w:rFonts w:hint="eastAsia" w:ascii="楷体_GB2312" w:hAnsi="宋体" w:eastAsia="楷体_GB2312" w:cs="宋体"/>
          <w:color w:val="000000"/>
          <w:kern w:val="0"/>
          <w:sz w:val="32"/>
          <w:szCs w:val="32"/>
          <w:shd w:val="clear" w:color="auto" w:fill="FFFFFF"/>
          <w:lang w:val="zh-CN"/>
        </w:rPr>
        <w:t>。</w:t>
      </w:r>
    </w:p>
    <w:p w14:paraId="4123888A">
      <w:pPr>
        <w:widowControl/>
        <w:adjustRightInd w:val="0"/>
        <w:snapToGrid w:val="0"/>
        <w:spacing w:line="580" w:lineRule="exact"/>
        <w:ind w:firstLine="640" w:firstLineChars="200"/>
        <w:contextualSpacing/>
        <w:jc w:val="left"/>
        <w:rPr>
          <w:rFonts w:ascii="黑体" w:hAnsi="黑体" w:eastAsia="黑体" w:cs="宋体"/>
          <w:color w:val="000000"/>
          <w:kern w:val="0"/>
          <w:sz w:val="32"/>
          <w:szCs w:val="32"/>
          <w:shd w:val="clear" w:color="auto" w:fill="FFFFFF"/>
        </w:rPr>
      </w:pPr>
      <w:r>
        <w:rPr>
          <w:rFonts w:hint="eastAsia" w:ascii="黑体" w:hAnsi="黑体" w:eastAsia="黑体" w:cs="宋体"/>
          <w:color w:val="000000"/>
          <w:kern w:val="0"/>
          <w:sz w:val="32"/>
          <w:szCs w:val="32"/>
          <w:shd w:val="clear" w:color="auto" w:fill="FFFFFF"/>
        </w:rPr>
        <w:t>三、部门整体绩效管理情况（根据自评体系进行描述）</w:t>
      </w:r>
    </w:p>
    <w:p w14:paraId="73B9E05A">
      <w:pPr>
        <w:widowControl/>
        <w:adjustRightInd w:val="0"/>
        <w:snapToGrid w:val="0"/>
        <w:spacing w:line="580" w:lineRule="exact"/>
        <w:ind w:firstLine="640" w:firstLineChars="200"/>
        <w:contextualSpacing/>
        <w:jc w:val="left"/>
        <w:rPr>
          <w:rFonts w:ascii="楷体_GB2312" w:hAnsi="宋体" w:eastAsia="楷体_GB2312" w:cs="宋体"/>
          <w:color w:val="000000"/>
          <w:kern w:val="0"/>
          <w:sz w:val="32"/>
          <w:szCs w:val="32"/>
          <w:shd w:val="clear" w:color="auto" w:fill="FFFFFF"/>
          <w:lang w:val="zh-CN"/>
        </w:rPr>
      </w:pPr>
      <w:r>
        <w:rPr>
          <w:rFonts w:hint="eastAsia" w:ascii="楷体_GB2312" w:hAnsi="宋体" w:eastAsia="楷体_GB2312" w:cs="宋体"/>
          <w:color w:val="000000"/>
          <w:kern w:val="0"/>
          <w:sz w:val="32"/>
          <w:szCs w:val="32"/>
          <w:shd w:val="clear" w:color="auto" w:fill="FFFFFF"/>
          <w:lang w:val="zh-CN"/>
        </w:rPr>
        <w:t>（一）部门整体履职绩效分析。</w:t>
      </w:r>
    </w:p>
    <w:p w14:paraId="0E8FAC69">
      <w:pPr>
        <w:widowControl/>
        <w:adjustRightInd w:val="0"/>
        <w:snapToGrid w:val="0"/>
        <w:spacing w:line="580" w:lineRule="exact"/>
        <w:ind w:firstLine="640" w:firstLineChars="200"/>
        <w:contextualSpacing/>
        <w:jc w:val="left"/>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县科协按照机构职能以及县内科普需求的实际情况制定了2023年部门绩效目标，拟开展科普宣传活动、科普示范创建工作、提升群众满意度，维护科普宣传设备，开展天府科技云服务中心业务，服务县内科技工作者、企事业单位、群众。按照科协日常运行、人员经费情况、办公设备需求情况、科普宣传需求情况等准确进行预算编制，严格按照财经纪律进行支出控制与监督，在中期评估时及时进行预算中期调整，保证资金执行进度，预算资金按照实际经费产生情况进行支付，未出现违规记录。</w:t>
      </w:r>
    </w:p>
    <w:p w14:paraId="42F29A79">
      <w:pPr>
        <w:widowControl/>
        <w:adjustRightInd w:val="0"/>
        <w:snapToGrid w:val="0"/>
        <w:spacing w:line="580" w:lineRule="exact"/>
        <w:ind w:firstLine="640" w:firstLineChars="200"/>
        <w:contextualSpacing/>
        <w:jc w:val="left"/>
        <w:rPr>
          <w:rFonts w:ascii="楷体_GB2312" w:hAnsi="宋体" w:eastAsia="楷体_GB2312" w:cs="宋体"/>
          <w:color w:val="000000"/>
          <w:kern w:val="0"/>
          <w:sz w:val="32"/>
          <w:szCs w:val="32"/>
          <w:shd w:val="clear" w:color="auto" w:fill="FFFFFF"/>
          <w:lang w:val="zh-CN"/>
        </w:rPr>
      </w:pPr>
      <w:r>
        <w:rPr>
          <w:rFonts w:hint="eastAsia" w:ascii="楷体_GB2312" w:hAnsi="宋体" w:eastAsia="楷体_GB2312" w:cs="宋体"/>
          <w:color w:val="000000"/>
          <w:kern w:val="0"/>
          <w:sz w:val="32"/>
          <w:szCs w:val="32"/>
          <w:shd w:val="clear" w:color="auto" w:fill="FFFFFF"/>
          <w:lang w:val="zh-CN"/>
        </w:rPr>
        <w:t>（二）特定目标类项目绩效分析。</w:t>
      </w:r>
    </w:p>
    <w:p w14:paraId="063E7AB9">
      <w:pPr>
        <w:widowControl/>
        <w:adjustRightInd w:val="0"/>
        <w:snapToGrid w:val="0"/>
        <w:spacing w:line="580" w:lineRule="exact"/>
        <w:ind w:firstLine="640" w:firstLineChars="200"/>
        <w:contextualSpacing/>
        <w:jc w:val="left"/>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zh-CN" w:eastAsia="zh-CN"/>
        </w:rPr>
        <w:t>科普宣传项目按照科协领导决策，业务股室在领导的安排部署下按照规定程序实施项目。在实施科普宣传项目时按照项目特点、相关法律法规及项目管理制度等加强项目管理。</w:t>
      </w:r>
      <w:r>
        <w:rPr>
          <w:rFonts w:hint="eastAsia" w:ascii="仿宋_GB2312" w:hAnsi="仿宋_GB2312" w:eastAsia="仿宋_GB2312" w:cs="仿宋_GB2312"/>
          <w:kern w:val="0"/>
          <w:sz w:val="32"/>
          <w:szCs w:val="32"/>
          <w:lang w:val="en-US" w:eastAsia="zh-CN"/>
        </w:rPr>
        <w:t>编制项目预算时根据拟开展活动科学预算金额，</w:t>
      </w:r>
      <w:r>
        <w:rPr>
          <w:rFonts w:hint="eastAsia" w:ascii="仿宋_GB2312" w:hAnsi="仿宋_GB2312" w:eastAsia="仿宋_GB2312" w:cs="仿宋_GB2312"/>
          <w:kern w:val="0"/>
          <w:sz w:val="32"/>
          <w:szCs w:val="32"/>
          <w:lang w:val="zh-CN" w:eastAsia="zh-CN"/>
        </w:rPr>
        <w:t>对科普宣传</w:t>
      </w:r>
      <w:r>
        <w:rPr>
          <w:rFonts w:hint="eastAsia" w:ascii="仿宋_GB2312" w:hAnsi="仿宋_GB2312" w:eastAsia="仿宋_GB2312" w:cs="仿宋_GB2312"/>
          <w:kern w:val="0"/>
          <w:sz w:val="32"/>
          <w:szCs w:val="32"/>
          <w:lang w:val="en-US" w:eastAsia="zh-CN"/>
        </w:rPr>
        <w:t>LED</w:t>
      </w:r>
      <w:r>
        <w:rPr>
          <w:rFonts w:hint="eastAsia" w:ascii="仿宋_GB2312" w:hAnsi="仿宋_GB2312" w:eastAsia="仿宋_GB2312" w:cs="仿宋_GB2312"/>
          <w:kern w:val="0"/>
          <w:sz w:val="32"/>
          <w:szCs w:val="32"/>
          <w:lang w:val="zh-CN" w:eastAsia="zh-CN"/>
        </w:rPr>
        <w:t>电子屏幕进行维修维护，</w:t>
      </w:r>
      <w:r>
        <w:rPr>
          <w:rFonts w:hint="eastAsia" w:ascii="仿宋_GB2312" w:hAnsi="仿宋_GB2312" w:eastAsia="仿宋_GB2312" w:cs="仿宋_GB2312"/>
          <w:kern w:val="0"/>
          <w:sz w:val="32"/>
          <w:szCs w:val="32"/>
          <w:lang w:val="en-US" w:eastAsia="zh-CN"/>
        </w:rPr>
        <w:t>通过比较</w:t>
      </w:r>
      <w:r>
        <w:rPr>
          <w:rFonts w:hint="eastAsia" w:ascii="仿宋_GB2312" w:hAnsi="仿宋_GB2312" w:eastAsia="仿宋_GB2312" w:cs="仿宋_GB2312"/>
          <w:kern w:val="0"/>
          <w:sz w:val="32"/>
          <w:szCs w:val="32"/>
          <w:lang w:val="zh-CN" w:eastAsia="zh-CN"/>
        </w:rPr>
        <w:t>与有资质的公司签订合同，</w:t>
      </w:r>
      <w:r>
        <w:rPr>
          <w:rFonts w:hint="eastAsia" w:ascii="仿宋_GB2312" w:hAnsi="仿宋_GB2312" w:eastAsia="仿宋_GB2312" w:cs="仿宋_GB2312"/>
          <w:kern w:val="0"/>
          <w:sz w:val="32"/>
          <w:szCs w:val="32"/>
          <w:lang w:val="en-US" w:eastAsia="zh-CN"/>
        </w:rPr>
        <w:t>负责播放科普宣传片、宣传图片，为县级各部门播放宣传片提供了宣传渠道，增加了群众获取科普知识的渠道，全年播放</w:t>
      </w:r>
      <w:r>
        <w:rPr>
          <w:rFonts w:hint="eastAsia" w:ascii="仿宋" w:hAnsi="仿宋" w:eastAsia="仿宋" w:cs="仿宋"/>
          <w:b w:val="0"/>
          <w:bCs/>
          <w:color w:val="000000"/>
          <w:sz w:val="32"/>
          <w:szCs w:val="32"/>
          <w:lang w:val="en-US" w:eastAsia="zh-CN"/>
        </w:rPr>
        <w:t>生态环保、安全生产、森林防灭火、防震减灾、禁毒工作、创文创卫、网络安全等各类科普知识80余期；更新科普宣传栏内容4期</w:t>
      </w:r>
      <w:r>
        <w:rPr>
          <w:rFonts w:hint="eastAsia" w:ascii="仿宋_GB2312" w:hAnsi="仿宋_GB2312" w:eastAsia="仿宋_GB2312" w:cs="仿宋_GB2312"/>
          <w:kern w:val="0"/>
          <w:sz w:val="32"/>
          <w:szCs w:val="32"/>
          <w:lang w:val="en-US" w:eastAsia="zh-CN"/>
        </w:rPr>
        <w:t>；推广种植业新品种黑皮鸡枞菌、辣椒、茄子、玉米、红薯、旱稻共6种。项目按照预期</w:t>
      </w:r>
      <w:r>
        <w:rPr>
          <w:rFonts w:hint="eastAsia" w:ascii="仿宋_GB2312" w:hAnsi="宋体" w:eastAsia="仿宋_GB2312" w:cs="宋体"/>
          <w:color w:val="000000"/>
          <w:kern w:val="0"/>
          <w:sz w:val="32"/>
          <w:szCs w:val="32"/>
          <w:shd w:val="clear" w:color="auto" w:fill="FFFFFF"/>
          <w:lang w:val="zh-CN"/>
        </w:rPr>
        <w:t>执行进度</w:t>
      </w:r>
      <w:r>
        <w:rPr>
          <w:rFonts w:hint="eastAsia" w:ascii="仿宋_GB2312" w:hAnsi="宋体" w:eastAsia="仿宋_GB2312" w:cs="宋体"/>
          <w:color w:val="000000"/>
          <w:kern w:val="0"/>
          <w:sz w:val="32"/>
          <w:szCs w:val="32"/>
          <w:shd w:val="clear" w:color="auto" w:fill="FFFFFF"/>
          <w:lang w:val="en-US" w:eastAsia="zh-CN"/>
        </w:rPr>
        <w:t>如期完成</w:t>
      </w:r>
      <w:r>
        <w:rPr>
          <w:rFonts w:hint="eastAsia" w:ascii="仿宋_GB2312" w:hAnsi="宋体" w:eastAsia="仿宋_GB2312" w:cs="宋体"/>
          <w:color w:val="000000"/>
          <w:kern w:val="0"/>
          <w:sz w:val="32"/>
          <w:szCs w:val="32"/>
          <w:shd w:val="clear" w:color="auto" w:fill="FFFFFF"/>
          <w:lang w:val="zh-CN"/>
        </w:rPr>
        <w:t>、资金</w:t>
      </w:r>
      <w:r>
        <w:rPr>
          <w:rFonts w:hint="eastAsia" w:ascii="仿宋_GB2312" w:hAnsi="宋体" w:eastAsia="仿宋_GB2312" w:cs="宋体"/>
          <w:color w:val="000000"/>
          <w:kern w:val="0"/>
          <w:sz w:val="32"/>
          <w:szCs w:val="32"/>
          <w:shd w:val="clear" w:color="auto" w:fill="FFFFFF"/>
          <w:lang w:val="en-US" w:eastAsia="zh-CN"/>
        </w:rPr>
        <w:t>使用</w:t>
      </w:r>
      <w:r>
        <w:rPr>
          <w:rFonts w:hint="eastAsia" w:ascii="仿宋_GB2312" w:hAnsi="宋体" w:eastAsia="仿宋_GB2312" w:cs="宋体"/>
          <w:color w:val="000000"/>
          <w:kern w:val="0"/>
          <w:sz w:val="32"/>
          <w:szCs w:val="32"/>
          <w:shd w:val="clear" w:color="auto" w:fill="FFFFFF"/>
          <w:lang w:val="zh-CN"/>
        </w:rPr>
        <w:t>率</w:t>
      </w:r>
      <w:r>
        <w:rPr>
          <w:rFonts w:hint="eastAsia" w:ascii="仿宋_GB2312" w:hAnsi="宋体" w:eastAsia="仿宋_GB2312" w:cs="宋体"/>
          <w:color w:val="000000"/>
          <w:kern w:val="0"/>
          <w:sz w:val="32"/>
          <w:szCs w:val="32"/>
          <w:shd w:val="clear" w:color="auto" w:fill="FFFFFF"/>
          <w:lang w:val="en-US" w:eastAsia="zh-CN"/>
        </w:rPr>
        <w:t>99.99%</w:t>
      </w:r>
      <w:r>
        <w:rPr>
          <w:rFonts w:hint="eastAsia" w:ascii="仿宋_GB2312" w:hAnsi="宋体" w:eastAsia="仿宋_GB2312" w:cs="宋体"/>
          <w:color w:val="000000"/>
          <w:kern w:val="0"/>
          <w:sz w:val="32"/>
          <w:szCs w:val="32"/>
          <w:shd w:val="clear" w:color="auto" w:fill="FFFFFF"/>
          <w:lang w:val="zh-CN"/>
        </w:rPr>
        <w:t>，</w:t>
      </w:r>
      <w:r>
        <w:rPr>
          <w:rFonts w:hint="eastAsia" w:ascii="仿宋_GB2312" w:hAnsi="宋体" w:eastAsia="仿宋_GB2312" w:cs="宋体"/>
          <w:color w:val="000000"/>
          <w:kern w:val="0"/>
          <w:sz w:val="32"/>
          <w:szCs w:val="32"/>
          <w:shd w:val="clear" w:color="auto" w:fill="FFFFFF"/>
          <w:lang w:val="en-US" w:eastAsia="zh-CN"/>
        </w:rPr>
        <w:t>未出现</w:t>
      </w:r>
      <w:r>
        <w:rPr>
          <w:rFonts w:hint="eastAsia" w:ascii="仿宋_GB2312" w:hAnsi="宋体" w:eastAsia="仿宋_GB2312" w:cs="宋体"/>
          <w:color w:val="000000"/>
          <w:kern w:val="0"/>
          <w:sz w:val="32"/>
          <w:szCs w:val="32"/>
          <w:shd w:val="clear" w:color="auto" w:fill="FFFFFF"/>
          <w:lang w:val="zh-CN"/>
        </w:rPr>
        <w:t>违规记录等情况。</w:t>
      </w:r>
    </w:p>
    <w:p w14:paraId="78795F44">
      <w:pPr>
        <w:widowControl/>
        <w:adjustRightInd w:val="0"/>
        <w:snapToGrid w:val="0"/>
        <w:spacing w:line="580" w:lineRule="exact"/>
        <w:ind w:firstLine="640" w:firstLineChars="200"/>
        <w:contextualSpacing/>
        <w:jc w:val="left"/>
        <w:rPr>
          <w:rFonts w:ascii="楷体_GB2312" w:hAnsi="宋体" w:eastAsia="楷体_GB2312" w:cs="宋体"/>
          <w:color w:val="000000"/>
          <w:kern w:val="0"/>
          <w:sz w:val="32"/>
          <w:szCs w:val="32"/>
          <w:shd w:val="clear" w:color="auto" w:fill="FFFFFF"/>
          <w:lang w:val="zh-CN"/>
        </w:rPr>
      </w:pPr>
      <w:r>
        <w:rPr>
          <w:rFonts w:hint="eastAsia" w:ascii="楷体_GB2312" w:hAnsi="宋体" w:eastAsia="楷体_GB2312" w:cs="宋体"/>
          <w:color w:val="000000"/>
          <w:kern w:val="0"/>
          <w:sz w:val="32"/>
          <w:szCs w:val="32"/>
          <w:shd w:val="clear" w:color="auto" w:fill="FFFFFF"/>
          <w:lang w:val="zh-CN"/>
        </w:rPr>
        <w:t>（三）结果应用情况。</w:t>
      </w:r>
    </w:p>
    <w:p w14:paraId="42DBBEFB">
      <w:pPr>
        <w:widowControl/>
        <w:numPr>
          <w:ilvl w:val="0"/>
          <w:numId w:val="0"/>
        </w:numPr>
        <w:adjustRightInd w:val="0"/>
        <w:snapToGrid w:val="0"/>
        <w:spacing w:line="580" w:lineRule="exact"/>
        <w:ind w:firstLine="640" w:firstLineChars="200"/>
        <w:contextualSpacing/>
        <w:jc w:val="left"/>
        <w:rPr>
          <w:rFonts w:hint="eastAsia" w:ascii="仿宋_GB2312" w:hAnsi="仿宋_GB2312" w:eastAsia="仿宋_GB2312" w:cs="仿宋_GB2312"/>
          <w:kern w:val="0"/>
          <w:sz w:val="32"/>
          <w:szCs w:val="32"/>
          <w:lang w:val="zh-CN" w:eastAsia="zh-CN"/>
        </w:rPr>
      </w:pPr>
      <w:r>
        <w:rPr>
          <w:rFonts w:hint="eastAsia" w:ascii="仿宋_GB2312" w:hAnsi="仿宋_GB2312" w:eastAsia="仿宋_GB2312" w:cs="仿宋_GB2312"/>
          <w:kern w:val="0"/>
          <w:sz w:val="32"/>
          <w:szCs w:val="32"/>
          <w:lang w:val="zh-CN" w:eastAsia="zh-CN"/>
        </w:rPr>
        <w:t>部门整体绩效指标得分</w:t>
      </w:r>
      <w:r>
        <w:rPr>
          <w:rFonts w:hint="eastAsia" w:ascii="仿宋_GB2312" w:hAnsi="仿宋_GB2312" w:eastAsia="仿宋_GB2312" w:cs="仿宋_GB2312"/>
          <w:kern w:val="0"/>
          <w:sz w:val="32"/>
          <w:szCs w:val="32"/>
          <w:lang w:val="en-US" w:eastAsia="zh-CN"/>
        </w:rPr>
        <w:t>99分</w:t>
      </w:r>
      <w:r>
        <w:rPr>
          <w:rFonts w:hint="eastAsia" w:ascii="仿宋_GB2312" w:hAnsi="仿宋_GB2312" w:eastAsia="仿宋_GB2312" w:cs="仿宋_GB2312"/>
          <w:kern w:val="0"/>
          <w:sz w:val="32"/>
          <w:szCs w:val="32"/>
          <w:lang w:val="zh-CN" w:eastAsia="zh-CN"/>
        </w:rPr>
        <w:t>、</w:t>
      </w:r>
      <w:r>
        <w:rPr>
          <w:rFonts w:hint="eastAsia" w:ascii="仿宋_GB2312" w:hAnsi="仿宋_GB2312" w:eastAsia="仿宋_GB2312" w:cs="仿宋_GB2312"/>
          <w:kern w:val="0"/>
          <w:sz w:val="32"/>
          <w:szCs w:val="32"/>
          <w:lang w:val="en-US" w:eastAsia="zh-CN"/>
        </w:rPr>
        <w:t>2023年</w:t>
      </w:r>
      <w:r>
        <w:rPr>
          <w:rFonts w:hint="eastAsia" w:ascii="仿宋_GB2312" w:hAnsi="仿宋_GB2312" w:eastAsia="仿宋_GB2312" w:cs="仿宋_GB2312"/>
          <w:kern w:val="0"/>
          <w:sz w:val="32"/>
          <w:szCs w:val="32"/>
          <w:lang w:val="zh-CN" w:eastAsia="zh-CN"/>
        </w:rPr>
        <w:t>绩效目标自评将</w:t>
      </w:r>
      <w:r>
        <w:rPr>
          <w:rFonts w:hint="eastAsia" w:ascii="仿宋_GB2312" w:hAnsi="仿宋_GB2312" w:eastAsia="仿宋_GB2312" w:cs="仿宋_GB2312"/>
          <w:kern w:val="0"/>
          <w:sz w:val="32"/>
          <w:szCs w:val="32"/>
          <w:lang w:val="en-US" w:eastAsia="zh-CN"/>
        </w:rPr>
        <w:t>按照上级要求在峨边彝族自治县政府门户网上进行</w:t>
      </w:r>
      <w:r>
        <w:rPr>
          <w:rFonts w:hint="eastAsia" w:ascii="仿宋_GB2312" w:hAnsi="仿宋_GB2312" w:eastAsia="仿宋_GB2312" w:cs="仿宋_GB2312"/>
          <w:kern w:val="0"/>
          <w:sz w:val="32"/>
          <w:szCs w:val="32"/>
          <w:lang w:val="zh-CN" w:eastAsia="zh-CN"/>
        </w:rPr>
        <w:t>公开。</w:t>
      </w:r>
    </w:p>
    <w:p w14:paraId="442D3E84">
      <w:pPr>
        <w:widowControl/>
        <w:adjustRightInd w:val="0"/>
        <w:snapToGrid w:val="0"/>
        <w:spacing w:line="580" w:lineRule="exact"/>
        <w:ind w:firstLine="640" w:firstLineChars="200"/>
        <w:contextualSpacing/>
        <w:jc w:val="left"/>
        <w:rPr>
          <w:rFonts w:ascii="黑体" w:hAnsi="黑体" w:eastAsia="黑体" w:cs="宋体"/>
          <w:color w:val="000000"/>
          <w:kern w:val="0"/>
          <w:sz w:val="32"/>
          <w:szCs w:val="32"/>
          <w:shd w:val="clear" w:color="auto" w:fill="FFFFFF"/>
        </w:rPr>
      </w:pPr>
      <w:r>
        <w:rPr>
          <w:rFonts w:hint="eastAsia" w:ascii="黑体" w:hAnsi="黑体" w:eastAsia="黑体" w:cs="宋体"/>
          <w:color w:val="000000"/>
          <w:kern w:val="0"/>
          <w:sz w:val="32"/>
          <w:szCs w:val="32"/>
          <w:shd w:val="clear" w:color="auto" w:fill="FFFFFF"/>
        </w:rPr>
        <w:t>四、评价结论及建议</w:t>
      </w:r>
    </w:p>
    <w:p w14:paraId="5AA097FC">
      <w:pPr>
        <w:widowControl/>
        <w:adjustRightInd w:val="0"/>
        <w:snapToGrid w:val="0"/>
        <w:spacing w:line="580" w:lineRule="exact"/>
        <w:ind w:firstLine="640" w:firstLineChars="200"/>
        <w:contextualSpacing/>
        <w:jc w:val="left"/>
        <w:rPr>
          <w:rFonts w:ascii="楷体_GB2312" w:hAnsi="宋体" w:eastAsia="楷体_GB2312" w:cs="宋体"/>
          <w:color w:val="000000"/>
          <w:kern w:val="0"/>
          <w:sz w:val="32"/>
          <w:szCs w:val="32"/>
          <w:shd w:val="clear" w:color="auto" w:fill="FFFFFF"/>
          <w:lang w:val="zh-CN"/>
        </w:rPr>
      </w:pPr>
      <w:r>
        <w:rPr>
          <w:rFonts w:hint="eastAsia" w:ascii="楷体_GB2312" w:hAnsi="宋体" w:eastAsia="楷体_GB2312" w:cs="宋体"/>
          <w:color w:val="000000"/>
          <w:kern w:val="0"/>
          <w:sz w:val="32"/>
          <w:szCs w:val="32"/>
          <w:shd w:val="clear" w:color="auto" w:fill="FFFFFF"/>
          <w:lang w:val="zh-CN"/>
        </w:rPr>
        <w:t>（一）评价结论：</w:t>
      </w:r>
      <w:r>
        <w:rPr>
          <w:rFonts w:hint="eastAsia" w:ascii="仿宋_GB2312" w:hAnsi="仿宋_GB2312" w:eastAsia="仿宋_GB2312" w:cs="仿宋_GB2312"/>
          <w:kern w:val="0"/>
          <w:sz w:val="32"/>
          <w:szCs w:val="32"/>
          <w:lang w:val="zh-CN" w:eastAsia="zh-CN"/>
        </w:rPr>
        <w:t>县科协部门整体支出无存在问题。</w:t>
      </w:r>
    </w:p>
    <w:p w14:paraId="114B9042">
      <w:pPr>
        <w:widowControl/>
        <w:adjustRightInd w:val="0"/>
        <w:snapToGrid w:val="0"/>
        <w:spacing w:line="580" w:lineRule="exact"/>
        <w:ind w:firstLine="640" w:firstLineChars="200"/>
        <w:contextualSpacing/>
        <w:jc w:val="left"/>
        <w:rPr>
          <w:rFonts w:hint="eastAsia" w:ascii="仿宋_GB2312" w:hAnsi="仿宋_GB2312" w:eastAsia="仿宋_GB2312" w:cs="仿宋_GB2312"/>
          <w:kern w:val="0"/>
          <w:sz w:val="32"/>
          <w:szCs w:val="32"/>
          <w:lang w:val="en-US" w:eastAsia="zh-CN"/>
        </w:rPr>
      </w:pPr>
      <w:r>
        <w:rPr>
          <w:rFonts w:hint="eastAsia" w:ascii="楷体_GB2312" w:hAnsi="宋体" w:eastAsia="楷体_GB2312" w:cs="宋体"/>
          <w:color w:val="000000"/>
          <w:kern w:val="0"/>
          <w:sz w:val="32"/>
          <w:szCs w:val="32"/>
          <w:shd w:val="clear" w:color="auto" w:fill="FFFFFF"/>
          <w:lang w:val="zh-CN"/>
        </w:rPr>
        <w:t>（</w:t>
      </w:r>
      <w:r>
        <w:rPr>
          <w:rFonts w:hint="eastAsia" w:ascii="楷体_GB2312" w:hAnsi="宋体" w:eastAsia="楷体_GB2312" w:cs="宋体"/>
          <w:color w:val="000000"/>
          <w:kern w:val="0"/>
          <w:sz w:val="32"/>
          <w:szCs w:val="32"/>
          <w:shd w:val="clear" w:color="auto" w:fill="FFFFFF"/>
          <w:lang w:val="en-US" w:eastAsia="zh-CN"/>
        </w:rPr>
        <w:t>二</w:t>
      </w:r>
      <w:r>
        <w:rPr>
          <w:rFonts w:hint="eastAsia" w:ascii="楷体_GB2312" w:hAnsi="宋体" w:eastAsia="楷体_GB2312" w:cs="宋体"/>
          <w:color w:val="000000"/>
          <w:kern w:val="0"/>
          <w:sz w:val="32"/>
          <w:szCs w:val="32"/>
          <w:shd w:val="clear" w:color="auto" w:fill="FFFFFF"/>
          <w:lang w:val="zh-CN"/>
        </w:rPr>
        <w:t>）改进建议：</w:t>
      </w:r>
      <w:r>
        <w:rPr>
          <w:rFonts w:hint="eastAsia" w:ascii="仿宋_GB2312" w:hAnsi="仿宋_GB2312" w:eastAsia="仿宋_GB2312" w:cs="仿宋_GB2312"/>
          <w:kern w:val="0"/>
          <w:sz w:val="32"/>
          <w:szCs w:val="32"/>
          <w:lang w:val="en-US" w:eastAsia="zh-CN"/>
        </w:rPr>
        <w:t>无。</w:t>
      </w:r>
    </w:p>
    <w:p w14:paraId="53873C0C">
      <w:pPr>
        <w:widowControl/>
        <w:adjustRightInd w:val="0"/>
        <w:snapToGrid w:val="0"/>
        <w:spacing w:line="580" w:lineRule="exact"/>
        <w:ind w:firstLine="640" w:firstLineChars="200"/>
        <w:contextualSpacing/>
        <w:jc w:val="left"/>
        <w:rPr>
          <w:rFonts w:hint="eastAsia" w:ascii="仿宋_GB2312" w:hAnsi="仿宋_GB2312" w:eastAsia="仿宋_GB2312" w:cs="仿宋_GB2312"/>
          <w:kern w:val="0"/>
          <w:sz w:val="32"/>
          <w:szCs w:val="32"/>
          <w:lang w:val="en-US" w:eastAsia="zh-CN"/>
        </w:rPr>
      </w:pPr>
    </w:p>
    <w:p w14:paraId="005E301B">
      <w:pPr>
        <w:widowControl/>
        <w:adjustRightInd w:val="0"/>
        <w:snapToGrid w:val="0"/>
        <w:spacing w:line="580" w:lineRule="exact"/>
        <w:ind w:firstLine="640" w:firstLineChars="200"/>
        <w:contextualSpacing/>
        <w:jc w:val="left"/>
        <w:rPr>
          <w:rFonts w:hint="eastAsia" w:ascii="仿宋_GB2312" w:hAnsi="仿宋_GB2312" w:eastAsia="仿宋_GB2312" w:cs="仿宋_GB2312"/>
          <w:kern w:val="0"/>
          <w:sz w:val="32"/>
          <w:szCs w:val="32"/>
          <w:lang w:val="en-US" w:eastAsia="zh-CN"/>
        </w:rPr>
      </w:pPr>
    </w:p>
    <w:p w14:paraId="5EB49D61">
      <w:pPr>
        <w:widowControl/>
        <w:adjustRightInd w:val="0"/>
        <w:snapToGrid w:val="0"/>
        <w:spacing w:line="580" w:lineRule="exact"/>
        <w:ind w:firstLine="640" w:firstLineChars="200"/>
        <w:contextualSpacing/>
        <w:jc w:val="left"/>
        <w:rPr>
          <w:rFonts w:hint="eastAsia" w:ascii="仿宋_GB2312" w:hAnsi="仿宋_GB2312" w:eastAsia="仿宋_GB2312" w:cs="仿宋_GB2312"/>
          <w:kern w:val="0"/>
          <w:sz w:val="32"/>
          <w:szCs w:val="32"/>
          <w:lang w:val="en-US" w:eastAsia="zh-CN"/>
        </w:rPr>
      </w:pPr>
    </w:p>
    <w:p w14:paraId="7B0D922C">
      <w:pPr>
        <w:widowControl/>
        <w:adjustRightInd w:val="0"/>
        <w:snapToGrid w:val="0"/>
        <w:spacing w:line="580" w:lineRule="exact"/>
        <w:ind w:firstLine="640" w:firstLineChars="200"/>
        <w:contextualSpacing/>
        <w:jc w:val="left"/>
        <w:rPr>
          <w:rFonts w:hint="eastAsia" w:ascii="仿宋_GB2312" w:hAnsi="仿宋_GB2312" w:eastAsia="仿宋_GB2312" w:cs="仿宋_GB2312"/>
          <w:kern w:val="0"/>
          <w:sz w:val="32"/>
          <w:szCs w:val="32"/>
          <w:lang w:val="en-US" w:eastAsia="zh-CN"/>
        </w:rPr>
      </w:pPr>
    </w:p>
    <w:p w14:paraId="4375CE0F">
      <w:pPr>
        <w:widowControl/>
        <w:adjustRightInd w:val="0"/>
        <w:snapToGrid w:val="0"/>
        <w:spacing w:line="580" w:lineRule="exact"/>
        <w:ind w:firstLine="640" w:firstLineChars="200"/>
        <w:contextualSpacing/>
        <w:jc w:val="left"/>
        <w:rPr>
          <w:rFonts w:hint="eastAsia" w:ascii="仿宋_GB2312" w:hAnsi="仿宋_GB2312" w:eastAsia="仿宋_GB2312" w:cs="仿宋_GB2312"/>
          <w:kern w:val="0"/>
          <w:sz w:val="32"/>
          <w:szCs w:val="32"/>
          <w:lang w:val="en-US" w:eastAsia="zh-CN"/>
        </w:rPr>
      </w:pPr>
    </w:p>
    <w:tbl>
      <w:tblPr>
        <w:tblStyle w:val="19"/>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96"/>
        <w:gridCol w:w="696"/>
        <w:gridCol w:w="756"/>
        <w:gridCol w:w="457"/>
        <w:gridCol w:w="1445"/>
        <w:gridCol w:w="1656"/>
        <w:gridCol w:w="457"/>
        <w:gridCol w:w="457"/>
        <w:gridCol w:w="457"/>
        <w:gridCol w:w="457"/>
        <w:gridCol w:w="457"/>
        <w:gridCol w:w="531"/>
      </w:tblGrid>
      <w:tr w14:paraId="3B7E6F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0" w:hRule="atLeast"/>
        </w:trPr>
        <w:tc>
          <w:tcPr>
            <w:tcW w:w="5000" w:type="pct"/>
            <w:gridSpan w:val="12"/>
            <w:tcBorders>
              <w:top w:val="nil"/>
              <w:left w:val="nil"/>
              <w:bottom w:val="single" w:color="000000" w:sz="4" w:space="0"/>
              <w:right w:val="nil"/>
            </w:tcBorders>
            <w:shd w:val="clear" w:color="auto" w:fill="auto"/>
            <w:vAlign w:val="center"/>
          </w:tcPr>
          <w:p w14:paraId="200F6149">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县级部门整体绩效自评打分表</w:t>
            </w:r>
          </w:p>
        </w:tc>
      </w:tr>
      <w:tr w14:paraId="5C6261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103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CD3559B">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绩效指标</w:t>
            </w:r>
          </w:p>
        </w:tc>
        <w:tc>
          <w:tcPr>
            <w:tcW w:w="21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E8A818">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指标分值</w:t>
            </w:r>
          </w:p>
        </w:tc>
        <w:tc>
          <w:tcPr>
            <w:tcW w:w="102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553682">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指标解释</w:t>
            </w:r>
          </w:p>
        </w:tc>
        <w:tc>
          <w:tcPr>
            <w:tcW w:w="1149" w:type="pct"/>
            <w:vMerge w:val="restart"/>
            <w:tcBorders>
              <w:top w:val="single" w:color="000000" w:sz="4" w:space="0"/>
              <w:left w:val="nil"/>
              <w:bottom w:val="single" w:color="000000" w:sz="4" w:space="0"/>
              <w:right w:val="single" w:color="000000" w:sz="4" w:space="0"/>
            </w:tcBorders>
            <w:shd w:val="clear" w:color="auto" w:fill="auto"/>
            <w:vAlign w:val="center"/>
          </w:tcPr>
          <w:p w14:paraId="006B01C5">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计分标准</w:t>
            </w:r>
          </w:p>
        </w:tc>
        <w:tc>
          <w:tcPr>
            <w:tcW w:w="39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0C97D7">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评价方式</w:t>
            </w:r>
          </w:p>
        </w:tc>
        <w:tc>
          <w:tcPr>
            <w:tcW w:w="46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92A551">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评价属性</w:t>
            </w:r>
          </w:p>
        </w:tc>
        <w:tc>
          <w:tcPr>
            <w:tcW w:w="221" w:type="pct"/>
            <w:vMerge w:val="restart"/>
            <w:tcBorders>
              <w:top w:val="single" w:color="000000" w:sz="4" w:space="0"/>
              <w:left w:val="single" w:color="000000" w:sz="4" w:space="0"/>
              <w:bottom w:val="single" w:color="000000" w:sz="4" w:space="0"/>
              <w:right w:val="single" w:color="000000" w:sz="4" w:space="0"/>
            </w:tcBorders>
            <w:shd w:val="clear" w:color="auto" w:fill="FDE9D9"/>
            <w:vAlign w:val="center"/>
          </w:tcPr>
          <w:p w14:paraId="058EF852">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自评打分</w:t>
            </w:r>
          </w:p>
        </w:tc>
        <w:tc>
          <w:tcPr>
            <w:tcW w:w="4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8E3730">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备注</w:t>
            </w:r>
          </w:p>
        </w:tc>
      </w:tr>
      <w:tr w14:paraId="2CEFB4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2DBD9F">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一级指标</w:t>
            </w:r>
          </w:p>
        </w:tc>
        <w:tc>
          <w:tcPr>
            <w:tcW w:w="2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FD1A7C">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二级指标</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554D1B">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三级指标</w:t>
            </w:r>
          </w:p>
        </w:tc>
        <w:tc>
          <w:tcPr>
            <w:tcW w:w="2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03C8F9">
            <w:pPr>
              <w:jc w:val="center"/>
              <w:rPr>
                <w:rFonts w:hint="eastAsia" w:ascii="宋体" w:hAnsi="宋体" w:eastAsia="宋体" w:cs="宋体"/>
                <w:b/>
                <w:bCs/>
                <w:i w:val="0"/>
                <w:iCs w:val="0"/>
                <w:color w:val="000000"/>
                <w:sz w:val="24"/>
                <w:szCs w:val="24"/>
                <w:u w:val="none"/>
              </w:rPr>
            </w:pPr>
          </w:p>
        </w:tc>
        <w:tc>
          <w:tcPr>
            <w:tcW w:w="10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09B15D">
            <w:pPr>
              <w:jc w:val="center"/>
              <w:rPr>
                <w:rFonts w:hint="eastAsia" w:ascii="宋体" w:hAnsi="宋体" w:eastAsia="宋体" w:cs="宋体"/>
                <w:b/>
                <w:bCs/>
                <w:i w:val="0"/>
                <w:iCs w:val="0"/>
                <w:color w:val="000000"/>
                <w:sz w:val="24"/>
                <w:szCs w:val="24"/>
                <w:u w:val="none"/>
              </w:rPr>
            </w:pPr>
          </w:p>
        </w:tc>
        <w:tc>
          <w:tcPr>
            <w:tcW w:w="1149" w:type="pct"/>
            <w:vMerge w:val="continue"/>
            <w:tcBorders>
              <w:top w:val="single" w:color="000000" w:sz="4" w:space="0"/>
              <w:left w:val="nil"/>
              <w:bottom w:val="single" w:color="000000" w:sz="4" w:space="0"/>
              <w:right w:val="single" w:color="000000" w:sz="4" w:space="0"/>
            </w:tcBorders>
            <w:shd w:val="clear" w:color="auto" w:fill="auto"/>
            <w:vAlign w:val="center"/>
          </w:tcPr>
          <w:p w14:paraId="5993B6F7">
            <w:pPr>
              <w:jc w:val="center"/>
              <w:rPr>
                <w:rFonts w:hint="eastAsia" w:ascii="宋体" w:hAnsi="宋体" w:eastAsia="宋体" w:cs="宋体"/>
                <w:b/>
                <w:bCs/>
                <w:i w:val="0"/>
                <w:iCs w:val="0"/>
                <w:color w:val="000000"/>
                <w:sz w:val="24"/>
                <w:szCs w:val="24"/>
                <w:u w:val="none"/>
              </w:rPr>
            </w:pPr>
          </w:p>
        </w:tc>
        <w:tc>
          <w:tcPr>
            <w:tcW w:w="199" w:type="pct"/>
            <w:tcBorders>
              <w:top w:val="single" w:color="000000" w:sz="4" w:space="0"/>
              <w:left w:val="nil"/>
              <w:bottom w:val="single" w:color="000000" w:sz="4" w:space="0"/>
              <w:right w:val="single" w:color="000000" w:sz="4" w:space="0"/>
            </w:tcBorders>
            <w:shd w:val="clear" w:color="auto" w:fill="auto"/>
            <w:vAlign w:val="center"/>
          </w:tcPr>
          <w:p w14:paraId="2AB38A05">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整体评价</w:t>
            </w:r>
          </w:p>
        </w:tc>
        <w:tc>
          <w:tcPr>
            <w:tcW w:w="2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BB0DBA">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样本评价</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C8A9FB">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定性评价</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08D205">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定量评价</w:t>
            </w:r>
          </w:p>
        </w:tc>
        <w:tc>
          <w:tcPr>
            <w:tcW w:w="221" w:type="pct"/>
            <w:vMerge w:val="continue"/>
            <w:tcBorders>
              <w:top w:val="single" w:color="000000" w:sz="4" w:space="0"/>
              <w:left w:val="single" w:color="000000" w:sz="4" w:space="0"/>
              <w:bottom w:val="single" w:color="000000" w:sz="4" w:space="0"/>
              <w:right w:val="single" w:color="000000" w:sz="4" w:space="0"/>
            </w:tcBorders>
            <w:shd w:val="clear" w:color="auto" w:fill="FDE9D9"/>
            <w:vAlign w:val="center"/>
          </w:tcPr>
          <w:p w14:paraId="60634764">
            <w:pPr>
              <w:jc w:val="center"/>
              <w:rPr>
                <w:rFonts w:hint="eastAsia" w:ascii="宋体" w:hAnsi="宋体" w:eastAsia="宋体" w:cs="宋体"/>
                <w:b/>
                <w:bCs/>
                <w:i w:val="0"/>
                <w:iCs w:val="0"/>
                <w:color w:val="000000"/>
                <w:sz w:val="24"/>
                <w:szCs w:val="24"/>
                <w:u w:val="none"/>
              </w:rPr>
            </w:pPr>
          </w:p>
        </w:tc>
        <w:tc>
          <w:tcPr>
            <w:tcW w:w="4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799165">
            <w:pPr>
              <w:jc w:val="center"/>
              <w:rPr>
                <w:rFonts w:hint="eastAsia" w:ascii="宋体" w:hAnsi="宋体" w:eastAsia="宋体" w:cs="宋体"/>
                <w:b/>
                <w:bCs/>
                <w:i w:val="0"/>
                <w:iCs w:val="0"/>
                <w:color w:val="000000"/>
                <w:sz w:val="24"/>
                <w:szCs w:val="24"/>
                <w:u w:val="none"/>
              </w:rPr>
            </w:pPr>
          </w:p>
        </w:tc>
      </w:tr>
      <w:tr w14:paraId="70147C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9" w:hRule="atLeast"/>
        </w:trPr>
        <w:tc>
          <w:tcPr>
            <w:tcW w:w="20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61F79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部门预算项目绩效管理（70分）</w:t>
            </w:r>
          </w:p>
        </w:tc>
        <w:tc>
          <w:tcPr>
            <w:tcW w:w="20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6681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目标管理（40分）</w:t>
            </w:r>
          </w:p>
        </w:tc>
        <w:tc>
          <w:tcPr>
            <w:tcW w:w="621" w:type="pct"/>
            <w:vMerge w:val="restart"/>
            <w:tcBorders>
              <w:top w:val="single" w:color="000000" w:sz="4" w:space="0"/>
              <w:left w:val="single" w:color="000000" w:sz="4" w:space="0"/>
              <w:bottom w:val="nil"/>
              <w:right w:val="single" w:color="000000" w:sz="4" w:space="0"/>
            </w:tcBorders>
            <w:shd w:val="clear" w:color="auto" w:fill="auto"/>
            <w:vAlign w:val="center"/>
          </w:tcPr>
          <w:p w14:paraId="685E75B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目标制定</w:t>
            </w:r>
          </w:p>
        </w:tc>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21EB0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0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9F214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是否开展部门内部绩效目标审核工作。</w:t>
            </w:r>
          </w:p>
        </w:tc>
        <w:tc>
          <w:tcPr>
            <w:tcW w:w="11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7476C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部门组织对本部门（含下属单位）绩效目标开展内部审核的，得10分，否则不得分。</w:t>
            </w:r>
          </w:p>
        </w:tc>
        <w:tc>
          <w:tcPr>
            <w:tcW w:w="1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CAA1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D46D0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41A3E2">
            <w:pPr>
              <w:jc w:val="center"/>
              <w:rPr>
                <w:rFonts w:hint="eastAsia" w:ascii="宋体" w:hAnsi="宋体" w:eastAsia="宋体" w:cs="宋体"/>
                <w:i w:val="0"/>
                <w:iCs w:val="0"/>
                <w:color w:val="000000"/>
                <w:sz w:val="24"/>
                <w:szCs w:val="24"/>
                <w:u w:val="none"/>
              </w:rPr>
            </w:pP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7AC37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21" w:type="pct"/>
            <w:tcBorders>
              <w:top w:val="single" w:color="000000" w:sz="4" w:space="0"/>
              <w:left w:val="single" w:color="000000" w:sz="4" w:space="0"/>
              <w:bottom w:val="single" w:color="000000" w:sz="4" w:space="0"/>
              <w:right w:val="single" w:color="000000" w:sz="4" w:space="0"/>
            </w:tcBorders>
            <w:shd w:val="clear" w:color="auto" w:fill="FDE9D9"/>
            <w:vAlign w:val="center"/>
          </w:tcPr>
          <w:p w14:paraId="6B9724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509494">
            <w:pPr>
              <w:rPr>
                <w:rFonts w:hint="eastAsia" w:ascii="宋体" w:hAnsi="宋体" w:eastAsia="宋体" w:cs="宋体"/>
                <w:i w:val="0"/>
                <w:iCs w:val="0"/>
                <w:color w:val="000000"/>
                <w:sz w:val="24"/>
                <w:szCs w:val="24"/>
                <w:u w:val="none"/>
              </w:rPr>
            </w:pPr>
          </w:p>
        </w:tc>
      </w:tr>
      <w:tr w14:paraId="4CE5DF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80" w:hRule="atLeast"/>
        </w:trPr>
        <w:tc>
          <w:tcPr>
            <w:tcW w:w="2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0000B9">
            <w:pPr>
              <w:jc w:val="center"/>
              <w:rPr>
                <w:rFonts w:hint="eastAsia" w:ascii="宋体" w:hAnsi="宋体" w:eastAsia="宋体" w:cs="宋体"/>
                <w:i w:val="0"/>
                <w:iCs w:val="0"/>
                <w:color w:val="000000"/>
                <w:sz w:val="24"/>
                <w:szCs w:val="24"/>
                <w:u w:val="none"/>
              </w:rPr>
            </w:pPr>
          </w:p>
        </w:tc>
        <w:tc>
          <w:tcPr>
            <w:tcW w:w="2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CDE37E">
            <w:pPr>
              <w:jc w:val="center"/>
              <w:rPr>
                <w:rFonts w:hint="eastAsia" w:ascii="宋体" w:hAnsi="宋体" w:eastAsia="宋体" w:cs="宋体"/>
                <w:i w:val="0"/>
                <w:iCs w:val="0"/>
                <w:color w:val="000000"/>
                <w:sz w:val="24"/>
                <w:szCs w:val="24"/>
                <w:u w:val="none"/>
              </w:rPr>
            </w:pPr>
          </w:p>
        </w:tc>
        <w:tc>
          <w:tcPr>
            <w:tcW w:w="621" w:type="pct"/>
            <w:vMerge w:val="continue"/>
            <w:tcBorders>
              <w:top w:val="single" w:color="000000" w:sz="4" w:space="0"/>
              <w:left w:val="single" w:color="000000" w:sz="4" w:space="0"/>
              <w:bottom w:val="nil"/>
              <w:right w:val="single" w:color="000000" w:sz="4" w:space="0"/>
            </w:tcBorders>
            <w:shd w:val="clear" w:color="auto" w:fill="auto"/>
            <w:vAlign w:val="center"/>
          </w:tcPr>
          <w:p w14:paraId="088A8220">
            <w:pPr>
              <w:jc w:val="center"/>
              <w:rPr>
                <w:rFonts w:hint="eastAsia" w:ascii="宋体" w:hAnsi="宋体" w:eastAsia="宋体" w:cs="宋体"/>
                <w:i w:val="0"/>
                <w:iCs w:val="0"/>
                <w:color w:val="000000"/>
                <w:sz w:val="24"/>
                <w:szCs w:val="24"/>
                <w:u w:val="none"/>
              </w:rPr>
            </w:pPr>
          </w:p>
        </w:tc>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40EB5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0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31821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根据年度绩效目标实现情况，评价部门绩效目标是否科学合理、规范完整、细化量化并与预算安排相匹配。</w:t>
            </w:r>
          </w:p>
        </w:tc>
        <w:tc>
          <w:tcPr>
            <w:tcW w:w="11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DAA90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1.绩效目标编制科学合理的，得2分，否则酌情扣分。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2.绩效目标编制规范完整的，得2分，否则酌情扣分。                                                       3.绩效指标编制细化量化的，得2分，否则酌情扣分。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4.绩效指标编制与预算安排相匹配的，得2分，否则酌情扣分。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5.评价部门绩效目标纳入部门党组（委）会（办公会）集体决策范围的得2分，否则不得分。                                                                                                                    </w:t>
            </w:r>
          </w:p>
        </w:tc>
        <w:tc>
          <w:tcPr>
            <w:tcW w:w="1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4EA2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75BE9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16333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B863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21" w:type="pct"/>
            <w:tcBorders>
              <w:top w:val="single" w:color="000000" w:sz="4" w:space="0"/>
              <w:left w:val="single" w:color="000000" w:sz="4" w:space="0"/>
              <w:bottom w:val="single" w:color="000000" w:sz="4" w:space="0"/>
              <w:right w:val="single" w:color="000000" w:sz="4" w:space="0"/>
            </w:tcBorders>
            <w:shd w:val="clear" w:color="auto" w:fill="FDE9D9"/>
            <w:vAlign w:val="center"/>
          </w:tcPr>
          <w:p w14:paraId="76751D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C415F8">
            <w:pPr>
              <w:rPr>
                <w:rFonts w:hint="eastAsia" w:ascii="宋体" w:hAnsi="宋体" w:eastAsia="宋体" w:cs="宋体"/>
                <w:i w:val="0"/>
                <w:iCs w:val="0"/>
                <w:color w:val="000000"/>
                <w:sz w:val="24"/>
                <w:szCs w:val="24"/>
                <w:u w:val="none"/>
              </w:rPr>
            </w:pPr>
          </w:p>
        </w:tc>
      </w:tr>
      <w:tr w14:paraId="287800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9" w:hRule="atLeast"/>
        </w:trPr>
        <w:tc>
          <w:tcPr>
            <w:tcW w:w="2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C8C124">
            <w:pPr>
              <w:jc w:val="center"/>
              <w:rPr>
                <w:rFonts w:hint="eastAsia" w:ascii="宋体" w:hAnsi="宋体" w:eastAsia="宋体" w:cs="宋体"/>
                <w:i w:val="0"/>
                <w:iCs w:val="0"/>
                <w:color w:val="000000"/>
                <w:sz w:val="24"/>
                <w:szCs w:val="24"/>
                <w:u w:val="none"/>
              </w:rPr>
            </w:pPr>
          </w:p>
        </w:tc>
        <w:tc>
          <w:tcPr>
            <w:tcW w:w="2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8D8562">
            <w:pPr>
              <w:jc w:val="center"/>
              <w:rPr>
                <w:rFonts w:hint="eastAsia" w:ascii="宋体" w:hAnsi="宋体" w:eastAsia="宋体" w:cs="宋体"/>
                <w:i w:val="0"/>
                <w:iCs w:val="0"/>
                <w:color w:val="000000"/>
                <w:sz w:val="24"/>
                <w:szCs w:val="24"/>
                <w:u w:val="none"/>
              </w:rPr>
            </w:pPr>
          </w:p>
        </w:tc>
        <w:tc>
          <w:tcPr>
            <w:tcW w:w="62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A9451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目标实现</w:t>
            </w:r>
          </w:p>
        </w:tc>
        <w:tc>
          <w:tcPr>
            <w:tcW w:w="2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2CF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0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4356D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评价部门整体支出绩效目标实现程度与预期目标的偏离度。</w:t>
            </w:r>
          </w:p>
        </w:tc>
        <w:tc>
          <w:tcPr>
            <w:tcW w:w="11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6237A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以部门整体支出绩效为核心，评价部门整体支出实际完成情况与预期绩效目标偏离度，单个数量指标实际完成未达到预期指标或超过预期指标30%以上的，均不计分。该项指标得分=达到预期值的数量指标个数/全部数量指标个数*10。</w:t>
            </w:r>
          </w:p>
        </w:tc>
        <w:tc>
          <w:tcPr>
            <w:tcW w:w="1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69CBB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EE4E9">
            <w:pPr>
              <w:rPr>
                <w:rFonts w:hint="eastAsia" w:ascii="宋体" w:hAnsi="宋体" w:eastAsia="宋体" w:cs="宋体"/>
                <w:i w:val="0"/>
                <w:iCs w:val="0"/>
                <w:color w:val="000000"/>
                <w:sz w:val="24"/>
                <w:szCs w:val="24"/>
                <w:u w:val="none"/>
              </w:rPr>
            </w:pPr>
          </w:p>
        </w:tc>
        <w:tc>
          <w:tcPr>
            <w:tcW w:w="2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0F549">
            <w:pPr>
              <w:jc w:val="center"/>
              <w:rPr>
                <w:rFonts w:hint="eastAsia" w:ascii="宋体" w:hAnsi="宋体" w:eastAsia="宋体" w:cs="宋体"/>
                <w:i w:val="0"/>
                <w:iCs w:val="0"/>
                <w:color w:val="000000"/>
                <w:sz w:val="24"/>
                <w:szCs w:val="24"/>
                <w:u w:val="none"/>
              </w:rPr>
            </w:pP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AE7E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21" w:type="pct"/>
            <w:tcBorders>
              <w:top w:val="single" w:color="000000" w:sz="4" w:space="0"/>
              <w:left w:val="single" w:color="000000" w:sz="4" w:space="0"/>
              <w:bottom w:val="single" w:color="000000" w:sz="4" w:space="0"/>
              <w:right w:val="single" w:color="000000" w:sz="4" w:space="0"/>
            </w:tcBorders>
            <w:shd w:val="clear" w:color="auto" w:fill="FDE9D9"/>
            <w:vAlign w:val="center"/>
          </w:tcPr>
          <w:p w14:paraId="266AE35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B8F787">
            <w:pPr>
              <w:rPr>
                <w:rFonts w:hint="eastAsia" w:ascii="宋体" w:hAnsi="宋体" w:eastAsia="宋体" w:cs="宋体"/>
                <w:i w:val="0"/>
                <w:iCs w:val="0"/>
                <w:color w:val="000000"/>
                <w:sz w:val="24"/>
                <w:szCs w:val="24"/>
                <w:u w:val="none"/>
              </w:rPr>
            </w:pPr>
          </w:p>
        </w:tc>
      </w:tr>
      <w:tr w14:paraId="5039A7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41" w:hRule="atLeast"/>
        </w:trPr>
        <w:tc>
          <w:tcPr>
            <w:tcW w:w="2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6E538D">
            <w:pPr>
              <w:jc w:val="center"/>
              <w:rPr>
                <w:rFonts w:hint="eastAsia" w:ascii="宋体" w:hAnsi="宋体" w:eastAsia="宋体" w:cs="宋体"/>
                <w:i w:val="0"/>
                <w:iCs w:val="0"/>
                <w:color w:val="000000"/>
                <w:sz w:val="24"/>
                <w:szCs w:val="24"/>
                <w:u w:val="none"/>
              </w:rPr>
            </w:pPr>
          </w:p>
        </w:tc>
        <w:tc>
          <w:tcPr>
            <w:tcW w:w="2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68E182">
            <w:pPr>
              <w:jc w:val="center"/>
              <w:rPr>
                <w:rFonts w:hint="eastAsia" w:ascii="宋体" w:hAnsi="宋体" w:eastAsia="宋体" w:cs="宋体"/>
                <w:i w:val="0"/>
                <w:iCs w:val="0"/>
                <w:color w:val="000000"/>
                <w:sz w:val="24"/>
                <w:szCs w:val="24"/>
                <w:u w:val="none"/>
              </w:rPr>
            </w:pPr>
          </w:p>
        </w:tc>
        <w:tc>
          <w:tcPr>
            <w:tcW w:w="6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347E3B">
            <w:pPr>
              <w:jc w:val="center"/>
              <w:rPr>
                <w:rFonts w:hint="eastAsia" w:ascii="宋体" w:hAnsi="宋体" w:eastAsia="宋体" w:cs="宋体"/>
                <w:i w:val="0"/>
                <w:iCs w:val="0"/>
                <w:color w:val="000000"/>
                <w:sz w:val="24"/>
                <w:szCs w:val="24"/>
                <w:u w:val="none"/>
              </w:rPr>
            </w:pPr>
          </w:p>
        </w:tc>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D0043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0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C876D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评价部门预算项目绩效目标实际实现程度与预期目标的偏离度。</w:t>
            </w:r>
          </w:p>
        </w:tc>
        <w:tc>
          <w:tcPr>
            <w:tcW w:w="11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7F85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以部门预算项目绩效为核心，评价部门预算项目实际完成情况与预期绩效目标偏离度，单个数量指标实际完成未达到预期指标或超过预期指标30%以上的，均不计分。该项指标得分=达到预期值的数量指标个数/全部数量指标个数（即评价选取的项目绩效目标包含的所有数量指标）*10。</w:t>
            </w:r>
          </w:p>
        </w:tc>
        <w:tc>
          <w:tcPr>
            <w:tcW w:w="1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9D50F3">
            <w:pPr>
              <w:jc w:val="center"/>
              <w:rPr>
                <w:rFonts w:hint="eastAsia" w:ascii="宋体" w:hAnsi="宋体" w:eastAsia="宋体" w:cs="宋体"/>
                <w:i w:val="0"/>
                <w:iCs w:val="0"/>
                <w:color w:val="000000"/>
                <w:sz w:val="24"/>
                <w:szCs w:val="24"/>
                <w:u w:val="none"/>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AE9F7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648FA">
            <w:pPr>
              <w:jc w:val="center"/>
              <w:rPr>
                <w:rFonts w:hint="eastAsia" w:ascii="宋体" w:hAnsi="宋体" w:eastAsia="宋体" w:cs="宋体"/>
                <w:i w:val="0"/>
                <w:iCs w:val="0"/>
                <w:color w:val="000000"/>
                <w:sz w:val="24"/>
                <w:szCs w:val="24"/>
                <w:u w:val="none"/>
              </w:rPr>
            </w:pP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70E33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21" w:type="pct"/>
            <w:tcBorders>
              <w:top w:val="single" w:color="000000" w:sz="4" w:space="0"/>
              <w:left w:val="single" w:color="000000" w:sz="4" w:space="0"/>
              <w:bottom w:val="single" w:color="000000" w:sz="4" w:space="0"/>
              <w:right w:val="single" w:color="000000" w:sz="4" w:space="0"/>
            </w:tcBorders>
            <w:shd w:val="clear" w:color="auto" w:fill="FDE9D9"/>
            <w:vAlign w:val="center"/>
          </w:tcPr>
          <w:p w14:paraId="547BAB1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6AF6C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部门自评范围为部门所有纳入绩效目标管理的部门预算项目</w:t>
            </w:r>
          </w:p>
        </w:tc>
      </w:tr>
      <w:tr w14:paraId="17F350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59" w:hRule="atLeast"/>
        </w:trPr>
        <w:tc>
          <w:tcPr>
            <w:tcW w:w="2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A7C9AA">
            <w:pPr>
              <w:jc w:val="center"/>
              <w:rPr>
                <w:rFonts w:hint="eastAsia" w:ascii="宋体" w:hAnsi="宋体" w:eastAsia="宋体" w:cs="宋体"/>
                <w:i w:val="0"/>
                <w:iCs w:val="0"/>
                <w:color w:val="000000"/>
                <w:sz w:val="24"/>
                <w:szCs w:val="24"/>
                <w:u w:val="none"/>
              </w:rPr>
            </w:pPr>
          </w:p>
        </w:tc>
        <w:tc>
          <w:tcPr>
            <w:tcW w:w="20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16F92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动态调整（15分）</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66FF2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支出控制</w:t>
            </w:r>
          </w:p>
        </w:tc>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3EA20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0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FE706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部门公用经费及非定额公用支出控制情况。</w:t>
            </w:r>
          </w:p>
        </w:tc>
        <w:tc>
          <w:tcPr>
            <w:tcW w:w="11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B3F1D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计算部门日常公用经费、项目支出中“办公费、印刷费、水费、电费、物业管理费”等科目年初预算数与决算数偏差程度。                                                            预决算偏差程度在10%以内的，得10分。偏差度在10%</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20%之间的，得5分，偏差度超过20%的，不得分。</w:t>
            </w:r>
          </w:p>
        </w:tc>
        <w:tc>
          <w:tcPr>
            <w:tcW w:w="1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2FEF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56B85F">
            <w:pPr>
              <w:rPr>
                <w:rFonts w:hint="eastAsia" w:ascii="宋体" w:hAnsi="宋体" w:eastAsia="宋体" w:cs="宋体"/>
                <w:i w:val="0"/>
                <w:iCs w:val="0"/>
                <w:color w:val="000000"/>
                <w:sz w:val="24"/>
                <w:szCs w:val="24"/>
                <w:u w:val="none"/>
              </w:rPr>
            </w:pP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606F42">
            <w:pPr>
              <w:rPr>
                <w:rFonts w:hint="eastAsia" w:ascii="宋体" w:hAnsi="宋体" w:eastAsia="宋体" w:cs="宋体"/>
                <w:i w:val="0"/>
                <w:iCs w:val="0"/>
                <w:color w:val="000000"/>
                <w:sz w:val="24"/>
                <w:szCs w:val="24"/>
                <w:u w:val="none"/>
              </w:rPr>
            </w:pP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CCACB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21" w:type="pct"/>
            <w:tcBorders>
              <w:top w:val="single" w:color="000000" w:sz="4" w:space="0"/>
              <w:left w:val="single" w:color="000000" w:sz="4" w:space="0"/>
              <w:bottom w:val="single" w:color="000000" w:sz="4" w:space="0"/>
              <w:right w:val="single" w:color="000000" w:sz="4" w:space="0"/>
            </w:tcBorders>
            <w:shd w:val="clear" w:color="auto" w:fill="FDE9D9"/>
            <w:vAlign w:val="center"/>
          </w:tcPr>
          <w:p w14:paraId="2D9952E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EFC2E0">
            <w:pPr>
              <w:rPr>
                <w:rFonts w:hint="eastAsia" w:ascii="宋体" w:hAnsi="宋体" w:eastAsia="宋体" w:cs="宋体"/>
                <w:i w:val="0"/>
                <w:iCs w:val="0"/>
                <w:color w:val="000000"/>
                <w:sz w:val="24"/>
                <w:szCs w:val="24"/>
                <w:u w:val="none"/>
              </w:rPr>
            </w:pPr>
          </w:p>
        </w:tc>
      </w:tr>
      <w:tr w14:paraId="591C59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0" w:hRule="atLeast"/>
        </w:trPr>
        <w:tc>
          <w:tcPr>
            <w:tcW w:w="2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DF7EAF">
            <w:pPr>
              <w:jc w:val="center"/>
              <w:rPr>
                <w:rFonts w:hint="eastAsia" w:ascii="宋体" w:hAnsi="宋体" w:eastAsia="宋体" w:cs="宋体"/>
                <w:i w:val="0"/>
                <w:iCs w:val="0"/>
                <w:color w:val="000000"/>
                <w:sz w:val="24"/>
                <w:szCs w:val="24"/>
                <w:u w:val="none"/>
              </w:rPr>
            </w:pPr>
          </w:p>
        </w:tc>
        <w:tc>
          <w:tcPr>
            <w:tcW w:w="2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0DF48F">
            <w:pPr>
              <w:jc w:val="center"/>
              <w:rPr>
                <w:rFonts w:hint="eastAsia" w:ascii="宋体" w:hAnsi="宋体" w:eastAsia="宋体" w:cs="宋体"/>
                <w:i w:val="0"/>
                <w:iCs w:val="0"/>
                <w:color w:val="000000"/>
                <w:sz w:val="24"/>
                <w:szCs w:val="24"/>
                <w:u w:val="none"/>
              </w:rPr>
            </w:pP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7411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及时处置</w:t>
            </w:r>
          </w:p>
        </w:tc>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DAA70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0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3893D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评价部门开展绩效运行监控后，将绩效监控结果应用到预算调整的情况。</w:t>
            </w:r>
          </w:p>
        </w:tc>
        <w:tc>
          <w:tcPr>
            <w:tcW w:w="11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F5C50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绩效运行监控未发现问题或对发现问题提出预算收回、调整处置意见并加以落实的得5分。如存在未及时处置落实的，按未进行问题整改的项目数量/监控发现问题的项目总数×5分扣分，直至扣完。                                                </w:t>
            </w:r>
          </w:p>
        </w:tc>
        <w:tc>
          <w:tcPr>
            <w:tcW w:w="1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0423D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E4AC7">
            <w:pPr>
              <w:rPr>
                <w:rFonts w:hint="eastAsia" w:ascii="宋体" w:hAnsi="宋体" w:eastAsia="宋体" w:cs="宋体"/>
                <w:i w:val="0"/>
                <w:iCs w:val="0"/>
                <w:color w:val="000000"/>
                <w:sz w:val="24"/>
                <w:szCs w:val="24"/>
                <w:u w:val="none"/>
              </w:rPr>
            </w:pP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61FA6">
            <w:pPr>
              <w:rPr>
                <w:rFonts w:hint="eastAsia" w:ascii="宋体" w:hAnsi="宋体" w:eastAsia="宋体" w:cs="宋体"/>
                <w:i w:val="0"/>
                <w:iCs w:val="0"/>
                <w:color w:val="000000"/>
                <w:sz w:val="24"/>
                <w:szCs w:val="24"/>
                <w:u w:val="none"/>
              </w:rPr>
            </w:pP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FA614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21" w:type="pct"/>
            <w:tcBorders>
              <w:top w:val="single" w:color="000000" w:sz="4" w:space="0"/>
              <w:left w:val="single" w:color="000000" w:sz="4" w:space="0"/>
              <w:bottom w:val="single" w:color="000000" w:sz="4" w:space="0"/>
              <w:right w:val="single" w:color="000000" w:sz="4" w:space="0"/>
            </w:tcBorders>
            <w:shd w:val="clear" w:color="auto" w:fill="FDE9D9"/>
            <w:vAlign w:val="center"/>
          </w:tcPr>
          <w:p w14:paraId="0B1A47B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5F3030">
            <w:pPr>
              <w:rPr>
                <w:rFonts w:hint="eastAsia" w:ascii="宋体" w:hAnsi="宋体" w:eastAsia="宋体" w:cs="宋体"/>
                <w:i w:val="0"/>
                <w:iCs w:val="0"/>
                <w:color w:val="000000"/>
                <w:sz w:val="24"/>
                <w:szCs w:val="24"/>
                <w:u w:val="none"/>
              </w:rPr>
            </w:pPr>
          </w:p>
        </w:tc>
      </w:tr>
      <w:tr w14:paraId="5AFBEA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0" w:hRule="atLeast"/>
        </w:trPr>
        <w:tc>
          <w:tcPr>
            <w:tcW w:w="2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D68694">
            <w:pPr>
              <w:jc w:val="center"/>
              <w:rPr>
                <w:rFonts w:hint="eastAsia" w:ascii="宋体" w:hAnsi="宋体" w:eastAsia="宋体" w:cs="宋体"/>
                <w:i w:val="0"/>
                <w:iCs w:val="0"/>
                <w:color w:val="000000"/>
                <w:sz w:val="24"/>
                <w:szCs w:val="24"/>
                <w:u w:val="none"/>
              </w:rPr>
            </w:pPr>
          </w:p>
        </w:tc>
        <w:tc>
          <w:tcPr>
            <w:tcW w:w="2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9CEFAA">
            <w:pPr>
              <w:jc w:val="center"/>
              <w:rPr>
                <w:rFonts w:hint="eastAsia" w:ascii="宋体" w:hAnsi="宋体" w:eastAsia="宋体" w:cs="宋体"/>
                <w:i w:val="0"/>
                <w:iCs w:val="0"/>
                <w:color w:val="000000"/>
                <w:sz w:val="24"/>
                <w:szCs w:val="24"/>
                <w:u w:val="none"/>
              </w:rPr>
            </w:pP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C90A5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执行进度</w:t>
            </w:r>
          </w:p>
        </w:tc>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2E23F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0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B906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评价部门在6、9、11月的预算执行情况。</w:t>
            </w:r>
          </w:p>
        </w:tc>
        <w:tc>
          <w:tcPr>
            <w:tcW w:w="11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E0F76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部门预算执行进度在6、9、11月应达到序时进度的80%、90%、90%，即实际支出进度分别达到40%、67.5%、82.5%。                                                     6、9、11月部门预算执行进度达到量化指标的分别得1分、2分、2分，未达到目标进度</w:t>
            </w:r>
            <w:r>
              <w:rPr>
                <w:rFonts w:hint="eastAsia" w:ascii="宋体" w:hAnsi="宋体" w:cs="宋体"/>
                <w:i w:val="0"/>
                <w:iCs w:val="0"/>
                <w:color w:val="000000"/>
                <w:kern w:val="0"/>
                <w:sz w:val="24"/>
                <w:szCs w:val="24"/>
                <w:u w:val="none"/>
                <w:lang w:val="en-US" w:eastAsia="zh-CN" w:bidi="ar"/>
              </w:rPr>
              <w:t>的</w:t>
            </w:r>
            <w:r>
              <w:rPr>
                <w:rFonts w:hint="eastAsia" w:ascii="宋体" w:hAnsi="宋体" w:eastAsia="宋体" w:cs="宋体"/>
                <w:i w:val="0"/>
                <w:iCs w:val="0"/>
                <w:color w:val="000000"/>
                <w:kern w:val="0"/>
                <w:sz w:val="24"/>
                <w:szCs w:val="24"/>
                <w:u w:val="none"/>
                <w:lang w:val="en-US" w:eastAsia="zh-CN" w:bidi="ar"/>
              </w:rPr>
              <w:t xml:space="preserve">按其实际进度占目标进度的比重计算得分。                                             </w:t>
            </w:r>
          </w:p>
        </w:tc>
        <w:tc>
          <w:tcPr>
            <w:tcW w:w="1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1EDA0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557FE1">
            <w:pPr>
              <w:rPr>
                <w:rFonts w:hint="eastAsia" w:ascii="宋体" w:hAnsi="宋体" w:eastAsia="宋体" w:cs="宋体"/>
                <w:i w:val="0"/>
                <w:iCs w:val="0"/>
                <w:color w:val="000000"/>
                <w:sz w:val="24"/>
                <w:szCs w:val="24"/>
                <w:u w:val="none"/>
              </w:rPr>
            </w:pP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C7823B">
            <w:pPr>
              <w:rPr>
                <w:rFonts w:hint="eastAsia" w:ascii="宋体" w:hAnsi="宋体" w:eastAsia="宋体" w:cs="宋体"/>
                <w:i w:val="0"/>
                <w:iCs w:val="0"/>
                <w:color w:val="000000"/>
                <w:sz w:val="24"/>
                <w:szCs w:val="24"/>
                <w:u w:val="none"/>
              </w:rPr>
            </w:pP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CBD68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21" w:type="pct"/>
            <w:tcBorders>
              <w:top w:val="single" w:color="000000" w:sz="4" w:space="0"/>
              <w:left w:val="single" w:color="000000" w:sz="4" w:space="0"/>
              <w:bottom w:val="single" w:color="000000" w:sz="4" w:space="0"/>
              <w:right w:val="single" w:color="000000" w:sz="4" w:space="0"/>
            </w:tcBorders>
            <w:shd w:val="clear" w:color="auto" w:fill="FDE9D9"/>
            <w:vAlign w:val="center"/>
          </w:tcPr>
          <w:p w14:paraId="6BAA169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A80812">
            <w:pPr>
              <w:rPr>
                <w:rFonts w:hint="eastAsia" w:ascii="宋体" w:hAnsi="宋体" w:eastAsia="宋体" w:cs="宋体"/>
                <w:i w:val="0"/>
                <w:iCs w:val="0"/>
                <w:color w:val="000000"/>
                <w:sz w:val="24"/>
                <w:szCs w:val="24"/>
                <w:u w:val="none"/>
              </w:rPr>
            </w:pPr>
          </w:p>
        </w:tc>
      </w:tr>
      <w:tr w14:paraId="64B271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1" w:hRule="atLeast"/>
        </w:trPr>
        <w:tc>
          <w:tcPr>
            <w:tcW w:w="2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9976A2">
            <w:pPr>
              <w:jc w:val="center"/>
              <w:rPr>
                <w:rFonts w:hint="eastAsia" w:ascii="宋体" w:hAnsi="宋体" w:eastAsia="宋体" w:cs="宋体"/>
                <w:i w:val="0"/>
                <w:iCs w:val="0"/>
                <w:color w:val="000000"/>
                <w:sz w:val="24"/>
                <w:szCs w:val="24"/>
                <w:u w:val="none"/>
              </w:rPr>
            </w:pPr>
          </w:p>
        </w:tc>
        <w:tc>
          <w:tcPr>
            <w:tcW w:w="20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0506D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完成结果（10分）</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445C3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资金结余率（低效无效率）</w:t>
            </w:r>
          </w:p>
        </w:tc>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A145A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0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A43CA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评价部门预算项目年终资金结余情况。                 </w:t>
            </w:r>
          </w:p>
        </w:tc>
        <w:tc>
          <w:tcPr>
            <w:tcW w:w="11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772FC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部门预算项目资金结余率小于0.1的项目数/部门预算项目总数*5。</w:t>
            </w:r>
          </w:p>
        </w:tc>
        <w:tc>
          <w:tcPr>
            <w:tcW w:w="1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C9DF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1EB60D">
            <w:pPr>
              <w:jc w:val="left"/>
              <w:rPr>
                <w:rFonts w:hint="eastAsia" w:ascii="宋体" w:hAnsi="宋体" w:eastAsia="宋体" w:cs="宋体"/>
                <w:i w:val="0"/>
                <w:iCs w:val="0"/>
                <w:color w:val="000000"/>
                <w:sz w:val="24"/>
                <w:szCs w:val="24"/>
                <w:u w:val="none"/>
              </w:rPr>
            </w:pP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E14B43">
            <w:pPr>
              <w:jc w:val="left"/>
              <w:rPr>
                <w:rFonts w:hint="eastAsia" w:ascii="宋体" w:hAnsi="宋体" w:eastAsia="宋体" w:cs="宋体"/>
                <w:i w:val="0"/>
                <w:iCs w:val="0"/>
                <w:color w:val="000000"/>
                <w:sz w:val="24"/>
                <w:szCs w:val="24"/>
                <w:u w:val="none"/>
              </w:rPr>
            </w:pP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6A81B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21" w:type="pct"/>
            <w:tcBorders>
              <w:top w:val="single" w:color="000000" w:sz="4" w:space="0"/>
              <w:left w:val="single" w:color="000000" w:sz="4" w:space="0"/>
              <w:bottom w:val="single" w:color="000000" w:sz="4" w:space="0"/>
              <w:right w:val="single" w:color="000000" w:sz="4" w:space="0"/>
            </w:tcBorders>
            <w:shd w:val="clear" w:color="auto" w:fill="FDE9D9"/>
            <w:vAlign w:val="center"/>
          </w:tcPr>
          <w:p w14:paraId="254A7F1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DA5C41">
            <w:pPr>
              <w:rPr>
                <w:rFonts w:hint="eastAsia" w:ascii="宋体" w:hAnsi="宋体" w:eastAsia="宋体" w:cs="宋体"/>
                <w:i w:val="0"/>
                <w:iCs w:val="0"/>
                <w:color w:val="000000"/>
                <w:sz w:val="24"/>
                <w:szCs w:val="24"/>
                <w:u w:val="none"/>
              </w:rPr>
            </w:pPr>
          </w:p>
        </w:tc>
      </w:tr>
      <w:tr w14:paraId="2FF45C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2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BFC08E">
            <w:pPr>
              <w:jc w:val="center"/>
              <w:rPr>
                <w:rFonts w:hint="eastAsia" w:ascii="宋体" w:hAnsi="宋体" w:eastAsia="宋体" w:cs="宋体"/>
                <w:i w:val="0"/>
                <w:iCs w:val="0"/>
                <w:color w:val="000000"/>
                <w:sz w:val="24"/>
                <w:szCs w:val="24"/>
                <w:u w:val="none"/>
              </w:rPr>
            </w:pPr>
          </w:p>
        </w:tc>
        <w:tc>
          <w:tcPr>
            <w:tcW w:w="2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DBFB27">
            <w:pPr>
              <w:jc w:val="center"/>
              <w:rPr>
                <w:rFonts w:hint="eastAsia" w:ascii="宋体" w:hAnsi="宋体" w:eastAsia="宋体" w:cs="宋体"/>
                <w:i w:val="0"/>
                <w:iCs w:val="0"/>
                <w:color w:val="000000"/>
                <w:sz w:val="24"/>
                <w:szCs w:val="24"/>
                <w:u w:val="none"/>
              </w:rPr>
            </w:pP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97D5A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违规记录</w:t>
            </w:r>
          </w:p>
        </w:tc>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C0C46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0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06085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根据审计监督、财会监督和部门自查结果反映部门上一年度部门预算管理是否存在相关问题。</w:t>
            </w:r>
          </w:p>
        </w:tc>
        <w:tc>
          <w:tcPr>
            <w:tcW w:w="11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9A8B7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依据评价年度审计监督、财会监督和部门自查结果，出现未落实党政机关过紧日子相关要求，以及部门预算管理方面违纪违规等问题的，每个问题扣0.5分，直至扣完。</w:t>
            </w:r>
          </w:p>
        </w:tc>
        <w:tc>
          <w:tcPr>
            <w:tcW w:w="1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BD31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D76A12">
            <w:pPr>
              <w:jc w:val="left"/>
              <w:rPr>
                <w:rFonts w:hint="eastAsia" w:ascii="宋体" w:hAnsi="宋体" w:eastAsia="宋体" w:cs="宋体"/>
                <w:i w:val="0"/>
                <w:iCs w:val="0"/>
                <w:color w:val="000000"/>
                <w:sz w:val="24"/>
                <w:szCs w:val="24"/>
                <w:u w:val="none"/>
              </w:rPr>
            </w:pP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4C39E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0650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21" w:type="pct"/>
            <w:tcBorders>
              <w:top w:val="single" w:color="000000" w:sz="4" w:space="0"/>
              <w:left w:val="single" w:color="000000" w:sz="4" w:space="0"/>
              <w:bottom w:val="single" w:color="000000" w:sz="4" w:space="0"/>
              <w:right w:val="single" w:color="000000" w:sz="4" w:space="0"/>
            </w:tcBorders>
            <w:shd w:val="clear" w:color="auto" w:fill="FDE9D9"/>
            <w:vAlign w:val="center"/>
          </w:tcPr>
          <w:p w14:paraId="16F0A3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89122">
            <w:pPr>
              <w:rPr>
                <w:rFonts w:hint="eastAsia" w:ascii="宋体" w:hAnsi="宋体" w:eastAsia="宋体" w:cs="宋体"/>
                <w:i w:val="0"/>
                <w:iCs w:val="0"/>
                <w:color w:val="000000"/>
                <w:sz w:val="24"/>
                <w:szCs w:val="24"/>
                <w:u w:val="none"/>
              </w:rPr>
            </w:pPr>
          </w:p>
        </w:tc>
      </w:tr>
      <w:tr w14:paraId="21FB88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1" w:hRule="atLeast"/>
        </w:trPr>
        <w:tc>
          <w:tcPr>
            <w:tcW w:w="20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790C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绩效结果应用（30分）</w:t>
            </w:r>
          </w:p>
        </w:tc>
        <w:tc>
          <w:tcPr>
            <w:tcW w:w="2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055A4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内部应用（10分）</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5DD11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预算挂钩</w:t>
            </w:r>
          </w:p>
        </w:tc>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09480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0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E458F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部门内部绩效结果与预算挂钩情况</w:t>
            </w:r>
          </w:p>
        </w:tc>
        <w:tc>
          <w:tcPr>
            <w:tcW w:w="11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31115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将内设机构和下属单位绩效自评情况纳入内部考核体系，得5分；建立对内设机构和下属单位预算与绩效挂钩机制的，得5分；否则酌情扣分。    </w:t>
            </w:r>
          </w:p>
        </w:tc>
        <w:tc>
          <w:tcPr>
            <w:tcW w:w="1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29AC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88ABBE">
            <w:pPr>
              <w:jc w:val="left"/>
              <w:rPr>
                <w:rFonts w:hint="eastAsia" w:ascii="宋体" w:hAnsi="宋体" w:eastAsia="宋体" w:cs="宋体"/>
                <w:i w:val="0"/>
                <w:iCs w:val="0"/>
                <w:color w:val="000000"/>
                <w:sz w:val="24"/>
                <w:szCs w:val="24"/>
                <w:u w:val="none"/>
              </w:rPr>
            </w:pP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11A10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455125">
            <w:pPr>
              <w:jc w:val="center"/>
              <w:rPr>
                <w:rFonts w:hint="eastAsia" w:ascii="宋体" w:hAnsi="宋体" w:eastAsia="宋体" w:cs="宋体"/>
                <w:i w:val="0"/>
                <w:iCs w:val="0"/>
                <w:color w:val="000000"/>
                <w:sz w:val="24"/>
                <w:szCs w:val="24"/>
                <w:u w:val="none"/>
              </w:rPr>
            </w:pPr>
          </w:p>
        </w:tc>
        <w:tc>
          <w:tcPr>
            <w:tcW w:w="221" w:type="pct"/>
            <w:tcBorders>
              <w:top w:val="single" w:color="000000" w:sz="4" w:space="0"/>
              <w:left w:val="single" w:color="000000" w:sz="4" w:space="0"/>
              <w:bottom w:val="single" w:color="000000" w:sz="4" w:space="0"/>
              <w:right w:val="single" w:color="000000" w:sz="4" w:space="0"/>
            </w:tcBorders>
            <w:shd w:val="clear" w:color="auto" w:fill="FDE9D9"/>
            <w:vAlign w:val="center"/>
          </w:tcPr>
          <w:p w14:paraId="2617650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D1C8BB">
            <w:pPr>
              <w:rPr>
                <w:rFonts w:hint="eastAsia" w:ascii="宋体" w:hAnsi="宋体" w:eastAsia="宋体" w:cs="宋体"/>
                <w:i w:val="0"/>
                <w:iCs w:val="0"/>
                <w:color w:val="000000"/>
                <w:sz w:val="24"/>
                <w:szCs w:val="24"/>
                <w:u w:val="none"/>
              </w:rPr>
            </w:pPr>
          </w:p>
        </w:tc>
      </w:tr>
      <w:tr w14:paraId="335F5A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2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DEB1A1">
            <w:pPr>
              <w:jc w:val="center"/>
              <w:rPr>
                <w:rFonts w:hint="eastAsia" w:ascii="宋体" w:hAnsi="宋体" w:eastAsia="宋体" w:cs="宋体"/>
                <w:i w:val="0"/>
                <w:iCs w:val="0"/>
                <w:color w:val="000000"/>
                <w:sz w:val="24"/>
                <w:szCs w:val="24"/>
                <w:u w:val="none"/>
              </w:rPr>
            </w:pPr>
          </w:p>
        </w:tc>
        <w:tc>
          <w:tcPr>
            <w:tcW w:w="208" w:type="pct"/>
            <w:tcBorders>
              <w:top w:val="nil"/>
              <w:left w:val="single" w:color="000000" w:sz="4" w:space="0"/>
              <w:bottom w:val="single" w:color="000000" w:sz="4" w:space="0"/>
              <w:right w:val="single" w:color="000000" w:sz="4" w:space="0"/>
            </w:tcBorders>
            <w:shd w:val="clear" w:color="auto" w:fill="auto"/>
            <w:vAlign w:val="center"/>
          </w:tcPr>
          <w:p w14:paraId="144D0AE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信息公开</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5分</w:t>
            </w:r>
            <w:r>
              <w:rPr>
                <w:rFonts w:hint="eastAsia" w:ascii="宋体" w:hAnsi="宋体" w:cs="宋体"/>
                <w:i w:val="0"/>
                <w:iCs w:val="0"/>
                <w:color w:val="000000"/>
                <w:kern w:val="0"/>
                <w:sz w:val="24"/>
                <w:szCs w:val="24"/>
                <w:u w:val="none"/>
                <w:lang w:val="en-US" w:eastAsia="zh-CN" w:bidi="ar"/>
              </w:rPr>
              <w:t>）</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949B5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自评公开</w:t>
            </w:r>
          </w:p>
        </w:tc>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94010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0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BEEB5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评价部门是否按要求将部门整体绩效自评情况和自行组织的评价情况向社会公开。</w:t>
            </w:r>
          </w:p>
        </w:tc>
        <w:tc>
          <w:tcPr>
            <w:tcW w:w="11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5A108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按要求将相关绩效信息随同决算公开的，得10分，否则不得分。</w:t>
            </w:r>
          </w:p>
        </w:tc>
        <w:tc>
          <w:tcPr>
            <w:tcW w:w="1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CCBA5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8A9E61">
            <w:pPr>
              <w:rPr>
                <w:rFonts w:hint="eastAsia" w:ascii="宋体" w:hAnsi="宋体" w:eastAsia="宋体" w:cs="宋体"/>
                <w:i w:val="0"/>
                <w:iCs w:val="0"/>
                <w:color w:val="000000"/>
                <w:sz w:val="24"/>
                <w:szCs w:val="24"/>
                <w:u w:val="none"/>
              </w:rPr>
            </w:pP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A2878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E7C922">
            <w:pPr>
              <w:rPr>
                <w:rFonts w:hint="eastAsia" w:ascii="宋体" w:hAnsi="宋体" w:eastAsia="宋体" w:cs="宋体"/>
                <w:i w:val="0"/>
                <w:iCs w:val="0"/>
                <w:color w:val="000000"/>
                <w:sz w:val="24"/>
                <w:szCs w:val="24"/>
                <w:u w:val="none"/>
              </w:rPr>
            </w:pPr>
          </w:p>
        </w:tc>
        <w:tc>
          <w:tcPr>
            <w:tcW w:w="221" w:type="pct"/>
            <w:tcBorders>
              <w:top w:val="single" w:color="000000" w:sz="4" w:space="0"/>
              <w:left w:val="single" w:color="000000" w:sz="4" w:space="0"/>
              <w:bottom w:val="single" w:color="000000" w:sz="4" w:space="0"/>
              <w:right w:val="single" w:color="000000" w:sz="4" w:space="0"/>
            </w:tcBorders>
            <w:shd w:val="clear" w:color="auto" w:fill="FDE9D9"/>
            <w:vAlign w:val="center"/>
          </w:tcPr>
          <w:p w14:paraId="14754C2B">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FBFEF3">
            <w:pPr>
              <w:rPr>
                <w:rFonts w:hint="eastAsia" w:ascii="宋体" w:hAnsi="宋体" w:eastAsia="宋体" w:cs="宋体"/>
                <w:i w:val="0"/>
                <w:iCs w:val="0"/>
                <w:color w:val="000000"/>
                <w:sz w:val="24"/>
                <w:szCs w:val="24"/>
                <w:u w:val="none"/>
              </w:rPr>
            </w:pPr>
          </w:p>
        </w:tc>
      </w:tr>
      <w:tr w14:paraId="0C5356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9" w:hRule="atLeast"/>
        </w:trPr>
        <w:tc>
          <w:tcPr>
            <w:tcW w:w="2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B13789">
            <w:pPr>
              <w:jc w:val="center"/>
              <w:rPr>
                <w:rFonts w:hint="eastAsia" w:ascii="宋体" w:hAnsi="宋体" w:eastAsia="宋体" w:cs="宋体"/>
                <w:i w:val="0"/>
                <w:iCs w:val="0"/>
                <w:color w:val="000000"/>
                <w:sz w:val="24"/>
                <w:szCs w:val="24"/>
                <w:u w:val="none"/>
              </w:rPr>
            </w:pPr>
          </w:p>
        </w:tc>
        <w:tc>
          <w:tcPr>
            <w:tcW w:w="20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5231F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整改反馈（10分）</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202EE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问题整改</w:t>
            </w:r>
          </w:p>
        </w:tc>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3FA1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0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EF49A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评价部门根据绩效管理结果整改问题、完善政策、改进管理的情况。</w:t>
            </w:r>
          </w:p>
        </w:tc>
        <w:tc>
          <w:tcPr>
            <w:tcW w:w="11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D3F77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针对绩效管理过程中（包括绩效目标核查、绩效监控核查和重点绩效评价）提出的问题进行整改，得5分，否则酌情扣分。</w:t>
            </w:r>
          </w:p>
        </w:tc>
        <w:tc>
          <w:tcPr>
            <w:tcW w:w="1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A372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E813EB">
            <w:pPr>
              <w:rPr>
                <w:rFonts w:hint="eastAsia" w:ascii="宋体" w:hAnsi="宋体" w:eastAsia="宋体" w:cs="宋体"/>
                <w:i w:val="0"/>
                <w:iCs w:val="0"/>
                <w:color w:val="000000"/>
                <w:sz w:val="24"/>
                <w:szCs w:val="24"/>
                <w:u w:val="none"/>
              </w:rPr>
            </w:pP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B58A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A6BD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21" w:type="pct"/>
            <w:tcBorders>
              <w:top w:val="single" w:color="000000" w:sz="4" w:space="0"/>
              <w:left w:val="single" w:color="000000" w:sz="4" w:space="0"/>
              <w:bottom w:val="single" w:color="000000" w:sz="4" w:space="0"/>
              <w:right w:val="single" w:color="000000" w:sz="4" w:space="0"/>
            </w:tcBorders>
            <w:shd w:val="clear" w:color="auto" w:fill="FDE9D9"/>
            <w:vAlign w:val="center"/>
          </w:tcPr>
          <w:p w14:paraId="6A2FC25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AD8FD7">
            <w:pPr>
              <w:rPr>
                <w:rFonts w:hint="eastAsia" w:ascii="宋体" w:hAnsi="宋体" w:eastAsia="宋体" w:cs="宋体"/>
                <w:i w:val="0"/>
                <w:iCs w:val="0"/>
                <w:color w:val="000000"/>
                <w:sz w:val="24"/>
                <w:szCs w:val="24"/>
                <w:u w:val="none"/>
              </w:rPr>
            </w:pPr>
          </w:p>
        </w:tc>
      </w:tr>
      <w:tr w14:paraId="5088E8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99" w:hRule="atLeast"/>
        </w:trPr>
        <w:tc>
          <w:tcPr>
            <w:tcW w:w="2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E32DFC">
            <w:pPr>
              <w:jc w:val="center"/>
              <w:rPr>
                <w:rFonts w:hint="eastAsia" w:ascii="宋体" w:hAnsi="宋体" w:eastAsia="宋体" w:cs="宋体"/>
                <w:i w:val="0"/>
                <w:iCs w:val="0"/>
                <w:color w:val="000000"/>
                <w:sz w:val="24"/>
                <w:szCs w:val="24"/>
                <w:u w:val="none"/>
              </w:rPr>
            </w:pPr>
          </w:p>
        </w:tc>
        <w:tc>
          <w:tcPr>
            <w:tcW w:w="2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BD8BA2">
            <w:pPr>
              <w:jc w:val="center"/>
              <w:rPr>
                <w:rFonts w:hint="eastAsia" w:ascii="宋体" w:hAnsi="宋体" w:eastAsia="宋体" w:cs="宋体"/>
                <w:i w:val="0"/>
                <w:iCs w:val="0"/>
                <w:color w:val="000000"/>
                <w:sz w:val="24"/>
                <w:szCs w:val="24"/>
                <w:u w:val="none"/>
              </w:rPr>
            </w:pP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BA08C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应用反馈</w:t>
            </w:r>
          </w:p>
        </w:tc>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DDD2B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0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65B74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评价部门按要求及时向财政部门反馈结果应用情况。</w:t>
            </w:r>
          </w:p>
        </w:tc>
        <w:tc>
          <w:tcPr>
            <w:tcW w:w="11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00668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部门在规定时间内向财政部门反馈应用绩效结果报告的，得5分，否则不得分。</w:t>
            </w:r>
          </w:p>
        </w:tc>
        <w:tc>
          <w:tcPr>
            <w:tcW w:w="1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91BC9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648F44">
            <w:pPr>
              <w:jc w:val="left"/>
              <w:rPr>
                <w:rFonts w:hint="eastAsia" w:ascii="宋体" w:hAnsi="宋体" w:eastAsia="宋体" w:cs="宋体"/>
                <w:i w:val="0"/>
                <w:iCs w:val="0"/>
                <w:color w:val="000000"/>
                <w:sz w:val="24"/>
                <w:szCs w:val="24"/>
                <w:u w:val="none"/>
              </w:rPr>
            </w:pP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7287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A9F1B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21" w:type="pct"/>
            <w:tcBorders>
              <w:top w:val="single" w:color="000000" w:sz="4" w:space="0"/>
              <w:left w:val="single" w:color="000000" w:sz="4" w:space="0"/>
              <w:bottom w:val="single" w:color="000000" w:sz="4" w:space="0"/>
              <w:right w:val="single" w:color="000000" w:sz="4" w:space="0"/>
            </w:tcBorders>
            <w:shd w:val="clear" w:color="auto" w:fill="FDE9D9"/>
            <w:vAlign w:val="center"/>
          </w:tcPr>
          <w:p w14:paraId="14F1E5D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2C452D">
            <w:pPr>
              <w:rPr>
                <w:rFonts w:hint="eastAsia" w:ascii="宋体" w:hAnsi="宋体" w:eastAsia="宋体" w:cs="宋体"/>
                <w:i w:val="0"/>
                <w:iCs w:val="0"/>
                <w:color w:val="000000"/>
                <w:sz w:val="24"/>
                <w:szCs w:val="24"/>
                <w:u w:val="none"/>
              </w:rPr>
            </w:pPr>
          </w:p>
        </w:tc>
      </w:tr>
      <w:tr w14:paraId="4D727B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103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03A97D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扣分项（10分）</w:t>
            </w:r>
          </w:p>
        </w:tc>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90BFC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0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D370E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被评价单位配合评价工作情况。</w:t>
            </w:r>
          </w:p>
        </w:tc>
        <w:tc>
          <w:tcPr>
            <w:tcW w:w="11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28C26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财政重点绩效评价工作开展过程中，评价组发现被评价对象拖延推诿、提交资料不及时等拒不配合评价工作的，经报财政局复核确认后按0.5分/次予以扣分，最高扣10分（此为财政重点绩效评价计分标准，部门参照该标准对部门及下属单位计分）。</w:t>
            </w:r>
          </w:p>
        </w:tc>
        <w:tc>
          <w:tcPr>
            <w:tcW w:w="1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E44A8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DCF87C">
            <w:pPr>
              <w:jc w:val="center"/>
              <w:rPr>
                <w:rFonts w:hint="eastAsia" w:ascii="宋体" w:hAnsi="宋体" w:eastAsia="宋体" w:cs="宋体"/>
                <w:i w:val="0"/>
                <w:iCs w:val="0"/>
                <w:color w:val="000000"/>
                <w:sz w:val="24"/>
                <w:szCs w:val="24"/>
                <w:u w:val="none"/>
              </w:rPr>
            </w:pP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585E3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F9665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21" w:type="pct"/>
            <w:tcBorders>
              <w:top w:val="single" w:color="000000" w:sz="4" w:space="0"/>
              <w:left w:val="single" w:color="000000" w:sz="4" w:space="0"/>
              <w:bottom w:val="single" w:color="000000" w:sz="4" w:space="0"/>
              <w:right w:val="single" w:color="000000" w:sz="4" w:space="0"/>
            </w:tcBorders>
            <w:shd w:val="clear" w:color="auto" w:fill="FDE9D9"/>
            <w:vAlign w:val="center"/>
          </w:tcPr>
          <w:p w14:paraId="7831750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E8864C">
            <w:pPr>
              <w:rPr>
                <w:rFonts w:hint="eastAsia" w:ascii="宋体" w:hAnsi="宋体" w:eastAsia="宋体" w:cs="宋体"/>
                <w:i w:val="0"/>
                <w:iCs w:val="0"/>
                <w:color w:val="000000"/>
                <w:sz w:val="22"/>
                <w:szCs w:val="22"/>
                <w:u w:val="none"/>
              </w:rPr>
            </w:pPr>
          </w:p>
        </w:tc>
      </w:tr>
      <w:tr w14:paraId="2BA98E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8" w:hRule="atLeast"/>
        </w:trPr>
        <w:tc>
          <w:tcPr>
            <w:tcW w:w="4290"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3760EAD">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部 门 整 体 自 评 得 分</w:t>
            </w:r>
          </w:p>
        </w:tc>
        <w:tc>
          <w:tcPr>
            <w:tcW w:w="221" w:type="pct"/>
            <w:tcBorders>
              <w:top w:val="single" w:color="000000" w:sz="4" w:space="0"/>
              <w:left w:val="single" w:color="000000" w:sz="4" w:space="0"/>
              <w:bottom w:val="single" w:color="000000" w:sz="4" w:space="0"/>
              <w:right w:val="single" w:color="000000" w:sz="4" w:space="0"/>
            </w:tcBorders>
            <w:shd w:val="clear" w:color="auto" w:fill="FDE9D9"/>
            <w:vAlign w:val="center"/>
          </w:tcPr>
          <w:p w14:paraId="232515B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99</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4C794A">
            <w:pPr>
              <w:rPr>
                <w:rFonts w:hint="eastAsia" w:ascii="宋体" w:hAnsi="宋体" w:eastAsia="宋体" w:cs="宋体"/>
                <w:i w:val="0"/>
                <w:iCs w:val="0"/>
                <w:color w:val="000000"/>
                <w:sz w:val="22"/>
                <w:szCs w:val="22"/>
                <w:u w:val="none"/>
              </w:rPr>
            </w:pPr>
          </w:p>
        </w:tc>
      </w:tr>
    </w:tbl>
    <w:p w14:paraId="51F6FDCF">
      <w:pPr>
        <w:widowControl/>
        <w:adjustRightInd w:val="0"/>
        <w:snapToGrid w:val="0"/>
        <w:spacing w:line="580" w:lineRule="exact"/>
        <w:ind w:firstLine="640" w:firstLineChars="200"/>
        <w:contextualSpacing/>
        <w:jc w:val="left"/>
        <w:rPr>
          <w:rFonts w:hint="eastAsia" w:ascii="仿宋_GB2312" w:hAnsi="仿宋_GB2312" w:eastAsia="仿宋_GB2312" w:cs="仿宋_GB2312"/>
          <w:kern w:val="0"/>
          <w:sz w:val="32"/>
          <w:szCs w:val="32"/>
          <w:lang w:val="en-US" w:eastAsia="zh-CN"/>
        </w:rPr>
      </w:pPr>
    </w:p>
    <w:p w14:paraId="3BE766FD">
      <w:pPr>
        <w:ind w:firstLine="640" w:firstLineChars="200"/>
        <w:rPr>
          <w:rFonts w:hint="eastAsia" w:asciiTheme="minorEastAsia" w:hAnsiTheme="minorEastAsia" w:eastAsiaTheme="minorEastAsia"/>
          <w:sz w:val="32"/>
          <w:szCs w:val="32"/>
          <w:lang w:val="zh-CN"/>
        </w:rPr>
        <w:sectPr>
          <w:pgSz w:w="11906" w:h="16838"/>
          <w:pgMar w:top="1440" w:right="1800" w:bottom="1440" w:left="1800" w:header="851" w:footer="992" w:gutter="0"/>
          <w:cols w:space="425" w:num="1"/>
          <w:titlePg/>
          <w:docGrid w:type="lines" w:linePitch="312" w:charSpace="0"/>
        </w:sectPr>
      </w:pPr>
    </w:p>
    <w:p w14:paraId="0A084A02">
      <w:pPr>
        <w:ind w:firstLine="640" w:firstLineChars="200"/>
        <w:rPr>
          <w:rFonts w:hint="eastAsia" w:asciiTheme="minorEastAsia" w:hAnsiTheme="minorEastAsia" w:eastAsiaTheme="minorEastAsia"/>
          <w:sz w:val="32"/>
          <w:szCs w:val="32"/>
          <w:lang w:val="zh-CN"/>
        </w:rPr>
      </w:pPr>
      <w:r>
        <w:rPr>
          <w:rFonts w:hint="eastAsia" w:asciiTheme="minorEastAsia" w:hAnsiTheme="minorEastAsia" w:eastAsiaTheme="minorEastAsia"/>
          <w:sz w:val="32"/>
          <w:szCs w:val="32"/>
          <w:lang w:val="zh-CN"/>
        </w:rPr>
        <w:t>附表：</w:t>
      </w:r>
      <w:r>
        <w:rPr>
          <w:rFonts w:hint="eastAsia" w:asciiTheme="minorEastAsia" w:hAnsiTheme="minorEastAsia" w:eastAsiaTheme="minorEastAsia"/>
          <w:sz w:val="32"/>
          <w:szCs w:val="32"/>
        </w:rPr>
        <w:t>部门</w:t>
      </w:r>
      <w:r>
        <w:rPr>
          <w:rFonts w:hint="eastAsia" w:asciiTheme="minorEastAsia" w:hAnsiTheme="minorEastAsia" w:eastAsiaTheme="minorEastAsia"/>
          <w:sz w:val="32"/>
          <w:szCs w:val="32"/>
          <w:lang w:val="zh-CN"/>
        </w:rPr>
        <w:t>预算项目支出绩效自评表（2023年度）</w:t>
      </w:r>
    </w:p>
    <w:tbl>
      <w:tblPr>
        <w:tblStyle w:val="19"/>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82"/>
        <w:gridCol w:w="752"/>
        <w:gridCol w:w="752"/>
        <w:gridCol w:w="1873"/>
        <w:gridCol w:w="1136"/>
        <w:gridCol w:w="1620"/>
        <w:gridCol w:w="1007"/>
      </w:tblGrid>
      <w:tr w14:paraId="5AE738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000" w:type="pct"/>
            <w:gridSpan w:val="7"/>
            <w:tcBorders>
              <w:top w:val="nil"/>
              <w:left w:val="nil"/>
              <w:bottom w:val="nil"/>
              <w:right w:val="nil"/>
            </w:tcBorders>
            <w:shd w:val="clear" w:color="auto" w:fill="auto"/>
            <w:noWrap/>
            <w:vAlign w:val="center"/>
          </w:tcPr>
          <w:p w14:paraId="2CFF9957">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项目支出绩效自评表</w:t>
            </w:r>
          </w:p>
        </w:tc>
      </w:tr>
      <w:tr w14:paraId="17E639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8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CCF6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194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43F1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科普宣传</w:t>
            </w:r>
          </w:p>
        </w:tc>
        <w:tc>
          <w:tcPr>
            <w:tcW w:w="8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0A41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w:t>
            </w:r>
          </w:p>
        </w:tc>
        <w:tc>
          <w:tcPr>
            <w:tcW w:w="131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82EB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w:t>
            </w:r>
          </w:p>
        </w:tc>
      </w:tr>
      <w:tr w14:paraId="3C6BAD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8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6F8F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主管部门：</w:t>
            </w:r>
          </w:p>
        </w:tc>
        <w:tc>
          <w:tcPr>
            <w:tcW w:w="194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5DB5D">
            <w:pPr>
              <w:jc w:val="left"/>
              <w:rPr>
                <w:rFonts w:hint="eastAsia" w:ascii="宋体" w:hAnsi="宋体" w:eastAsia="宋体" w:cs="宋体"/>
                <w:i w:val="0"/>
                <w:iCs w:val="0"/>
                <w:color w:val="000000"/>
                <w:sz w:val="20"/>
                <w:szCs w:val="20"/>
                <w:u w:val="none"/>
              </w:rPr>
            </w:pPr>
          </w:p>
        </w:tc>
        <w:tc>
          <w:tcPr>
            <w:tcW w:w="8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5B31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实施单位：</w:t>
            </w:r>
          </w:p>
        </w:tc>
        <w:tc>
          <w:tcPr>
            <w:tcW w:w="131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7D69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峨边彝族自治县科学技术协会</w:t>
            </w:r>
          </w:p>
        </w:tc>
      </w:tr>
      <w:tr w14:paraId="227071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000" w:type="pct"/>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FE7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项目资金（万元）</w:t>
            </w:r>
          </w:p>
        </w:tc>
      </w:tr>
      <w:tr w14:paraId="44D043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179" w:type="pct"/>
            <w:gridSpan w:val="2"/>
            <w:tcBorders>
              <w:top w:val="single" w:color="000000" w:sz="4" w:space="0"/>
              <w:left w:val="single" w:color="000000" w:sz="4" w:space="0"/>
              <w:bottom w:val="single" w:color="000000" w:sz="4" w:space="0"/>
              <w:right w:val="nil"/>
            </w:tcBorders>
            <w:shd w:val="clear" w:color="auto" w:fill="auto"/>
            <w:noWrap/>
            <w:vAlign w:val="center"/>
          </w:tcPr>
          <w:p w14:paraId="385CA4DF">
            <w:pPr>
              <w:jc w:val="center"/>
              <w:rPr>
                <w:rFonts w:hint="eastAsia" w:ascii="宋体" w:hAnsi="宋体" w:eastAsia="宋体" w:cs="宋体"/>
                <w:i w:val="0"/>
                <w:iCs w:val="0"/>
                <w:color w:val="000000"/>
                <w:sz w:val="20"/>
                <w:szCs w:val="20"/>
                <w:u w:val="none"/>
              </w:rPr>
            </w:pPr>
          </w:p>
        </w:tc>
        <w:tc>
          <w:tcPr>
            <w:tcW w:w="162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8DF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全年预算数</w:t>
            </w:r>
          </w:p>
        </w:tc>
        <w:tc>
          <w:tcPr>
            <w:tcW w:w="169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710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全年执行数</w:t>
            </w: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9FD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执行率</w:t>
            </w:r>
          </w:p>
        </w:tc>
      </w:tr>
      <w:tr w14:paraId="6D817D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117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DB6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年度资金总额</w:t>
            </w:r>
          </w:p>
        </w:tc>
        <w:tc>
          <w:tcPr>
            <w:tcW w:w="162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EA0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15万元</w:t>
            </w:r>
          </w:p>
        </w:tc>
        <w:tc>
          <w:tcPr>
            <w:tcW w:w="169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666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14.99万元</w:t>
            </w: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733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99.99%</w:t>
            </w:r>
          </w:p>
        </w:tc>
      </w:tr>
      <w:tr w14:paraId="7EDF5F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117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BF5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其中：中省补助资金</w:t>
            </w:r>
          </w:p>
        </w:tc>
        <w:tc>
          <w:tcPr>
            <w:tcW w:w="162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DA161">
            <w:pPr>
              <w:jc w:val="center"/>
              <w:rPr>
                <w:rFonts w:hint="eastAsia" w:ascii="宋体" w:hAnsi="宋体" w:eastAsia="宋体" w:cs="宋体"/>
                <w:i w:val="0"/>
                <w:iCs w:val="0"/>
                <w:color w:val="000000"/>
                <w:sz w:val="20"/>
                <w:szCs w:val="20"/>
                <w:u w:val="none"/>
              </w:rPr>
            </w:pPr>
          </w:p>
        </w:tc>
        <w:tc>
          <w:tcPr>
            <w:tcW w:w="169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65A1B">
            <w:pPr>
              <w:jc w:val="center"/>
              <w:rPr>
                <w:rFonts w:hint="eastAsia" w:ascii="宋体" w:hAnsi="宋体" w:eastAsia="宋体" w:cs="宋体"/>
                <w:i w:val="0"/>
                <w:iCs w:val="0"/>
                <w:color w:val="000000"/>
                <w:sz w:val="20"/>
                <w:szCs w:val="20"/>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E73AC">
            <w:pPr>
              <w:jc w:val="center"/>
              <w:rPr>
                <w:rFonts w:hint="eastAsia" w:ascii="宋体" w:hAnsi="宋体" w:eastAsia="宋体" w:cs="宋体"/>
                <w:i w:val="0"/>
                <w:iCs w:val="0"/>
                <w:color w:val="000000"/>
                <w:sz w:val="20"/>
                <w:szCs w:val="20"/>
                <w:u w:val="none"/>
              </w:rPr>
            </w:pPr>
          </w:p>
        </w:tc>
      </w:tr>
      <w:tr w14:paraId="5174B9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117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420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县级预算资金</w:t>
            </w:r>
          </w:p>
        </w:tc>
        <w:tc>
          <w:tcPr>
            <w:tcW w:w="162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6C2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15万元</w:t>
            </w:r>
          </w:p>
        </w:tc>
        <w:tc>
          <w:tcPr>
            <w:tcW w:w="169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C56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14.99万元</w:t>
            </w: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86D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99.99%</w:t>
            </w:r>
          </w:p>
        </w:tc>
      </w:tr>
      <w:tr w14:paraId="754A33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17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93F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其他资金</w:t>
            </w:r>
          </w:p>
        </w:tc>
        <w:tc>
          <w:tcPr>
            <w:tcW w:w="162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069F2">
            <w:pPr>
              <w:jc w:val="center"/>
              <w:rPr>
                <w:rFonts w:hint="eastAsia" w:ascii="宋体" w:hAnsi="宋体" w:eastAsia="宋体" w:cs="宋体"/>
                <w:i w:val="0"/>
                <w:iCs w:val="0"/>
                <w:color w:val="000000"/>
                <w:sz w:val="20"/>
                <w:szCs w:val="20"/>
                <w:u w:val="none"/>
              </w:rPr>
            </w:pPr>
          </w:p>
        </w:tc>
        <w:tc>
          <w:tcPr>
            <w:tcW w:w="169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C5D0F">
            <w:pPr>
              <w:jc w:val="center"/>
              <w:rPr>
                <w:rFonts w:hint="eastAsia" w:ascii="宋体" w:hAnsi="宋体" w:eastAsia="宋体" w:cs="宋体"/>
                <w:i w:val="0"/>
                <w:iCs w:val="0"/>
                <w:color w:val="000000"/>
                <w:sz w:val="20"/>
                <w:szCs w:val="20"/>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3E741">
            <w:pPr>
              <w:jc w:val="center"/>
              <w:rPr>
                <w:rFonts w:hint="eastAsia" w:ascii="宋体" w:hAnsi="宋体" w:eastAsia="宋体" w:cs="宋体"/>
                <w:i w:val="0"/>
                <w:iCs w:val="0"/>
                <w:color w:val="000000"/>
                <w:sz w:val="20"/>
                <w:szCs w:val="20"/>
                <w:u w:val="none"/>
              </w:rPr>
            </w:pPr>
          </w:p>
        </w:tc>
      </w:tr>
      <w:tr w14:paraId="1C5911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67"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F13D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年度总体目标</w:t>
            </w:r>
          </w:p>
        </w:tc>
        <w:tc>
          <w:tcPr>
            <w:tcW w:w="2818"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111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预期目标</w:t>
            </w:r>
          </w:p>
        </w:tc>
        <w:tc>
          <w:tcPr>
            <w:tcW w:w="131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E24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实际完成情况</w:t>
            </w:r>
          </w:p>
        </w:tc>
      </w:tr>
      <w:tr w14:paraId="020189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6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EC268">
            <w:pPr>
              <w:jc w:val="left"/>
              <w:rPr>
                <w:rFonts w:hint="eastAsia" w:ascii="宋体" w:hAnsi="宋体" w:eastAsia="宋体" w:cs="宋体"/>
                <w:i w:val="0"/>
                <w:iCs w:val="0"/>
                <w:color w:val="000000"/>
                <w:sz w:val="20"/>
                <w:szCs w:val="20"/>
                <w:u w:val="none"/>
              </w:rPr>
            </w:pPr>
          </w:p>
        </w:tc>
        <w:tc>
          <w:tcPr>
            <w:tcW w:w="2818" w:type="pct"/>
            <w:gridSpan w:val="4"/>
            <w:tcBorders>
              <w:top w:val="single" w:color="000000" w:sz="4" w:space="0"/>
              <w:left w:val="single" w:color="000000" w:sz="4" w:space="0"/>
              <w:bottom w:val="nil"/>
              <w:right w:val="single" w:color="000000" w:sz="4" w:space="0"/>
            </w:tcBorders>
            <w:shd w:val="clear" w:color="auto" w:fill="auto"/>
            <w:noWrap/>
            <w:vAlign w:val="center"/>
          </w:tcPr>
          <w:p w14:paraId="7B09B433">
            <w:pPr>
              <w:jc w:val="left"/>
              <w:rPr>
                <w:rFonts w:hint="eastAsia" w:ascii="宋体" w:hAnsi="宋体" w:eastAsia="宋体" w:cs="宋体"/>
                <w:i w:val="0"/>
                <w:iCs w:val="0"/>
                <w:color w:val="000000"/>
                <w:sz w:val="20"/>
                <w:szCs w:val="20"/>
                <w:u w:val="none"/>
              </w:rPr>
            </w:pPr>
          </w:p>
        </w:tc>
        <w:tc>
          <w:tcPr>
            <w:tcW w:w="131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44352">
            <w:pPr>
              <w:jc w:val="left"/>
              <w:rPr>
                <w:rFonts w:hint="eastAsia" w:ascii="宋体" w:hAnsi="宋体" w:eastAsia="宋体" w:cs="宋体"/>
                <w:i w:val="0"/>
                <w:iCs w:val="0"/>
                <w:color w:val="000000"/>
                <w:sz w:val="20"/>
                <w:szCs w:val="20"/>
                <w:u w:val="none"/>
              </w:rPr>
            </w:pPr>
          </w:p>
        </w:tc>
      </w:tr>
      <w:tr w14:paraId="2F606D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AEB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一级指标</w:t>
            </w:r>
          </w:p>
        </w:tc>
        <w:tc>
          <w:tcPr>
            <w:tcW w:w="62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8A0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二级指标</w:t>
            </w:r>
          </w:p>
        </w:tc>
        <w:tc>
          <w:tcPr>
            <w:tcW w:w="1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E3C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目标指标</w:t>
            </w:r>
          </w:p>
        </w:tc>
        <w:tc>
          <w:tcPr>
            <w:tcW w:w="8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17E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目标值</w:t>
            </w:r>
          </w:p>
        </w:tc>
        <w:tc>
          <w:tcPr>
            <w:tcW w:w="8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665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业绩指标</w:t>
            </w: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8DD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完成率</w:t>
            </w:r>
          </w:p>
        </w:tc>
      </w:tr>
      <w:tr w14:paraId="4954B9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trPr>
        <w:tc>
          <w:tcPr>
            <w:tcW w:w="867" w:type="pct"/>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1FDD10">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投入与管理</w:t>
            </w:r>
          </w:p>
        </w:tc>
        <w:tc>
          <w:tcPr>
            <w:tcW w:w="624" w:type="pct"/>
            <w:gridSpan w:val="2"/>
            <w:vMerge w:val="restart"/>
            <w:tcBorders>
              <w:top w:val="single" w:color="000000" w:sz="4" w:space="0"/>
              <w:left w:val="single" w:color="000000" w:sz="4" w:space="0"/>
              <w:bottom w:val="single" w:color="000000" w:sz="4" w:space="0"/>
              <w:right w:val="nil"/>
            </w:tcBorders>
            <w:shd w:val="clear" w:color="auto" w:fill="FFFFFF"/>
            <w:noWrap/>
            <w:vAlign w:val="center"/>
          </w:tcPr>
          <w:p w14:paraId="3A79FB7C">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投入管理</w:t>
            </w:r>
          </w:p>
        </w:tc>
        <w:tc>
          <w:tcPr>
            <w:tcW w:w="131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2EDBD2">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预算编制合理性</w:t>
            </w:r>
          </w:p>
        </w:tc>
        <w:tc>
          <w:tcPr>
            <w:tcW w:w="87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1D1063">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合理</w:t>
            </w:r>
          </w:p>
        </w:tc>
        <w:tc>
          <w:tcPr>
            <w:tcW w:w="8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A1AEDE">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50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C8665B">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r w14:paraId="1CEC76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trPr>
        <w:tc>
          <w:tcPr>
            <w:tcW w:w="867"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496BBD">
            <w:pPr>
              <w:jc w:val="center"/>
              <w:rPr>
                <w:rFonts w:hint="eastAsia" w:ascii="宋体" w:hAnsi="宋体" w:eastAsia="宋体" w:cs="宋体"/>
                <w:i w:val="0"/>
                <w:iCs w:val="0"/>
                <w:color w:val="333333"/>
                <w:sz w:val="20"/>
                <w:szCs w:val="20"/>
                <w:u w:val="none"/>
              </w:rPr>
            </w:pPr>
          </w:p>
        </w:tc>
        <w:tc>
          <w:tcPr>
            <w:tcW w:w="624" w:type="pct"/>
            <w:gridSpan w:val="2"/>
            <w:vMerge w:val="continue"/>
            <w:tcBorders>
              <w:top w:val="single" w:color="000000" w:sz="4" w:space="0"/>
              <w:left w:val="single" w:color="000000" w:sz="4" w:space="0"/>
              <w:bottom w:val="single" w:color="000000" w:sz="4" w:space="0"/>
              <w:right w:val="nil"/>
            </w:tcBorders>
            <w:shd w:val="clear" w:color="auto" w:fill="FFFFFF"/>
            <w:noWrap/>
            <w:vAlign w:val="center"/>
          </w:tcPr>
          <w:p w14:paraId="4D2AFA30">
            <w:pPr>
              <w:jc w:val="center"/>
              <w:rPr>
                <w:rFonts w:hint="eastAsia" w:ascii="宋体" w:hAnsi="宋体" w:eastAsia="宋体" w:cs="宋体"/>
                <w:i w:val="0"/>
                <w:iCs w:val="0"/>
                <w:color w:val="333333"/>
                <w:sz w:val="20"/>
                <w:szCs w:val="20"/>
                <w:u w:val="none"/>
              </w:rPr>
            </w:pPr>
          </w:p>
        </w:tc>
        <w:tc>
          <w:tcPr>
            <w:tcW w:w="131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6E819F">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预算执行率</w:t>
            </w:r>
          </w:p>
        </w:tc>
        <w:tc>
          <w:tcPr>
            <w:tcW w:w="87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3B0E9C">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8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63AD64">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50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FDF6D2">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r w14:paraId="6C5AAB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trPr>
        <w:tc>
          <w:tcPr>
            <w:tcW w:w="867"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13D508">
            <w:pPr>
              <w:jc w:val="center"/>
              <w:rPr>
                <w:rFonts w:hint="eastAsia" w:ascii="宋体" w:hAnsi="宋体" w:eastAsia="宋体" w:cs="宋体"/>
                <w:i w:val="0"/>
                <w:iCs w:val="0"/>
                <w:color w:val="333333"/>
                <w:sz w:val="20"/>
                <w:szCs w:val="20"/>
                <w:u w:val="none"/>
              </w:rPr>
            </w:pPr>
          </w:p>
        </w:tc>
        <w:tc>
          <w:tcPr>
            <w:tcW w:w="624" w:type="pct"/>
            <w:gridSpan w:val="2"/>
            <w:vMerge w:val="continue"/>
            <w:tcBorders>
              <w:top w:val="single" w:color="000000" w:sz="4" w:space="0"/>
              <w:left w:val="single" w:color="000000" w:sz="4" w:space="0"/>
              <w:bottom w:val="single" w:color="000000" w:sz="4" w:space="0"/>
              <w:right w:val="nil"/>
            </w:tcBorders>
            <w:shd w:val="clear" w:color="auto" w:fill="FFFFFF"/>
            <w:noWrap/>
            <w:vAlign w:val="center"/>
          </w:tcPr>
          <w:p w14:paraId="4B8D1D7A">
            <w:pPr>
              <w:jc w:val="center"/>
              <w:rPr>
                <w:rFonts w:hint="eastAsia" w:ascii="宋体" w:hAnsi="宋体" w:eastAsia="宋体" w:cs="宋体"/>
                <w:i w:val="0"/>
                <w:iCs w:val="0"/>
                <w:color w:val="333333"/>
                <w:sz w:val="20"/>
                <w:szCs w:val="20"/>
                <w:u w:val="none"/>
              </w:rPr>
            </w:pPr>
          </w:p>
        </w:tc>
        <w:tc>
          <w:tcPr>
            <w:tcW w:w="131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1F5FEB">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预算资金到位率</w:t>
            </w:r>
          </w:p>
        </w:tc>
        <w:tc>
          <w:tcPr>
            <w:tcW w:w="87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67E21D">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8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B4110E">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50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5B55BA">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r w14:paraId="002364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trPr>
        <w:tc>
          <w:tcPr>
            <w:tcW w:w="867"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B0863E">
            <w:pPr>
              <w:jc w:val="center"/>
              <w:rPr>
                <w:rFonts w:hint="eastAsia" w:ascii="宋体" w:hAnsi="宋体" w:eastAsia="宋体" w:cs="宋体"/>
                <w:i w:val="0"/>
                <w:iCs w:val="0"/>
                <w:color w:val="333333"/>
                <w:sz w:val="20"/>
                <w:szCs w:val="20"/>
                <w:u w:val="none"/>
              </w:rPr>
            </w:pPr>
          </w:p>
        </w:tc>
        <w:tc>
          <w:tcPr>
            <w:tcW w:w="624" w:type="pct"/>
            <w:gridSpan w:val="2"/>
            <w:vMerge w:val="restart"/>
            <w:tcBorders>
              <w:top w:val="single" w:color="000000" w:sz="4" w:space="0"/>
              <w:left w:val="single" w:color="000000" w:sz="4" w:space="0"/>
              <w:bottom w:val="single" w:color="000000" w:sz="4" w:space="0"/>
              <w:right w:val="nil"/>
            </w:tcBorders>
            <w:shd w:val="clear" w:color="auto" w:fill="FFFFFF"/>
            <w:noWrap/>
            <w:vAlign w:val="center"/>
          </w:tcPr>
          <w:p w14:paraId="75D7F46D">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财务管理</w:t>
            </w:r>
          </w:p>
        </w:tc>
        <w:tc>
          <w:tcPr>
            <w:tcW w:w="131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3E44C3">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财务管理制度健全性</w:t>
            </w:r>
          </w:p>
        </w:tc>
        <w:tc>
          <w:tcPr>
            <w:tcW w:w="87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1A9DF6">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健全</w:t>
            </w:r>
          </w:p>
        </w:tc>
        <w:tc>
          <w:tcPr>
            <w:tcW w:w="8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CA87BB">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50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22DCFB">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r w14:paraId="7D9D60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trPr>
        <w:tc>
          <w:tcPr>
            <w:tcW w:w="867"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31D179">
            <w:pPr>
              <w:jc w:val="center"/>
              <w:rPr>
                <w:rFonts w:hint="eastAsia" w:ascii="宋体" w:hAnsi="宋体" w:eastAsia="宋体" w:cs="宋体"/>
                <w:i w:val="0"/>
                <w:iCs w:val="0"/>
                <w:color w:val="333333"/>
                <w:sz w:val="20"/>
                <w:szCs w:val="20"/>
                <w:u w:val="none"/>
              </w:rPr>
            </w:pPr>
          </w:p>
        </w:tc>
        <w:tc>
          <w:tcPr>
            <w:tcW w:w="624" w:type="pct"/>
            <w:gridSpan w:val="2"/>
            <w:vMerge w:val="continue"/>
            <w:tcBorders>
              <w:top w:val="single" w:color="000000" w:sz="4" w:space="0"/>
              <w:left w:val="single" w:color="000000" w:sz="4" w:space="0"/>
              <w:bottom w:val="single" w:color="000000" w:sz="4" w:space="0"/>
              <w:right w:val="nil"/>
            </w:tcBorders>
            <w:shd w:val="clear" w:color="auto" w:fill="FFFFFF"/>
            <w:noWrap/>
            <w:vAlign w:val="center"/>
          </w:tcPr>
          <w:p w14:paraId="76471D4A">
            <w:pPr>
              <w:jc w:val="center"/>
              <w:rPr>
                <w:rFonts w:hint="eastAsia" w:ascii="宋体" w:hAnsi="宋体" w:eastAsia="宋体" w:cs="宋体"/>
                <w:i w:val="0"/>
                <w:iCs w:val="0"/>
                <w:color w:val="333333"/>
                <w:sz w:val="20"/>
                <w:szCs w:val="20"/>
                <w:u w:val="none"/>
              </w:rPr>
            </w:pPr>
          </w:p>
        </w:tc>
        <w:tc>
          <w:tcPr>
            <w:tcW w:w="131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5FAE4E">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财务监控有效性</w:t>
            </w:r>
          </w:p>
        </w:tc>
        <w:tc>
          <w:tcPr>
            <w:tcW w:w="87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808958">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有效</w:t>
            </w:r>
          </w:p>
        </w:tc>
        <w:tc>
          <w:tcPr>
            <w:tcW w:w="8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467742">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50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F2FDF4">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r w14:paraId="48F719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trPr>
        <w:tc>
          <w:tcPr>
            <w:tcW w:w="867"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2E366F">
            <w:pPr>
              <w:jc w:val="center"/>
              <w:rPr>
                <w:rFonts w:hint="eastAsia" w:ascii="宋体" w:hAnsi="宋体" w:eastAsia="宋体" w:cs="宋体"/>
                <w:i w:val="0"/>
                <w:iCs w:val="0"/>
                <w:color w:val="333333"/>
                <w:sz w:val="20"/>
                <w:szCs w:val="20"/>
                <w:u w:val="none"/>
              </w:rPr>
            </w:pPr>
          </w:p>
        </w:tc>
        <w:tc>
          <w:tcPr>
            <w:tcW w:w="624" w:type="pct"/>
            <w:gridSpan w:val="2"/>
            <w:vMerge w:val="continue"/>
            <w:tcBorders>
              <w:top w:val="single" w:color="000000" w:sz="4" w:space="0"/>
              <w:left w:val="single" w:color="000000" w:sz="4" w:space="0"/>
              <w:bottom w:val="single" w:color="000000" w:sz="4" w:space="0"/>
              <w:right w:val="nil"/>
            </w:tcBorders>
            <w:shd w:val="clear" w:color="auto" w:fill="FFFFFF"/>
            <w:noWrap/>
            <w:vAlign w:val="center"/>
          </w:tcPr>
          <w:p w14:paraId="366B826F">
            <w:pPr>
              <w:jc w:val="center"/>
              <w:rPr>
                <w:rFonts w:hint="eastAsia" w:ascii="宋体" w:hAnsi="宋体" w:eastAsia="宋体" w:cs="宋体"/>
                <w:i w:val="0"/>
                <w:iCs w:val="0"/>
                <w:color w:val="333333"/>
                <w:sz w:val="20"/>
                <w:szCs w:val="20"/>
                <w:u w:val="none"/>
              </w:rPr>
            </w:pPr>
          </w:p>
        </w:tc>
        <w:tc>
          <w:tcPr>
            <w:tcW w:w="131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A36F12">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资金使用规范性</w:t>
            </w:r>
          </w:p>
        </w:tc>
        <w:tc>
          <w:tcPr>
            <w:tcW w:w="87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BAB7CE">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规范</w:t>
            </w:r>
          </w:p>
        </w:tc>
        <w:tc>
          <w:tcPr>
            <w:tcW w:w="8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C1CBED">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50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1AA011">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r w14:paraId="57CEB1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trPr>
        <w:tc>
          <w:tcPr>
            <w:tcW w:w="867"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39434A">
            <w:pPr>
              <w:jc w:val="center"/>
              <w:rPr>
                <w:rFonts w:hint="eastAsia" w:ascii="宋体" w:hAnsi="宋体" w:eastAsia="宋体" w:cs="宋体"/>
                <w:i w:val="0"/>
                <w:iCs w:val="0"/>
                <w:color w:val="333333"/>
                <w:sz w:val="20"/>
                <w:szCs w:val="20"/>
                <w:u w:val="none"/>
              </w:rPr>
            </w:pPr>
          </w:p>
        </w:tc>
        <w:tc>
          <w:tcPr>
            <w:tcW w:w="624" w:type="pct"/>
            <w:gridSpan w:val="2"/>
            <w:vMerge w:val="restart"/>
            <w:tcBorders>
              <w:top w:val="single" w:color="000000" w:sz="4" w:space="0"/>
              <w:left w:val="single" w:color="000000" w:sz="4" w:space="0"/>
              <w:bottom w:val="single" w:color="000000" w:sz="4" w:space="0"/>
              <w:right w:val="nil"/>
            </w:tcBorders>
            <w:shd w:val="clear" w:color="auto" w:fill="FFFFFF"/>
            <w:noWrap/>
            <w:vAlign w:val="center"/>
          </w:tcPr>
          <w:p w14:paraId="4C4809D2">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实施管理</w:t>
            </w:r>
          </w:p>
        </w:tc>
        <w:tc>
          <w:tcPr>
            <w:tcW w:w="131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11F8E6">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供应商资质符合程度</w:t>
            </w:r>
          </w:p>
        </w:tc>
        <w:tc>
          <w:tcPr>
            <w:tcW w:w="87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3574E4">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符合</w:t>
            </w:r>
          </w:p>
        </w:tc>
        <w:tc>
          <w:tcPr>
            <w:tcW w:w="8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87BC84">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50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55286C">
            <w:pPr>
              <w:jc w:val="center"/>
              <w:rPr>
                <w:rFonts w:hint="eastAsia" w:ascii="宋体" w:hAnsi="宋体" w:eastAsia="宋体" w:cs="宋体"/>
                <w:i w:val="0"/>
                <w:iCs w:val="0"/>
                <w:color w:val="333333"/>
                <w:sz w:val="20"/>
                <w:szCs w:val="20"/>
                <w:u w:val="none"/>
              </w:rPr>
            </w:pPr>
          </w:p>
        </w:tc>
      </w:tr>
      <w:tr w14:paraId="4F7F01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trPr>
        <w:tc>
          <w:tcPr>
            <w:tcW w:w="867"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C6B927">
            <w:pPr>
              <w:jc w:val="center"/>
              <w:rPr>
                <w:rFonts w:hint="eastAsia" w:ascii="宋体" w:hAnsi="宋体" w:eastAsia="宋体" w:cs="宋体"/>
                <w:i w:val="0"/>
                <w:iCs w:val="0"/>
                <w:color w:val="333333"/>
                <w:sz w:val="20"/>
                <w:szCs w:val="20"/>
                <w:u w:val="none"/>
              </w:rPr>
            </w:pPr>
          </w:p>
        </w:tc>
        <w:tc>
          <w:tcPr>
            <w:tcW w:w="624" w:type="pct"/>
            <w:gridSpan w:val="2"/>
            <w:vMerge w:val="continue"/>
            <w:tcBorders>
              <w:top w:val="single" w:color="000000" w:sz="4" w:space="0"/>
              <w:left w:val="single" w:color="000000" w:sz="4" w:space="0"/>
              <w:bottom w:val="single" w:color="000000" w:sz="4" w:space="0"/>
              <w:right w:val="nil"/>
            </w:tcBorders>
            <w:shd w:val="clear" w:color="auto" w:fill="FFFFFF"/>
            <w:noWrap/>
            <w:vAlign w:val="center"/>
          </w:tcPr>
          <w:p w14:paraId="02E316DA">
            <w:pPr>
              <w:jc w:val="center"/>
              <w:rPr>
                <w:rFonts w:hint="eastAsia" w:ascii="宋体" w:hAnsi="宋体" w:eastAsia="宋体" w:cs="宋体"/>
                <w:i w:val="0"/>
                <w:iCs w:val="0"/>
                <w:color w:val="333333"/>
                <w:sz w:val="20"/>
                <w:szCs w:val="20"/>
                <w:u w:val="none"/>
              </w:rPr>
            </w:pPr>
          </w:p>
        </w:tc>
        <w:tc>
          <w:tcPr>
            <w:tcW w:w="131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248BE5">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合同管理完备性</w:t>
            </w:r>
          </w:p>
        </w:tc>
        <w:tc>
          <w:tcPr>
            <w:tcW w:w="87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60CC04">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完备</w:t>
            </w:r>
          </w:p>
        </w:tc>
        <w:tc>
          <w:tcPr>
            <w:tcW w:w="8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400184">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50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47CB49">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r w14:paraId="43B479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trPr>
        <w:tc>
          <w:tcPr>
            <w:tcW w:w="867"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29E9DC">
            <w:pPr>
              <w:jc w:val="center"/>
              <w:rPr>
                <w:rFonts w:hint="eastAsia" w:ascii="宋体" w:hAnsi="宋体" w:eastAsia="宋体" w:cs="宋体"/>
                <w:i w:val="0"/>
                <w:iCs w:val="0"/>
                <w:color w:val="333333"/>
                <w:sz w:val="20"/>
                <w:szCs w:val="20"/>
                <w:u w:val="none"/>
              </w:rPr>
            </w:pPr>
          </w:p>
        </w:tc>
        <w:tc>
          <w:tcPr>
            <w:tcW w:w="624" w:type="pct"/>
            <w:gridSpan w:val="2"/>
            <w:vMerge w:val="continue"/>
            <w:tcBorders>
              <w:top w:val="single" w:color="000000" w:sz="4" w:space="0"/>
              <w:left w:val="single" w:color="000000" w:sz="4" w:space="0"/>
              <w:bottom w:val="single" w:color="000000" w:sz="4" w:space="0"/>
              <w:right w:val="nil"/>
            </w:tcBorders>
            <w:shd w:val="clear" w:color="auto" w:fill="FFFFFF"/>
            <w:noWrap/>
            <w:vAlign w:val="center"/>
          </w:tcPr>
          <w:p w14:paraId="50355183">
            <w:pPr>
              <w:jc w:val="center"/>
              <w:rPr>
                <w:rFonts w:hint="eastAsia" w:ascii="宋体" w:hAnsi="宋体" w:eastAsia="宋体" w:cs="宋体"/>
                <w:i w:val="0"/>
                <w:iCs w:val="0"/>
                <w:color w:val="333333"/>
                <w:sz w:val="20"/>
                <w:szCs w:val="20"/>
                <w:u w:val="none"/>
              </w:rPr>
            </w:pPr>
          </w:p>
        </w:tc>
        <w:tc>
          <w:tcPr>
            <w:tcW w:w="131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89EC73">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监理规范性</w:t>
            </w:r>
          </w:p>
        </w:tc>
        <w:tc>
          <w:tcPr>
            <w:tcW w:w="87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274172">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规范</w:t>
            </w:r>
          </w:p>
        </w:tc>
        <w:tc>
          <w:tcPr>
            <w:tcW w:w="8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E289BB">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50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4121B4">
            <w:pPr>
              <w:jc w:val="center"/>
              <w:rPr>
                <w:rFonts w:hint="eastAsia" w:ascii="宋体" w:hAnsi="宋体" w:eastAsia="宋体" w:cs="宋体"/>
                <w:i w:val="0"/>
                <w:iCs w:val="0"/>
                <w:color w:val="333333"/>
                <w:sz w:val="20"/>
                <w:szCs w:val="20"/>
                <w:u w:val="none"/>
              </w:rPr>
            </w:pPr>
          </w:p>
        </w:tc>
      </w:tr>
      <w:tr w14:paraId="18E17B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trPr>
        <w:tc>
          <w:tcPr>
            <w:tcW w:w="867"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8EFF12">
            <w:pPr>
              <w:jc w:val="center"/>
              <w:rPr>
                <w:rFonts w:hint="eastAsia" w:ascii="宋体" w:hAnsi="宋体" w:eastAsia="宋体" w:cs="宋体"/>
                <w:i w:val="0"/>
                <w:iCs w:val="0"/>
                <w:color w:val="333333"/>
                <w:sz w:val="20"/>
                <w:szCs w:val="20"/>
                <w:u w:val="none"/>
              </w:rPr>
            </w:pPr>
          </w:p>
        </w:tc>
        <w:tc>
          <w:tcPr>
            <w:tcW w:w="624" w:type="pct"/>
            <w:gridSpan w:val="2"/>
            <w:vMerge w:val="continue"/>
            <w:tcBorders>
              <w:top w:val="single" w:color="000000" w:sz="4" w:space="0"/>
              <w:left w:val="single" w:color="000000" w:sz="4" w:space="0"/>
              <w:bottom w:val="single" w:color="000000" w:sz="4" w:space="0"/>
              <w:right w:val="nil"/>
            </w:tcBorders>
            <w:shd w:val="clear" w:color="auto" w:fill="FFFFFF"/>
            <w:noWrap/>
            <w:vAlign w:val="center"/>
          </w:tcPr>
          <w:p w14:paraId="37C276EF">
            <w:pPr>
              <w:jc w:val="center"/>
              <w:rPr>
                <w:rFonts w:hint="eastAsia" w:ascii="宋体" w:hAnsi="宋体" w:eastAsia="宋体" w:cs="宋体"/>
                <w:i w:val="0"/>
                <w:iCs w:val="0"/>
                <w:color w:val="333333"/>
                <w:sz w:val="20"/>
                <w:szCs w:val="20"/>
                <w:u w:val="none"/>
              </w:rPr>
            </w:pPr>
          </w:p>
        </w:tc>
        <w:tc>
          <w:tcPr>
            <w:tcW w:w="131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1D29FA">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系统运维规范性</w:t>
            </w:r>
          </w:p>
        </w:tc>
        <w:tc>
          <w:tcPr>
            <w:tcW w:w="87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9E5D0D">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规范</w:t>
            </w:r>
          </w:p>
        </w:tc>
        <w:tc>
          <w:tcPr>
            <w:tcW w:w="8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4254DB">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50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841670">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r w14:paraId="591B29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trPr>
        <w:tc>
          <w:tcPr>
            <w:tcW w:w="867"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C31CE1">
            <w:pPr>
              <w:jc w:val="center"/>
              <w:rPr>
                <w:rFonts w:hint="eastAsia" w:ascii="宋体" w:hAnsi="宋体" w:eastAsia="宋体" w:cs="宋体"/>
                <w:i w:val="0"/>
                <w:iCs w:val="0"/>
                <w:color w:val="333333"/>
                <w:sz w:val="20"/>
                <w:szCs w:val="20"/>
                <w:u w:val="none"/>
              </w:rPr>
            </w:pPr>
          </w:p>
        </w:tc>
        <w:tc>
          <w:tcPr>
            <w:tcW w:w="624" w:type="pct"/>
            <w:gridSpan w:val="2"/>
            <w:vMerge w:val="continue"/>
            <w:tcBorders>
              <w:top w:val="single" w:color="000000" w:sz="4" w:space="0"/>
              <w:left w:val="single" w:color="000000" w:sz="4" w:space="0"/>
              <w:bottom w:val="single" w:color="000000" w:sz="4" w:space="0"/>
              <w:right w:val="nil"/>
            </w:tcBorders>
            <w:shd w:val="clear" w:color="auto" w:fill="FFFFFF"/>
            <w:noWrap/>
            <w:vAlign w:val="center"/>
          </w:tcPr>
          <w:p w14:paraId="159C7082">
            <w:pPr>
              <w:jc w:val="center"/>
              <w:rPr>
                <w:rFonts w:hint="eastAsia" w:ascii="宋体" w:hAnsi="宋体" w:eastAsia="宋体" w:cs="宋体"/>
                <w:i w:val="0"/>
                <w:iCs w:val="0"/>
                <w:color w:val="333333"/>
                <w:sz w:val="20"/>
                <w:szCs w:val="20"/>
                <w:u w:val="none"/>
              </w:rPr>
            </w:pPr>
          </w:p>
        </w:tc>
        <w:tc>
          <w:tcPr>
            <w:tcW w:w="131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930976">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项目管理制度健全性</w:t>
            </w:r>
          </w:p>
        </w:tc>
        <w:tc>
          <w:tcPr>
            <w:tcW w:w="87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8A224F">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健全</w:t>
            </w:r>
          </w:p>
        </w:tc>
        <w:tc>
          <w:tcPr>
            <w:tcW w:w="8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60583E">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50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93C4C9">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r w14:paraId="5A4438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trPr>
        <w:tc>
          <w:tcPr>
            <w:tcW w:w="867"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855AB2">
            <w:pPr>
              <w:jc w:val="center"/>
              <w:rPr>
                <w:rFonts w:hint="eastAsia" w:ascii="宋体" w:hAnsi="宋体" w:eastAsia="宋体" w:cs="宋体"/>
                <w:i w:val="0"/>
                <w:iCs w:val="0"/>
                <w:color w:val="333333"/>
                <w:sz w:val="20"/>
                <w:szCs w:val="20"/>
                <w:u w:val="none"/>
              </w:rPr>
            </w:pPr>
          </w:p>
        </w:tc>
        <w:tc>
          <w:tcPr>
            <w:tcW w:w="624" w:type="pct"/>
            <w:gridSpan w:val="2"/>
            <w:vMerge w:val="continue"/>
            <w:tcBorders>
              <w:top w:val="single" w:color="000000" w:sz="4" w:space="0"/>
              <w:left w:val="single" w:color="000000" w:sz="4" w:space="0"/>
              <w:bottom w:val="single" w:color="000000" w:sz="4" w:space="0"/>
              <w:right w:val="nil"/>
            </w:tcBorders>
            <w:shd w:val="clear" w:color="auto" w:fill="FFFFFF"/>
            <w:noWrap/>
            <w:vAlign w:val="center"/>
          </w:tcPr>
          <w:p w14:paraId="4C15ECEE">
            <w:pPr>
              <w:jc w:val="center"/>
              <w:rPr>
                <w:rFonts w:hint="eastAsia" w:ascii="宋体" w:hAnsi="宋体" w:eastAsia="宋体" w:cs="宋体"/>
                <w:i w:val="0"/>
                <w:iCs w:val="0"/>
                <w:color w:val="333333"/>
                <w:sz w:val="20"/>
                <w:szCs w:val="20"/>
                <w:u w:val="none"/>
              </w:rPr>
            </w:pPr>
          </w:p>
        </w:tc>
        <w:tc>
          <w:tcPr>
            <w:tcW w:w="131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F17557">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项目验收规范性</w:t>
            </w:r>
          </w:p>
        </w:tc>
        <w:tc>
          <w:tcPr>
            <w:tcW w:w="87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421F45">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规范</w:t>
            </w:r>
          </w:p>
        </w:tc>
        <w:tc>
          <w:tcPr>
            <w:tcW w:w="8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DDDAA5">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50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F45680">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r w14:paraId="79F0E8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trPr>
        <w:tc>
          <w:tcPr>
            <w:tcW w:w="867"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CAC93A">
            <w:pPr>
              <w:jc w:val="center"/>
              <w:rPr>
                <w:rFonts w:hint="eastAsia" w:ascii="宋体" w:hAnsi="宋体" w:eastAsia="宋体" w:cs="宋体"/>
                <w:i w:val="0"/>
                <w:iCs w:val="0"/>
                <w:color w:val="333333"/>
                <w:sz w:val="20"/>
                <w:szCs w:val="20"/>
                <w:u w:val="none"/>
              </w:rPr>
            </w:pPr>
          </w:p>
        </w:tc>
        <w:tc>
          <w:tcPr>
            <w:tcW w:w="624" w:type="pct"/>
            <w:gridSpan w:val="2"/>
            <w:vMerge w:val="continue"/>
            <w:tcBorders>
              <w:top w:val="single" w:color="000000" w:sz="4" w:space="0"/>
              <w:left w:val="single" w:color="000000" w:sz="4" w:space="0"/>
              <w:bottom w:val="single" w:color="000000" w:sz="4" w:space="0"/>
              <w:right w:val="nil"/>
            </w:tcBorders>
            <w:shd w:val="clear" w:color="auto" w:fill="FFFFFF"/>
            <w:noWrap/>
            <w:vAlign w:val="center"/>
          </w:tcPr>
          <w:p w14:paraId="32FEA0E7">
            <w:pPr>
              <w:jc w:val="center"/>
              <w:rPr>
                <w:rFonts w:hint="eastAsia" w:ascii="宋体" w:hAnsi="宋体" w:eastAsia="宋体" w:cs="宋体"/>
                <w:i w:val="0"/>
                <w:iCs w:val="0"/>
                <w:color w:val="333333"/>
                <w:sz w:val="20"/>
                <w:szCs w:val="20"/>
                <w:u w:val="none"/>
              </w:rPr>
            </w:pPr>
          </w:p>
        </w:tc>
        <w:tc>
          <w:tcPr>
            <w:tcW w:w="131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93B9CC">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政府采购规范性</w:t>
            </w:r>
          </w:p>
        </w:tc>
        <w:tc>
          <w:tcPr>
            <w:tcW w:w="87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BC3467">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规范</w:t>
            </w:r>
          </w:p>
        </w:tc>
        <w:tc>
          <w:tcPr>
            <w:tcW w:w="8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7F604B">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50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3C983E">
            <w:pPr>
              <w:jc w:val="center"/>
              <w:rPr>
                <w:rFonts w:hint="eastAsia" w:ascii="宋体" w:hAnsi="宋体" w:eastAsia="宋体" w:cs="宋体"/>
                <w:i w:val="0"/>
                <w:iCs w:val="0"/>
                <w:color w:val="333333"/>
                <w:sz w:val="20"/>
                <w:szCs w:val="20"/>
                <w:u w:val="none"/>
              </w:rPr>
            </w:pPr>
          </w:p>
        </w:tc>
      </w:tr>
      <w:tr w14:paraId="195339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trPr>
        <w:tc>
          <w:tcPr>
            <w:tcW w:w="867"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292A53">
            <w:pPr>
              <w:jc w:val="center"/>
              <w:rPr>
                <w:rFonts w:hint="eastAsia" w:ascii="宋体" w:hAnsi="宋体" w:eastAsia="宋体" w:cs="宋体"/>
                <w:i w:val="0"/>
                <w:iCs w:val="0"/>
                <w:color w:val="333333"/>
                <w:sz w:val="20"/>
                <w:szCs w:val="20"/>
                <w:u w:val="none"/>
              </w:rPr>
            </w:pPr>
          </w:p>
        </w:tc>
        <w:tc>
          <w:tcPr>
            <w:tcW w:w="624" w:type="pct"/>
            <w:gridSpan w:val="2"/>
            <w:tcBorders>
              <w:top w:val="single" w:color="000000" w:sz="4" w:space="0"/>
              <w:left w:val="single" w:color="000000" w:sz="4" w:space="0"/>
              <w:bottom w:val="single" w:color="000000" w:sz="4" w:space="0"/>
              <w:right w:val="nil"/>
            </w:tcBorders>
            <w:shd w:val="clear" w:color="auto" w:fill="FFFFFF"/>
            <w:noWrap/>
            <w:vAlign w:val="center"/>
          </w:tcPr>
          <w:p w14:paraId="455C3F98">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资产管理</w:t>
            </w:r>
          </w:p>
        </w:tc>
        <w:tc>
          <w:tcPr>
            <w:tcW w:w="131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72D5D4">
            <w:pPr>
              <w:jc w:val="center"/>
              <w:rPr>
                <w:rFonts w:hint="eastAsia" w:ascii="宋体" w:hAnsi="宋体" w:eastAsia="宋体" w:cs="宋体"/>
                <w:i w:val="0"/>
                <w:iCs w:val="0"/>
                <w:color w:val="333333"/>
                <w:sz w:val="20"/>
                <w:szCs w:val="20"/>
                <w:u w:val="none"/>
              </w:rPr>
            </w:pPr>
          </w:p>
        </w:tc>
        <w:tc>
          <w:tcPr>
            <w:tcW w:w="87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92F096">
            <w:pPr>
              <w:jc w:val="center"/>
              <w:rPr>
                <w:rFonts w:hint="eastAsia" w:ascii="宋体" w:hAnsi="宋体" w:eastAsia="宋体" w:cs="宋体"/>
                <w:i w:val="0"/>
                <w:iCs w:val="0"/>
                <w:color w:val="333333"/>
                <w:sz w:val="20"/>
                <w:szCs w:val="20"/>
                <w:u w:val="none"/>
              </w:rPr>
            </w:pPr>
          </w:p>
        </w:tc>
        <w:tc>
          <w:tcPr>
            <w:tcW w:w="8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639A6F">
            <w:pPr>
              <w:jc w:val="center"/>
              <w:rPr>
                <w:rFonts w:hint="eastAsia" w:ascii="宋体" w:hAnsi="宋体" w:eastAsia="宋体" w:cs="宋体"/>
                <w:i w:val="0"/>
                <w:iCs w:val="0"/>
                <w:color w:val="333333"/>
                <w:sz w:val="20"/>
                <w:szCs w:val="20"/>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977B35">
            <w:pPr>
              <w:jc w:val="center"/>
              <w:rPr>
                <w:rFonts w:hint="eastAsia" w:ascii="宋体" w:hAnsi="宋体" w:eastAsia="宋体" w:cs="宋体"/>
                <w:i w:val="0"/>
                <w:iCs w:val="0"/>
                <w:color w:val="333333"/>
                <w:sz w:val="20"/>
                <w:szCs w:val="20"/>
                <w:u w:val="none"/>
              </w:rPr>
            </w:pPr>
          </w:p>
        </w:tc>
      </w:tr>
      <w:tr w14:paraId="1EC919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trPr>
        <w:tc>
          <w:tcPr>
            <w:tcW w:w="867" w:type="pct"/>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BA5F53">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产出指标</w:t>
            </w:r>
          </w:p>
        </w:tc>
        <w:tc>
          <w:tcPr>
            <w:tcW w:w="624" w:type="pct"/>
            <w:gridSpan w:val="2"/>
            <w:vMerge w:val="restart"/>
            <w:tcBorders>
              <w:top w:val="single" w:color="000000" w:sz="4" w:space="0"/>
              <w:left w:val="single" w:color="000000" w:sz="4" w:space="0"/>
              <w:bottom w:val="single" w:color="000000" w:sz="4" w:space="0"/>
              <w:right w:val="nil"/>
            </w:tcBorders>
            <w:shd w:val="clear" w:color="auto" w:fill="FFFFFF"/>
            <w:noWrap/>
            <w:vAlign w:val="center"/>
          </w:tcPr>
          <w:p w14:paraId="3AB74550">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数量指标</w:t>
            </w:r>
          </w:p>
        </w:tc>
        <w:tc>
          <w:tcPr>
            <w:tcW w:w="131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934118">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开展科普宣传活动</w:t>
            </w:r>
          </w:p>
        </w:tc>
        <w:tc>
          <w:tcPr>
            <w:tcW w:w="87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AA5E0E">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6场次</w:t>
            </w:r>
          </w:p>
        </w:tc>
        <w:tc>
          <w:tcPr>
            <w:tcW w:w="8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318A6F">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6场次</w:t>
            </w:r>
          </w:p>
        </w:tc>
        <w:tc>
          <w:tcPr>
            <w:tcW w:w="50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DF846B">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r w14:paraId="779C53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trPr>
        <w:tc>
          <w:tcPr>
            <w:tcW w:w="867"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B96C7D">
            <w:pPr>
              <w:jc w:val="center"/>
              <w:rPr>
                <w:rFonts w:hint="eastAsia" w:ascii="宋体" w:hAnsi="宋体" w:eastAsia="宋体" w:cs="宋体"/>
                <w:i w:val="0"/>
                <w:iCs w:val="0"/>
                <w:color w:val="333333"/>
                <w:sz w:val="20"/>
                <w:szCs w:val="20"/>
                <w:u w:val="none"/>
              </w:rPr>
            </w:pPr>
          </w:p>
        </w:tc>
        <w:tc>
          <w:tcPr>
            <w:tcW w:w="624" w:type="pct"/>
            <w:gridSpan w:val="2"/>
            <w:vMerge w:val="continue"/>
            <w:tcBorders>
              <w:top w:val="single" w:color="000000" w:sz="4" w:space="0"/>
              <w:left w:val="single" w:color="000000" w:sz="4" w:space="0"/>
              <w:bottom w:val="single" w:color="000000" w:sz="4" w:space="0"/>
              <w:right w:val="nil"/>
            </w:tcBorders>
            <w:shd w:val="clear" w:color="auto" w:fill="FFFFFF"/>
            <w:noWrap/>
            <w:vAlign w:val="center"/>
          </w:tcPr>
          <w:p w14:paraId="75F3FE35">
            <w:pPr>
              <w:jc w:val="center"/>
              <w:rPr>
                <w:rFonts w:hint="eastAsia" w:ascii="宋体" w:hAnsi="宋体" w:eastAsia="宋体" w:cs="宋体"/>
                <w:i w:val="0"/>
                <w:iCs w:val="0"/>
                <w:color w:val="333333"/>
                <w:sz w:val="20"/>
                <w:szCs w:val="20"/>
                <w:u w:val="none"/>
              </w:rPr>
            </w:pPr>
          </w:p>
        </w:tc>
        <w:tc>
          <w:tcPr>
            <w:tcW w:w="131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835A6E">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推广种植业新品种</w:t>
            </w:r>
          </w:p>
        </w:tc>
        <w:tc>
          <w:tcPr>
            <w:tcW w:w="87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68C58E">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6种</w:t>
            </w:r>
          </w:p>
        </w:tc>
        <w:tc>
          <w:tcPr>
            <w:tcW w:w="8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16230B">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6种</w:t>
            </w:r>
          </w:p>
        </w:tc>
        <w:tc>
          <w:tcPr>
            <w:tcW w:w="50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06BD86">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r w14:paraId="254436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trPr>
        <w:tc>
          <w:tcPr>
            <w:tcW w:w="867"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592B86">
            <w:pPr>
              <w:jc w:val="center"/>
              <w:rPr>
                <w:rFonts w:hint="eastAsia" w:ascii="宋体" w:hAnsi="宋体" w:eastAsia="宋体" w:cs="宋体"/>
                <w:i w:val="0"/>
                <w:iCs w:val="0"/>
                <w:color w:val="333333"/>
                <w:sz w:val="20"/>
                <w:szCs w:val="20"/>
                <w:u w:val="none"/>
              </w:rPr>
            </w:pPr>
          </w:p>
        </w:tc>
        <w:tc>
          <w:tcPr>
            <w:tcW w:w="624" w:type="pct"/>
            <w:gridSpan w:val="2"/>
            <w:vMerge w:val="continue"/>
            <w:tcBorders>
              <w:top w:val="single" w:color="000000" w:sz="4" w:space="0"/>
              <w:left w:val="single" w:color="000000" w:sz="4" w:space="0"/>
              <w:bottom w:val="single" w:color="000000" w:sz="4" w:space="0"/>
              <w:right w:val="nil"/>
            </w:tcBorders>
            <w:shd w:val="clear" w:color="auto" w:fill="FFFFFF"/>
            <w:noWrap/>
            <w:vAlign w:val="center"/>
          </w:tcPr>
          <w:p w14:paraId="7451E132">
            <w:pPr>
              <w:jc w:val="center"/>
              <w:rPr>
                <w:rFonts w:hint="eastAsia" w:ascii="宋体" w:hAnsi="宋体" w:eastAsia="宋体" w:cs="宋体"/>
                <w:i w:val="0"/>
                <w:iCs w:val="0"/>
                <w:color w:val="333333"/>
                <w:sz w:val="20"/>
                <w:szCs w:val="20"/>
                <w:u w:val="none"/>
              </w:rPr>
            </w:pPr>
          </w:p>
        </w:tc>
        <w:tc>
          <w:tcPr>
            <w:tcW w:w="131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FE857C">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维护科普设备</w:t>
            </w:r>
          </w:p>
        </w:tc>
        <w:tc>
          <w:tcPr>
            <w:tcW w:w="87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7D8090">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2种</w:t>
            </w:r>
          </w:p>
        </w:tc>
        <w:tc>
          <w:tcPr>
            <w:tcW w:w="8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0B0DCD">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2种</w:t>
            </w:r>
          </w:p>
        </w:tc>
        <w:tc>
          <w:tcPr>
            <w:tcW w:w="50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F88194">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r w14:paraId="185377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trPr>
        <w:tc>
          <w:tcPr>
            <w:tcW w:w="867"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5A004B">
            <w:pPr>
              <w:jc w:val="center"/>
              <w:rPr>
                <w:rFonts w:hint="eastAsia" w:ascii="宋体" w:hAnsi="宋体" w:eastAsia="宋体" w:cs="宋体"/>
                <w:i w:val="0"/>
                <w:iCs w:val="0"/>
                <w:color w:val="333333"/>
                <w:sz w:val="20"/>
                <w:szCs w:val="20"/>
                <w:u w:val="none"/>
              </w:rPr>
            </w:pPr>
          </w:p>
        </w:tc>
        <w:tc>
          <w:tcPr>
            <w:tcW w:w="624" w:type="pct"/>
            <w:gridSpan w:val="2"/>
            <w:vMerge w:val="restart"/>
            <w:tcBorders>
              <w:top w:val="single" w:color="000000" w:sz="4" w:space="0"/>
              <w:left w:val="single" w:color="000000" w:sz="4" w:space="0"/>
              <w:bottom w:val="single" w:color="000000" w:sz="4" w:space="0"/>
              <w:right w:val="nil"/>
            </w:tcBorders>
            <w:shd w:val="clear" w:color="auto" w:fill="FFFFFF"/>
            <w:noWrap/>
            <w:vAlign w:val="center"/>
          </w:tcPr>
          <w:p w14:paraId="671C54A8">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质量指标</w:t>
            </w:r>
          </w:p>
        </w:tc>
        <w:tc>
          <w:tcPr>
            <w:tcW w:w="131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FDFBE9">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开展科普宣传活动</w:t>
            </w:r>
          </w:p>
        </w:tc>
        <w:tc>
          <w:tcPr>
            <w:tcW w:w="87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A68164">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高质量完成</w:t>
            </w:r>
          </w:p>
        </w:tc>
        <w:tc>
          <w:tcPr>
            <w:tcW w:w="8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8CC94A">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高质量完成</w:t>
            </w:r>
          </w:p>
        </w:tc>
        <w:tc>
          <w:tcPr>
            <w:tcW w:w="50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0F1AB2">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r w14:paraId="2FDE79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trPr>
        <w:tc>
          <w:tcPr>
            <w:tcW w:w="867"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6269AD">
            <w:pPr>
              <w:jc w:val="center"/>
              <w:rPr>
                <w:rFonts w:hint="eastAsia" w:ascii="宋体" w:hAnsi="宋体" w:eastAsia="宋体" w:cs="宋体"/>
                <w:i w:val="0"/>
                <w:iCs w:val="0"/>
                <w:color w:val="333333"/>
                <w:sz w:val="20"/>
                <w:szCs w:val="20"/>
                <w:u w:val="none"/>
              </w:rPr>
            </w:pPr>
          </w:p>
        </w:tc>
        <w:tc>
          <w:tcPr>
            <w:tcW w:w="624" w:type="pct"/>
            <w:gridSpan w:val="2"/>
            <w:vMerge w:val="continue"/>
            <w:tcBorders>
              <w:top w:val="single" w:color="000000" w:sz="4" w:space="0"/>
              <w:left w:val="single" w:color="000000" w:sz="4" w:space="0"/>
              <w:bottom w:val="single" w:color="000000" w:sz="4" w:space="0"/>
              <w:right w:val="nil"/>
            </w:tcBorders>
            <w:shd w:val="clear" w:color="auto" w:fill="FFFFFF"/>
            <w:noWrap/>
            <w:vAlign w:val="center"/>
          </w:tcPr>
          <w:p w14:paraId="56F352B9">
            <w:pPr>
              <w:jc w:val="center"/>
              <w:rPr>
                <w:rFonts w:hint="eastAsia" w:ascii="宋体" w:hAnsi="宋体" w:eastAsia="宋体" w:cs="宋体"/>
                <w:i w:val="0"/>
                <w:iCs w:val="0"/>
                <w:color w:val="333333"/>
                <w:sz w:val="20"/>
                <w:szCs w:val="20"/>
                <w:u w:val="none"/>
              </w:rPr>
            </w:pPr>
          </w:p>
        </w:tc>
        <w:tc>
          <w:tcPr>
            <w:tcW w:w="131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033CC6">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推广种植业新品种</w:t>
            </w:r>
          </w:p>
        </w:tc>
        <w:tc>
          <w:tcPr>
            <w:tcW w:w="87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5FF1DC">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高质量完成</w:t>
            </w:r>
          </w:p>
        </w:tc>
        <w:tc>
          <w:tcPr>
            <w:tcW w:w="8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1574CA">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高质量完成</w:t>
            </w:r>
          </w:p>
        </w:tc>
        <w:tc>
          <w:tcPr>
            <w:tcW w:w="50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EF4BCA">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r w14:paraId="4A2551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trPr>
        <w:tc>
          <w:tcPr>
            <w:tcW w:w="867"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8DC89C">
            <w:pPr>
              <w:jc w:val="center"/>
              <w:rPr>
                <w:rFonts w:hint="eastAsia" w:ascii="宋体" w:hAnsi="宋体" w:eastAsia="宋体" w:cs="宋体"/>
                <w:i w:val="0"/>
                <w:iCs w:val="0"/>
                <w:color w:val="333333"/>
                <w:sz w:val="20"/>
                <w:szCs w:val="20"/>
                <w:u w:val="none"/>
              </w:rPr>
            </w:pPr>
          </w:p>
        </w:tc>
        <w:tc>
          <w:tcPr>
            <w:tcW w:w="624" w:type="pct"/>
            <w:gridSpan w:val="2"/>
            <w:vMerge w:val="continue"/>
            <w:tcBorders>
              <w:top w:val="single" w:color="000000" w:sz="4" w:space="0"/>
              <w:left w:val="single" w:color="000000" w:sz="4" w:space="0"/>
              <w:bottom w:val="single" w:color="000000" w:sz="4" w:space="0"/>
              <w:right w:val="nil"/>
            </w:tcBorders>
            <w:shd w:val="clear" w:color="auto" w:fill="FFFFFF"/>
            <w:noWrap/>
            <w:vAlign w:val="center"/>
          </w:tcPr>
          <w:p w14:paraId="36B32E23">
            <w:pPr>
              <w:jc w:val="center"/>
              <w:rPr>
                <w:rFonts w:hint="eastAsia" w:ascii="宋体" w:hAnsi="宋体" w:eastAsia="宋体" w:cs="宋体"/>
                <w:i w:val="0"/>
                <w:iCs w:val="0"/>
                <w:color w:val="333333"/>
                <w:sz w:val="20"/>
                <w:szCs w:val="20"/>
                <w:u w:val="none"/>
              </w:rPr>
            </w:pPr>
          </w:p>
        </w:tc>
        <w:tc>
          <w:tcPr>
            <w:tcW w:w="131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6053B1">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维护科普设备</w:t>
            </w:r>
          </w:p>
        </w:tc>
        <w:tc>
          <w:tcPr>
            <w:tcW w:w="87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EC629E">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高质量完成</w:t>
            </w:r>
          </w:p>
        </w:tc>
        <w:tc>
          <w:tcPr>
            <w:tcW w:w="8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4D7516">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高质量完成</w:t>
            </w:r>
          </w:p>
        </w:tc>
        <w:tc>
          <w:tcPr>
            <w:tcW w:w="50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E802BC">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r w14:paraId="1E575F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trPr>
        <w:tc>
          <w:tcPr>
            <w:tcW w:w="867"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75637D">
            <w:pPr>
              <w:jc w:val="center"/>
              <w:rPr>
                <w:rFonts w:hint="eastAsia" w:ascii="宋体" w:hAnsi="宋体" w:eastAsia="宋体" w:cs="宋体"/>
                <w:i w:val="0"/>
                <w:iCs w:val="0"/>
                <w:color w:val="333333"/>
                <w:sz w:val="20"/>
                <w:szCs w:val="20"/>
                <w:u w:val="none"/>
              </w:rPr>
            </w:pPr>
          </w:p>
        </w:tc>
        <w:tc>
          <w:tcPr>
            <w:tcW w:w="624" w:type="pct"/>
            <w:gridSpan w:val="2"/>
            <w:tcBorders>
              <w:top w:val="single" w:color="000000" w:sz="4" w:space="0"/>
              <w:left w:val="single" w:color="000000" w:sz="4" w:space="0"/>
              <w:bottom w:val="single" w:color="000000" w:sz="4" w:space="0"/>
              <w:right w:val="nil"/>
            </w:tcBorders>
            <w:shd w:val="clear" w:color="auto" w:fill="FFFFFF"/>
            <w:noWrap/>
            <w:vAlign w:val="center"/>
          </w:tcPr>
          <w:p w14:paraId="1F872A0B">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时效指标</w:t>
            </w:r>
          </w:p>
        </w:tc>
        <w:tc>
          <w:tcPr>
            <w:tcW w:w="131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FC248A">
            <w:pPr>
              <w:jc w:val="center"/>
              <w:rPr>
                <w:rFonts w:hint="eastAsia" w:ascii="宋体" w:hAnsi="宋体" w:eastAsia="宋体" w:cs="宋体"/>
                <w:i w:val="0"/>
                <w:iCs w:val="0"/>
                <w:color w:val="333333"/>
                <w:sz w:val="20"/>
                <w:szCs w:val="20"/>
                <w:u w:val="none"/>
              </w:rPr>
            </w:pPr>
          </w:p>
        </w:tc>
        <w:tc>
          <w:tcPr>
            <w:tcW w:w="87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8DCB08">
            <w:pPr>
              <w:jc w:val="center"/>
              <w:rPr>
                <w:rFonts w:hint="eastAsia" w:ascii="宋体" w:hAnsi="宋体" w:eastAsia="宋体" w:cs="宋体"/>
                <w:i w:val="0"/>
                <w:iCs w:val="0"/>
                <w:color w:val="333333"/>
                <w:sz w:val="20"/>
                <w:szCs w:val="20"/>
                <w:u w:val="none"/>
              </w:rPr>
            </w:pPr>
          </w:p>
        </w:tc>
        <w:tc>
          <w:tcPr>
            <w:tcW w:w="8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C08721">
            <w:pPr>
              <w:jc w:val="center"/>
              <w:rPr>
                <w:rFonts w:hint="eastAsia" w:ascii="宋体" w:hAnsi="宋体" w:eastAsia="宋体" w:cs="宋体"/>
                <w:i w:val="0"/>
                <w:iCs w:val="0"/>
                <w:color w:val="333333"/>
                <w:sz w:val="20"/>
                <w:szCs w:val="20"/>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20778E">
            <w:pPr>
              <w:jc w:val="center"/>
              <w:rPr>
                <w:rFonts w:hint="eastAsia" w:ascii="宋体" w:hAnsi="宋体" w:eastAsia="宋体" w:cs="宋体"/>
                <w:i w:val="0"/>
                <w:iCs w:val="0"/>
                <w:color w:val="333333"/>
                <w:sz w:val="20"/>
                <w:szCs w:val="20"/>
                <w:u w:val="none"/>
              </w:rPr>
            </w:pPr>
          </w:p>
        </w:tc>
      </w:tr>
      <w:tr w14:paraId="009843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867"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345692">
            <w:pPr>
              <w:jc w:val="center"/>
              <w:rPr>
                <w:rFonts w:hint="eastAsia" w:ascii="宋体" w:hAnsi="宋体" w:eastAsia="宋体" w:cs="宋体"/>
                <w:i w:val="0"/>
                <w:iCs w:val="0"/>
                <w:color w:val="333333"/>
                <w:sz w:val="20"/>
                <w:szCs w:val="20"/>
                <w:u w:val="none"/>
              </w:rPr>
            </w:pPr>
          </w:p>
        </w:tc>
        <w:tc>
          <w:tcPr>
            <w:tcW w:w="624" w:type="pct"/>
            <w:gridSpan w:val="2"/>
            <w:tcBorders>
              <w:top w:val="single" w:color="000000" w:sz="4" w:space="0"/>
              <w:left w:val="single" w:color="000000" w:sz="4" w:space="0"/>
              <w:bottom w:val="single" w:color="000000" w:sz="4" w:space="0"/>
              <w:right w:val="nil"/>
            </w:tcBorders>
            <w:shd w:val="clear" w:color="auto" w:fill="FFFFFF"/>
            <w:noWrap/>
            <w:vAlign w:val="center"/>
          </w:tcPr>
          <w:p w14:paraId="4D0000F5">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成本指标</w:t>
            </w:r>
          </w:p>
        </w:tc>
        <w:tc>
          <w:tcPr>
            <w:tcW w:w="131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F27B684">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开展科普宣传活动、新品种推广、科普设备维护</w:t>
            </w:r>
          </w:p>
        </w:tc>
        <w:tc>
          <w:tcPr>
            <w:tcW w:w="87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44A02B">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15万元</w:t>
            </w:r>
          </w:p>
        </w:tc>
        <w:tc>
          <w:tcPr>
            <w:tcW w:w="8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89F1D1">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14.99万元</w:t>
            </w:r>
          </w:p>
        </w:tc>
        <w:tc>
          <w:tcPr>
            <w:tcW w:w="50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3689E7">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99.99%</w:t>
            </w:r>
          </w:p>
        </w:tc>
      </w:tr>
      <w:tr w14:paraId="2DA052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trPr>
        <w:tc>
          <w:tcPr>
            <w:tcW w:w="867" w:type="pct"/>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8319E5">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效益指标</w:t>
            </w:r>
          </w:p>
        </w:tc>
        <w:tc>
          <w:tcPr>
            <w:tcW w:w="624" w:type="pct"/>
            <w:gridSpan w:val="2"/>
            <w:tcBorders>
              <w:top w:val="single" w:color="000000" w:sz="4" w:space="0"/>
              <w:left w:val="single" w:color="000000" w:sz="4" w:space="0"/>
              <w:bottom w:val="single" w:color="000000" w:sz="4" w:space="0"/>
              <w:right w:val="nil"/>
            </w:tcBorders>
            <w:shd w:val="clear" w:color="auto" w:fill="FFFFFF"/>
            <w:noWrap/>
            <w:vAlign w:val="center"/>
          </w:tcPr>
          <w:p w14:paraId="60680074">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经济效益指标</w:t>
            </w:r>
          </w:p>
        </w:tc>
        <w:tc>
          <w:tcPr>
            <w:tcW w:w="131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BCD8D2">
            <w:pPr>
              <w:jc w:val="center"/>
              <w:rPr>
                <w:rFonts w:hint="eastAsia" w:ascii="宋体" w:hAnsi="宋体" w:eastAsia="宋体" w:cs="宋体"/>
                <w:i w:val="0"/>
                <w:iCs w:val="0"/>
                <w:color w:val="333333"/>
                <w:sz w:val="20"/>
                <w:szCs w:val="20"/>
                <w:u w:val="none"/>
              </w:rPr>
            </w:pPr>
          </w:p>
        </w:tc>
        <w:tc>
          <w:tcPr>
            <w:tcW w:w="87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35D06B">
            <w:pPr>
              <w:jc w:val="center"/>
              <w:rPr>
                <w:rFonts w:hint="eastAsia" w:ascii="宋体" w:hAnsi="宋体" w:eastAsia="宋体" w:cs="宋体"/>
                <w:i w:val="0"/>
                <w:iCs w:val="0"/>
                <w:color w:val="333333"/>
                <w:sz w:val="20"/>
                <w:szCs w:val="20"/>
                <w:u w:val="none"/>
              </w:rPr>
            </w:pPr>
          </w:p>
        </w:tc>
        <w:tc>
          <w:tcPr>
            <w:tcW w:w="8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2159A1">
            <w:pPr>
              <w:jc w:val="center"/>
              <w:rPr>
                <w:rFonts w:hint="eastAsia" w:ascii="宋体" w:hAnsi="宋体" w:eastAsia="宋体" w:cs="宋体"/>
                <w:i w:val="0"/>
                <w:iCs w:val="0"/>
                <w:color w:val="333333"/>
                <w:sz w:val="20"/>
                <w:szCs w:val="20"/>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438807">
            <w:pPr>
              <w:jc w:val="center"/>
              <w:rPr>
                <w:rFonts w:hint="eastAsia" w:ascii="宋体" w:hAnsi="宋体" w:eastAsia="宋体" w:cs="宋体"/>
                <w:i w:val="0"/>
                <w:iCs w:val="0"/>
                <w:color w:val="333333"/>
                <w:sz w:val="20"/>
                <w:szCs w:val="20"/>
                <w:u w:val="none"/>
              </w:rPr>
            </w:pPr>
          </w:p>
        </w:tc>
      </w:tr>
      <w:tr w14:paraId="53BCB2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trPr>
        <w:tc>
          <w:tcPr>
            <w:tcW w:w="867"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27FC70">
            <w:pPr>
              <w:jc w:val="center"/>
              <w:rPr>
                <w:rFonts w:hint="eastAsia" w:ascii="宋体" w:hAnsi="宋体" w:eastAsia="宋体" w:cs="宋体"/>
                <w:i w:val="0"/>
                <w:iCs w:val="0"/>
                <w:color w:val="333333"/>
                <w:sz w:val="20"/>
                <w:szCs w:val="20"/>
                <w:u w:val="none"/>
              </w:rPr>
            </w:pPr>
          </w:p>
        </w:tc>
        <w:tc>
          <w:tcPr>
            <w:tcW w:w="624" w:type="pct"/>
            <w:gridSpan w:val="2"/>
            <w:tcBorders>
              <w:top w:val="single" w:color="000000" w:sz="4" w:space="0"/>
              <w:left w:val="single" w:color="000000" w:sz="4" w:space="0"/>
              <w:bottom w:val="single" w:color="000000" w:sz="4" w:space="0"/>
              <w:right w:val="nil"/>
            </w:tcBorders>
            <w:shd w:val="clear" w:color="auto" w:fill="FFFFFF"/>
            <w:noWrap/>
            <w:vAlign w:val="center"/>
          </w:tcPr>
          <w:p w14:paraId="301E266E">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社会效益指标</w:t>
            </w:r>
          </w:p>
        </w:tc>
        <w:tc>
          <w:tcPr>
            <w:tcW w:w="1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B1672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提高群众科普常识水平</w:t>
            </w:r>
          </w:p>
        </w:tc>
        <w:tc>
          <w:tcPr>
            <w:tcW w:w="8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7FF5A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长期影响</w:t>
            </w:r>
          </w:p>
        </w:tc>
        <w:tc>
          <w:tcPr>
            <w:tcW w:w="8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CA0A5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长期影响</w:t>
            </w:r>
          </w:p>
        </w:tc>
        <w:tc>
          <w:tcPr>
            <w:tcW w:w="50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6D2598">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r w14:paraId="0A63BD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trPr>
        <w:tc>
          <w:tcPr>
            <w:tcW w:w="867"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DEAA7D">
            <w:pPr>
              <w:jc w:val="center"/>
              <w:rPr>
                <w:rFonts w:hint="eastAsia" w:ascii="宋体" w:hAnsi="宋体" w:eastAsia="宋体" w:cs="宋体"/>
                <w:i w:val="0"/>
                <w:iCs w:val="0"/>
                <w:color w:val="333333"/>
                <w:sz w:val="20"/>
                <w:szCs w:val="20"/>
                <w:u w:val="none"/>
              </w:rPr>
            </w:pPr>
          </w:p>
        </w:tc>
        <w:tc>
          <w:tcPr>
            <w:tcW w:w="624" w:type="pct"/>
            <w:gridSpan w:val="2"/>
            <w:tcBorders>
              <w:top w:val="single" w:color="000000" w:sz="4" w:space="0"/>
              <w:left w:val="single" w:color="000000" w:sz="4" w:space="0"/>
              <w:bottom w:val="single" w:color="000000" w:sz="4" w:space="0"/>
              <w:right w:val="nil"/>
            </w:tcBorders>
            <w:shd w:val="clear" w:color="auto" w:fill="FFFFFF"/>
            <w:noWrap/>
            <w:vAlign w:val="center"/>
          </w:tcPr>
          <w:p w14:paraId="623C1352">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生态效益指标</w:t>
            </w:r>
          </w:p>
        </w:tc>
        <w:tc>
          <w:tcPr>
            <w:tcW w:w="131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A0FA6B">
            <w:pPr>
              <w:jc w:val="center"/>
              <w:rPr>
                <w:rFonts w:hint="eastAsia" w:ascii="宋体" w:hAnsi="宋体" w:eastAsia="宋体" w:cs="宋体"/>
                <w:i w:val="0"/>
                <w:iCs w:val="0"/>
                <w:color w:val="333333"/>
                <w:sz w:val="20"/>
                <w:szCs w:val="20"/>
                <w:u w:val="none"/>
              </w:rPr>
            </w:pPr>
          </w:p>
        </w:tc>
        <w:tc>
          <w:tcPr>
            <w:tcW w:w="87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56D342">
            <w:pPr>
              <w:jc w:val="center"/>
              <w:rPr>
                <w:rFonts w:hint="eastAsia" w:ascii="宋体" w:hAnsi="宋体" w:eastAsia="宋体" w:cs="宋体"/>
                <w:i w:val="0"/>
                <w:iCs w:val="0"/>
                <w:color w:val="333333"/>
                <w:sz w:val="20"/>
                <w:szCs w:val="20"/>
                <w:u w:val="none"/>
              </w:rPr>
            </w:pPr>
          </w:p>
        </w:tc>
        <w:tc>
          <w:tcPr>
            <w:tcW w:w="8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FC7D1F">
            <w:pPr>
              <w:jc w:val="center"/>
              <w:rPr>
                <w:rFonts w:hint="eastAsia" w:ascii="宋体" w:hAnsi="宋体" w:eastAsia="宋体" w:cs="宋体"/>
                <w:i w:val="0"/>
                <w:iCs w:val="0"/>
                <w:color w:val="333333"/>
                <w:sz w:val="20"/>
                <w:szCs w:val="20"/>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AD91C9">
            <w:pPr>
              <w:jc w:val="center"/>
              <w:rPr>
                <w:rFonts w:hint="eastAsia" w:ascii="宋体" w:hAnsi="宋体" w:eastAsia="宋体" w:cs="宋体"/>
                <w:i w:val="0"/>
                <w:iCs w:val="0"/>
                <w:color w:val="333333"/>
                <w:sz w:val="20"/>
                <w:szCs w:val="20"/>
                <w:u w:val="none"/>
              </w:rPr>
            </w:pPr>
          </w:p>
        </w:tc>
      </w:tr>
      <w:tr w14:paraId="2F787C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trPr>
        <w:tc>
          <w:tcPr>
            <w:tcW w:w="867"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EB8F84">
            <w:pPr>
              <w:jc w:val="center"/>
              <w:rPr>
                <w:rFonts w:hint="eastAsia" w:ascii="宋体" w:hAnsi="宋体" w:eastAsia="宋体" w:cs="宋体"/>
                <w:i w:val="0"/>
                <w:iCs w:val="0"/>
                <w:color w:val="333333"/>
                <w:sz w:val="20"/>
                <w:szCs w:val="20"/>
                <w:u w:val="none"/>
              </w:rPr>
            </w:pPr>
          </w:p>
        </w:tc>
        <w:tc>
          <w:tcPr>
            <w:tcW w:w="624" w:type="pct"/>
            <w:gridSpan w:val="2"/>
            <w:tcBorders>
              <w:top w:val="single" w:color="000000" w:sz="4" w:space="0"/>
              <w:left w:val="single" w:color="000000" w:sz="4" w:space="0"/>
              <w:bottom w:val="single" w:color="000000" w:sz="4" w:space="0"/>
              <w:right w:val="nil"/>
            </w:tcBorders>
            <w:shd w:val="clear" w:color="auto" w:fill="FFFFFF"/>
            <w:noWrap/>
            <w:vAlign w:val="center"/>
          </w:tcPr>
          <w:p w14:paraId="477B4716">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可持续影响指标</w:t>
            </w:r>
          </w:p>
        </w:tc>
        <w:tc>
          <w:tcPr>
            <w:tcW w:w="131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AFDBDE">
            <w:pPr>
              <w:jc w:val="center"/>
              <w:rPr>
                <w:rFonts w:hint="eastAsia" w:ascii="宋体" w:hAnsi="宋体" w:eastAsia="宋体" w:cs="宋体"/>
                <w:i w:val="0"/>
                <w:iCs w:val="0"/>
                <w:color w:val="333333"/>
                <w:sz w:val="20"/>
                <w:szCs w:val="20"/>
                <w:u w:val="none"/>
              </w:rPr>
            </w:pPr>
          </w:p>
        </w:tc>
        <w:tc>
          <w:tcPr>
            <w:tcW w:w="87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B61680">
            <w:pPr>
              <w:jc w:val="center"/>
              <w:rPr>
                <w:rFonts w:hint="eastAsia" w:ascii="宋体" w:hAnsi="宋体" w:eastAsia="宋体" w:cs="宋体"/>
                <w:i w:val="0"/>
                <w:iCs w:val="0"/>
                <w:color w:val="333333"/>
                <w:sz w:val="20"/>
                <w:szCs w:val="20"/>
                <w:u w:val="none"/>
              </w:rPr>
            </w:pPr>
          </w:p>
        </w:tc>
        <w:tc>
          <w:tcPr>
            <w:tcW w:w="8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514515">
            <w:pPr>
              <w:jc w:val="center"/>
              <w:rPr>
                <w:rFonts w:hint="eastAsia" w:ascii="宋体" w:hAnsi="宋体" w:eastAsia="宋体" w:cs="宋体"/>
                <w:i w:val="0"/>
                <w:iCs w:val="0"/>
                <w:color w:val="333333"/>
                <w:sz w:val="20"/>
                <w:szCs w:val="20"/>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326967">
            <w:pPr>
              <w:jc w:val="center"/>
              <w:rPr>
                <w:rFonts w:hint="eastAsia" w:ascii="宋体" w:hAnsi="宋体" w:eastAsia="宋体" w:cs="宋体"/>
                <w:i w:val="0"/>
                <w:iCs w:val="0"/>
                <w:color w:val="333333"/>
                <w:sz w:val="20"/>
                <w:szCs w:val="20"/>
                <w:u w:val="none"/>
              </w:rPr>
            </w:pPr>
          </w:p>
        </w:tc>
      </w:tr>
      <w:tr w14:paraId="37E4ED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trPr>
        <w:tc>
          <w:tcPr>
            <w:tcW w:w="86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FF36AF">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满意度指标</w:t>
            </w:r>
          </w:p>
        </w:tc>
        <w:tc>
          <w:tcPr>
            <w:tcW w:w="624" w:type="pct"/>
            <w:gridSpan w:val="2"/>
            <w:tcBorders>
              <w:top w:val="single" w:color="000000" w:sz="4" w:space="0"/>
              <w:left w:val="single" w:color="000000" w:sz="4" w:space="0"/>
              <w:bottom w:val="single" w:color="000000" w:sz="4" w:space="0"/>
              <w:right w:val="nil"/>
            </w:tcBorders>
            <w:shd w:val="clear" w:color="auto" w:fill="FFFFFF"/>
            <w:noWrap/>
            <w:vAlign w:val="center"/>
          </w:tcPr>
          <w:p w14:paraId="6C5EB858">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满意度指标</w:t>
            </w:r>
          </w:p>
        </w:tc>
        <w:tc>
          <w:tcPr>
            <w:tcW w:w="131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417443">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服务对象满意度</w:t>
            </w:r>
          </w:p>
        </w:tc>
        <w:tc>
          <w:tcPr>
            <w:tcW w:w="87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166E91">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95%</w:t>
            </w:r>
          </w:p>
        </w:tc>
        <w:tc>
          <w:tcPr>
            <w:tcW w:w="8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5A70BA">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95%</w:t>
            </w:r>
          </w:p>
        </w:tc>
        <w:tc>
          <w:tcPr>
            <w:tcW w:w="50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424407">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bl>
    <w:p w14:paraId="61BFACC8">
      <w:pPr>
        <w:pStyle w:val="11"/>
        <w:rPr>
          <w:rFonts w:hint="eastAsia" w:ascii="黑体" w:hAnsi="黑体" w:eastAsia="黑体" w:cs="黑体"/>
          <w:color w:val="auto"/>
          <w:kern w:val="0"/>
          <w:sz w:val="32"/>
          <w:szCs w:val="32"/>
          <w:highlight w:val="none"/>
          <w:shd w:val="clear" w:color="auto" w:fill="FFFFFF"/>
          <w:lang w:val="zh-CN"/>
        </w:rPr>
        <w:sectPr>
          <w:pgSz w:w="11906" w:h="16838"/>
          <w:pgMar w:top="1440" w:right="1800" w:bottom="1440" w:left="1800" w:header="851" w:footer="992" w:gutter="0"/>
          <w:cols w:space="425" w:num="1"/>
          <w:titlePg/>
          <w:docGrid w:type="lines" w:linePitch="312" w:charSpace="0"/>
        </w:sectPr>
      </w:pPr>
    </w:p>
    <w:p w14:paraId="725ED265">
      <w:pPr>
        <w:pStyle w:val="11"/>
        <w:rPr>
          <w:rFonts w:hint="eastAsia" w:ascii="黑体" w:hAnsi="黑体" w:eastAsia="黑体" w:cs="黑体"/>
          <w:color w:val="auto"/>
          <w:sz w:val="32"/>
          <w:szCs w:val="32"/>
          <w:highlight w:val="none"/>
          <w:lang w:val="en-US" w:eastAsia="zh-CN"/>
        </w:rPr>
      </w:pPr>
      <w:r>
        <w:rPr>
          <w:rFonts w:hint="eastAsia" w:ascii="黑体" w:hAnsi="黑体" w:eastAsia="黑体" w:cs="黑体"/>
          <w:color w:val="auto"/>
          <w:kern w:val="0"/>
          <w:sz w:val="32"/>
          <w:szCs w:val="32"/>
          <w:highlight w:val="none"/>
          <w:shd w:val="clear" w:color="auto" w:fill="FFFFFF"/>
          <w:lang w:val="zh-CN"/>
        </w:rPr>
        <w:t>附件</w:t>
      </w:r>
      <w:r>
        <w:rPr>
          <w:rFonts w:hint="eastAsia" w:ascii="黑体" w:hAnsi="黑体" w:eastAsia="黑体" w:cs="黑体"/>
          <w:color w:val="auto"/>
          <w:kern w:val="0"/>
          <w:sz w:val="32"/>
          <w:szCs w:val="32"/>
          <w:highlight w:val="none"/>
          <w:shd w:val="clear" w:color="auto" w:fill="FFFFFF"/>
          <w:lang w:val="en-US" w:eastAsia="zh-CN"/>
        </w:rPr>
        <w:t>2</w:t>
      </w:r>
    </w:p>
    <w:p w14:paraId="22DE2BB9">
      <w:pPr>
        <w:pStyle w:val="38"/>
        <w:keepNext w:val="0"/>
        <w:keepLines w:val="0"/>
        <w:pageBreakBefore w:val="0"/>
        <w:widowControl w:val="0"/>
        <w:kinsoku/>
        <w:wordWrap/>
        <w:overflowPunct/>
        <w:topLinePunct w:val="0"/>
        <w:autoSpaceDE/>
        <w:autoSpaceDN/>
        <w:bidi w:val="0"/>
        <w:spacing w:line="578" w:lineRule="exact"/>
        <w:ind w:left="0" w:leftChars="0"/>
        <w:jc w:val="center"/>
        <w:textAlignment w:val="auto"/>
        <w:rPr>
          <w:rFonts w:hint="eastAsia" w:ascii="方正小标宋简体" w:hAnsi="方正小标宋简体" w:eastAsia="方正小标宋简体" w:cs="方正小标宋简体"/>
          <w:color w:val="auto"/>
          <w:kern w:val="2"/>
          <w:sz w:val="44"/>
          <w:szCs w:val="44"/>
          <w:highlight w:val="none"/>
          <w:lang w:val="en-US" w:eastAsia="zh-CN"/>
        </w:rPr>
      </w:pPr>
      <w:r>
        <w:rPr>
          <w:rFonts w:hint="eastAsia" w:ascii="方正小标宋简体" w:hAnsi="方正小标宋简体" w:eastAsia="方正小标宋简体" w:cs="方正小标宋简体"/>
          <w:color w:val="auto"/>
          <w:kern w:val="2"/>
          <w:sz w:val="44"/>
          <w:szCs w:val="44"/>
          <w:highlight w:val="none"/>
          <w:lang w:val="en-US" w:eastAsia="zh-CN"/>
        </w:rPr>
        <w:t>专项预算项目绩效评价报告</w:t>
      </w:r>
    </w:p>
    <w:p w14:paraId="32D98B86">
      <w:pPr>
        <w:ind w:firstLine="640" w:firstLineChars="200"/>
        <w:rPr>
          <w:rFonts w:hint="eastAsia" w:asciiTheme="minorEastAsia" w:hAnsiTheme="minorEastAsia" w:eastAsiaTheme="minorEastAsia"/>
          <w:sz w:val="32"/>
          <w:szCs w:val="32"/>
          <w:lang w:val="zh-CN"/>
        </w:rPr>
      </w:pPr>
    </w:p>
    <w:p w14:paraId="0154CBF7">
      <w:pPr>
        <w:widowControl/>
        <w:spacing w:line="580" w:lineRule="exact"/>
        <w:contextualSpacing/>
        <w:jc w:val="center"/>
        <w:rPr>
          <w:rFonts w:hint="eastAsia" w:ascii="方正小标宋简体" w:hAnsi="宋体" w:eastAsia="方正小标宋简体"/>
          <w:sz w:val="44"/>
          <w:szCs w:val="44"/>
          <w:shd w:val="clear" w:color="auto" w:fill="FFFFFF"/>
          <w:lang w:val="en-US" w:eastAsia="zh-CN"/>
        </w:rPr>
      </w:pPr>
      <w:r>
        <w:rPr>
          <w:rFonts w:hint="eastAsia" w:ascii="方正小标宋简体" w:hAnsi="宋体" w:eastAsia="方正小标宋简体"/>
          <w:sz w:val="44"/>
          <w:szCs w:val="44"/>
          <w:shd w:val="clear" w:color="auto" w:fill="FFFFFF"/>
          <w:lang w:val="en-US" w:eastAsia="zh-CN"/>
        </w:rPr>
        <w:t>峨边彝族自治县科学技术协会</w:t>
      </w:r>
    </w:p>
    <w:p w14:paraId="46E048D1">
      <w:pPr>
        <w:pStyle w:val="38"/>
        <w:spacing w:line="600" w:lineRule="exact"/>
        <w:jc w:val="center"/>
        <w:rPr>
          <w:rFonts w:ascii="仿宋_GB2312" w:hAnsi="宋体" w:eastAsia="仿宋_GB2312"/>
          <w:color w:val="auto"/>
          <w:kern w:val="2"/>
          <w:sz w:val="32"/>
          <w:szCs w:val="32"/>
        </w:rPr>
      </w:pPr>
      <w:r>
        <w:rPr>
          <w:rFonts w:hint="eastAsia" w:ascii="方正小标宋简体" w:hAnsi="宋体" w:eastAsia="方正小标宋简体"/>
          <w:sz w:val="44"/>
          <w:szCs w:val="44"/>
          <w:lang w:eastAsia="zh-CN"/>
        </w:rPr>
        <w:t>2023年科普宣传</w:t>
      </w:r>
      <w:r>
        <w:rPr>
          <w:rFonts w:hint="eastAsia" w:ascii="方正小标宋简体" w:hAnsi="宋体" w:eastAsia="方正小标宋简体"/>
          <w:sz w:val="44"/>
          <w:szCs w:val="44"/>
        </w:rPr>
        <w:t>项目支出绩效自评报告</w:t>
      </w:r>
    </w:p>
    <w:p w14:paraId="49BADC4D">
      <w:pPr>
        <w:pStyle w:val="38"/>
        <w:keepNext w:val="0"/>
        <w:keepLines w:val="0"/>
        <w:pageBreakBefore w:val="0"/>
        <w:widowControl w:val="0"/>
        <w:kinsoku/>
        <w:wordWrap/>
        <w:overflowPunct/>
        <w:topLinePunct w:val="0"/>
        <w:autoSpaceDE/>
        <w:autoSpaceDN/>
        <w:bidi w:val="0"/>
        <w:spacing w:line="560" w:lineRule="exact"/>
        <w:ind w:firstLine="640"/>
        <w:jc w:val="center"/>
        <w:textAlignment w:val="auto"/>
        <w:rPr>
          <w:rFonts w:ascii="宋体" w:hAnsi="宋体"/>
          <w:color w:val="auto"/>
          <w:kern w:val="2"/>
          <w:sz w:val="32"/>
          <w:szCs w:val="32"/>
        </w:rPr>
      </w:pPr>
    </w:p>
    <w:p w14:paraId="47D5A92A">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黑体" w:hAnsi="宋体" w:eastAsia="黑体"/>
          <w:sz w:val="32"/>
          <w:szCs w:val="32"/>
          <w:lang w:val="zh-CN"/>
        </w:rPr>
      </w:pPr>
      <w:r>
        <w:rPr>
          <w:rFonts w:hint="eastAsia" w:ascii="黑体" w:hAnsi="宋体" w:eastAsia="黑体"/>
          <w:sz w:val="32"/>
          <w:szCs w:val="32"/>
        </w:rPr>
        <w:t>一、</w:t>
      </w:r>
      <w:r>
        <w:rPr>
          <w:rFonts w:hint="eastAsia" w:ascii="黑体" w:hAnsi="宋体" w:eastAsia="黑体"/>
          <w:sz w:val="32"/>
          <w:szCs w:val="32"/>
          <w:lang w:val="zh-CN"/>
        </w:rPr>
        <w:t>项目概况</w:t>
      </w:r>
    </w:p>
    <w:p w14:paraId="45EFE833">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仿宋_GB2312" w:hAnsi="宋体"/>
          <w:sz w:val="32"/>
          <w:szCs w:val="32"/>
          <w:lang w:val="zh-CN"/>
        </w:rPr>
      </w:pPr>
      <w:r>
        <w:rPr>
          <w:rFonts w:hint="eastAsia" w:ascii="楷体_GB2312" w:hAnsi="宋体" w:eastAsia="楷体_GB2312"/>
          <w:b/>
          <w:sz w:val="32"/>
          <w:szCs w:val="32"/>
          <w:lang w:val="zh-CN"/>
        </w:rPr>
        <w:t>（一）项目资金申报及批复情况。</w:t>
      </w:r>
      <w:r>
        <w:rPr>
          <w:rFonts w:hint="eastAsia" w:ascii="仿宋_GB2312" w:hAnsi="宋体"/>
          <w:sz w:val="32"/>
          <w:szCs w:val="32"/>
          <w:lang w:val="zh-CN"/>
        </w:rPr>
        <w:t>前期经过调查符合项目实施条件及范围，项目申报符合实际。资金按照前期预算与实际情况相结合的原则进行申请批复。县科协对科普宣传项目按照实施进度及完成情况，项目实际发生金额向县财政申请资金，县财政资金审核下拨后，县科协按照财务规范和资金管理及时拨付。</w:t>
      </w:r>
    </w:p>
    <w:p w14:paraId="6637E389">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_GB2312" w:hAnsi="宋体"/>
          <w:sz w:val="32"/>
          <w:szCs w:val="32"/>
          <w:lang w:val="zh-CN"/>
        </w:rPr>
      </w:pPr>
      <w:r>
        <w:rPr>
          <w:rFonts w:hint="eastAsia" w:ascii="楷体_GB2312" w:hAnsi="宋体" w:eastAsia="楷体_GB2312"/>
          <w:b/>
          <w:sz w:val="32"/>
          <w:szCs w:val="32"/>
          <w:lang w:val="zh-CN"/>
        </w:rPr>
        <w:t>（二）项目绩效目标。</w:t>
      </w:r>
      <w:r>
        <w:rPr>
          <w:rFonts w:hint="eastAsia" w:ascii="仿宋_GB2312" w:hAnsi="宋体"/>
          <w:sz w:val="32"/>
          <w:szCs w:val="32"/>
          <w:lang w:val="zh-CN"/>
        </w:rPr>
        <w:t>一是加强科普设备维护，更换科普宣传栏海报4期，维修维护科普宣传LED显示屏，全年进行；二是开展好科普宣传月、全国科普日、全国科技工作者日等主题科普活动4场次；三是进行新品种推广，完成6个新品种推广，</w:t>
      </w:r>
      <w:r>
        <w:rPr>
          <w:rFonts w:hint="eastAsia" w:ascii="仿宋_GB2312" w:hAnsi="宋体"/>
          <w:sz w:val="32"/>
          <w:szCs w:val="32"/>
          <w:lang w:val="en-US" w:eastAsia="zh-CN"/>
        </w:rPr>
        <w:t>12月份之前完成</w:t>
      </w:r>
      <w:r>
        <w:rPr>
          <w:rFonts w:hint="eastAsia" w:ascii="仿宋_GB2312" w:hAnsi="宋体"/>
          <w:sz w:val="32"/>
          <w:szCs w:val="32"/>
          <w:lang w:val="zh-CN"/>
        </w:rPr>
        <w:t>。</w:t>
      </w:r>
    </w:p>
    <w:p w14:paraId="001BCAEA">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仿宋_GB2312" w:hAnsi="宋体"/>
          <w:sz w:val="32"/>
          <w:szCs w:val="32"/>
          <w:lang w:val="zh-CN"/>
        </w:rPr>
      </w:pPr>
      <w:r>
        <w:rPr>
          <w:rFonts w:hint="eastAsia" w:ascii="楷体_GB2312" w:hAnsi="宋体" w:eastAsia="楷体_GB2312"/>
          <w:b/>
          <w:sz w:val="32"/>
          <w:szCs w:val="32"/>
          <w:lang w:val="zh-CN"/>
        </w:rPr>
        <w:t>（三）项目资金申报相符性。</w:t>
      </w:r>
      <w:r>
        <w:rPr>
          <w:rFonts w:hint="eastAsia" w:ascii="仿宋_GB2312" w:hAnsi="宋体"/>
          <w:sz w:val="32"/>
          <w:szCs w:val="32"/>
          <w:lang w:val="zh-CN"/>
        </w:rPr>
        <w:t>科普宣传项目申报内容与具体实施内容相符、申报目标合理可行。</w:t>
      </w:r>
    </w:p>
    <w:p w14:paraId="080B3826">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黑体" w:hAnsi="宋体" w:eastAsia="黑体"/>
          <w:sz w:val="32"/>
          <w:szCs w:val="32"/>
        </w:rPr>
      </w:pPr>
      <w:r>
        <w:rPr>
          <w:rFonts w:hint="eastAsia" w:ascii="黑体" w:hAnsi="宋体" w:eastAsia="黑体"/>
          <w:sz w:val="32"/>
          <w:szCs w:val="32"/>
        </w:rPr>
        <w:t>二、项目实施及管理情况</w:t>
      </w:r>
    </w:p>
    <w:p w14:paraId="1B83BB5F">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楷体_GB2312" w:hAnsi="宋体" w:eastAsia="楷体_GB2312"/>
          <w:b/>
          <w:sz w:val="32"/>
          <w:szCs w:val="32"/>
          <w:lang w:val="zh-CN"/>
        </w:rPr>
      </w:pPr>
      <w:r>
        <w:rPr>
          <w:rFonts w:hint="eastAsia" w:ascii="仿宋_GB2312" w:hAnsi="宋体"/>
          <w:sz w:val="32"/>
          <w:szCs w:val="32"/>
          <w:lang w:val="zh-CN"/>
        </w:rPr>
        <w:tab/>
      </w:r>
      <w:r>
        <w:rPr>
          <w:rFonts w:hint="eastAsia" w:ascii="楷体_GB2312" w:hAnsi="宋体" w:eastAsia="楷体_GB2312"/>
          <w:b/>
          <w:sz w:val="32"/>
          <w:szCs w:val="32"/>
          <w:lang w:val="zh-CN"/>
        </w:rPr>
        <w:t>（一）资金计划、到位及使用情况。</w:t>
      </w:r>
    </w:p>
    <w:p w14:paraId="1CFBA88B">
      <w:pPr>
        <w:adjustRightInd w:val="0"/>
        <w:snapToGrid w:val="0"/>
        <w:spacing w:line="600" w:lineRule="exact"/>
        <w:ind w:firstLine="720"/>
        <w:rPr>
          <w:rFonts w:hint="default" w:ascii="仿宋_GB2312" w:hAnsi="宋体" w:eastAsia="楷体_GB2312"/>
          <w:sz w:val="32"/>
          <w:szCs w:val="32"/>
          <w:lang w:val="en-US" w:eastAsia="zh-CN"/>
        </w:rPr>
      </w:pPr>
      <w:r>
        <w:rPr>
          <w:rFonts w:hint="eastAsia" w:ascii="楷体_GB2312" w:hAnsi="宋体" w:eastAsia="楷体_GB2312"/>
          <w:sz w:val="32"/>
          <w:szCs w:val="32"/>
          <w:lang w:val="zh-CN"/>
        </w:rPr>
        <w:t>1．资金计划。</w:t>
      </w:r>
      <w:r>
        <w:rPr>
          <w:rFonts w:hint="eastAsia" w:ascii="仿宋_GB2312" w:hAnsi="宋体"/>
          <w:sz w:val="32"/>
          <w:szCs w:val="32"/>
          <w:lang w:val="en-US" w:eastAsia="zh-CN"/>
        </w:rPr>
        <w:t>计划预算县级项目资金15万元整。</w:t>
      </w:r>
    </w:p>
    <w:p w14:paraId="4E87C6B4">
      <w:pPr>
        <w:adjustRightInd w:val="0"/>
        <w:snapToGrid w:val="0"/>
        <w:spacing w:line="600" w:lineRule="exact"/>
        <w:ind w:firstLine="720"/>
        <w:rPr>
          <w:rFonts w:hint="eastAsia" w:ascii="仿宋_GB2312" w:hAnsi="宋体"/>
          <w:sz w:val="32"/>
          <w:szCs w:val="32"/>
          <w:lang w:val="en-US" w:eastAsia="zh-CN"/>
        </w:rPr>
      </w:pPr>
      <w:r>
        <w:rPr>
          <w:rFonts w:hint="eastAsia" w:ascii="楷体_GB2312" w:hAnsi="宋体" w:eastAsia="楷体_GB2312"/>
          <w:sz w:val="32"/>
          <w:szCs w:val="32"/>
          <w:lang w:val="zh-CN"/>
        </w:rPr>
        <w:t>2．资金到位。</w:t>
      </w:r>
      <w:r>
        <w:rPr>
          <w:rFonts w:hint="eastAsia" w:ascii="仿宋_GB2312" w:hAnsi="宋体"/>
          <w:sz w:val="32"/>
          <w:szCs w:val="32"/>
          <w:lang w:val="en-US" w:eastAsia="zh-CN"/>
        </w:rPr>
        <w:t>县级预算科普宣传项目资金全部到位。</w:t>
      </w:r>
    </w:p>
    <w:p w14:paraId="14B9551F">
      <w:pPr>
        <w:adjustRightInd w:val="0"/>
        <w:snapToGrid w:val="0"/>
        <w:spacing w:line="600" w:lineRule="exact"/>
        <w:ind w:firstLine="720"/>
        <w:rPr>
          <w:rFonts w:hint="eastAsia" w:ascii="仿宋_GB2312" w:hAnsi="宋体"/>
          <w:sz w:val="32"/>
          <w:szCs w:val="32"/>
          <w:lang w:val="zh-CN" w:eastAsia="zh-CN"/>
        </w:rPr>
      </w:pPr>
      <w:r>
        <w:rPr>
          <w:rFonts w:hint="eastAsia" w:ascii="楷体_GB2312" w:hAnsi="宋体" w:eastAsia="楷体_GB2312"/>
          <w:sz w:val="32"/>
          <w:szCs w:val="32"/>
          <w:lang w:val="zh-CN"/>
        </w:rPr>
        <w:t>3．资金使用。</w:t>
      </w:r>
      <w:r>
        <w:rPr>
          <w:rFonts w:hint="eastAsia" w:ascii="仿宋_GB2312" w:hAnsi="宋体"/>
          <w:sz w:val="32"/>
          <w:szCs w:val="32"/>
          <w:lang w:val="en-US" w:eastAsia="zh-CN"/>
        </w:rPr>
        <w:t>县级科普宣传项目资金15万元整在2023年12月份之前已全部使用99.99%，项目资</w:t>
      </w:r>
      <w:r>
        <w:rPr>
          <w:rFonts w:hint="eastAsia" w:ascii="仿宋_GB2312" w:hAnsi="宋体"/>
          <w:sz w:val="32"/>
          <w:szCs w:val="32"/>
          <w:lang w:val="zh-CN" w:eastAsia="zh-CN"/>
        </w:rPr>
        <w:t>金使用安全、规范、有效。资金支付范围、支付标准、支付进度、支付依据等合规合法。</w:t>
      </w:r>
    </w:p>
    <w:p w14:paraId="6AB97DDC">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楷体_GB2312" w:hAnsi="宋体" w:eastAsia="楷体_GB2312"/>
          <w:b/>
          <w:sz w:val="32"/>
          <w:szCs w:val="32"/>
          <w:lang w:val="zh-CN"/>
        </w:rPr>
      </w:pPr>
      <w:r>
        <w:rPr>
          <w:rFonts w:hint="eastAsia" w:ascii="楷体_GB2312" w:hAnsi="宋体" w:eastAsia="楷体_GB2312"/>
          <w:b/>
          <w:sz w:val="32"/>
          <w:szCs w:val="32"/>
          <w:lang w:val="zh-CN"/>
        </w:rPr>
        <w:t>（二）项目财务管理情况。</w:t>
      </w:r>
    </w:p>
    <w:p w14:paraId="05507B7F">
      <w:pPr>
        <w:adjustRightInd w:val="0"/>
        <w:snapToGrid w:val="0"/>
        <w:spacing w:line="600" w:lineRule="exact"/>
        <w:ind w:firstLine="720"/>
        <w:rPr>
          <w:rFonts w:ascii="仿宋_GB2312" w:hAnsi="宋体"/>
          <w:sz w:val="32"/>
          <w:szCs w:val="32"/>
          <w:lang w:val="zh-CN"/>
        </w:rPr>
      </w:pPr>
      <w:r>
        <w:rPr>
          <w:rFonts w:hint="eastAsia" w:ascii="仿宋_GB2312" w:hAnsi="宋体"/>
          <w:sz w:val="32"/>
          <w:szCs w:val="32"/>
          <w:lang w:val="en-US" w:eastAsia="zh-CN"/>
        </w:rPr>
        <w:t>项目申报、实施、资金使用时，确保</w:t>
      </w:r>
      <w:r>
        <w:rPr>
          <w:rFonts w:hint="eastAsia" w:ascii="仿宋_GB2312" w:hAnsi="宋体"/>
          <w:sz w:val="32"/>
          <w:szCs w:val="32"/>
          <w:lang w:val="zh-CN"/>
        </w:rPr>
        <w:t>财务管理制度健全，严格执行财务管理制度，账务处理及时，会计核算规范。</w:t>
      </w:r>
    </w:p>
    <w:p w14:paraId="51FC8181">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楷体_GB2312" w:hAnsi="宋体" w:eastAsia="楷体_GB2312"/>
          <w:b/>
          <w:sz w:val="32"/>
          <w:szCs w:val="32"/>
          <w:lang w:val="zh-CN"/>
        </w:rPr>
      </w:pPr>
      <w:r>
        <w:rPr>
          <w:rFonts w:hint="eastAsia" w:ascii="楷体_GB2312" w:hAnsi="宋体" w:eastAsia="楷体_GB2312"/>
          <w:b/>
          <w:sz w:val="32"/>
          <w:szCs w:val="32"/>
          <w:lang w:val="zh-CN"/>
        </w:rPr>
        <w:t>（三）项目组织实施情况。</w:t>
      </w:r>
    </w:p>
    <w:p w14:paraId="26EE2AE8">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仿宋_GB2312" w:hAnsi="宋体"/>
          <w:sz w:val="32"/>
          <w:szCs w:val="32"/>
          <w:lang w:val="zh-CN"/>
        </w:rPr>
      </w:pPr>
      <w:r>
        <w:rPr>
          <w:rFonts w:hint="eastAsia" w:ascii="仿宋_GB2312" w:hAnsi="宋体"/>
          <w:sz w:val="32"/>
          <w:szCs w:val="32"/>
          <w:lang w:val="zh-CN"/>
        </w:rPr>
        <w:t>科普宣传项目按照科协领导决策，业务股室在领导的安排部署下按照规定程序实施项目，县科协与科普宣传电子屏幕维修维护的公司签订合同，起到对项目实施、监督和验收的作用。在实施科普宣传项目时按照项目特点、相关法律法规及项目管理制度等与公司签订合同，明确双方的权利及义务。</w:t>
      </w:r>
    </w:p>
    <w:p w14:paraId="615230B0">
      <w:pPr>
        <w:keepNext w:val="0"/>
        <w:keepLines w:val="0"/>
        <w:pageBreakBefore w:val="0"/>
        <w:numPr>
          <w:ilvl w:val="0"/>
          <w:numId w:val="0"/>
        </w:numPr>
        <w:kinsoku/>
        <w:wordWrap/>
        <w:overflowPunct/>
        <w:topLinePunct w:val="0"/>
        <w:autoSpaceDE/>
        <w:autoSpaceDN/>
        <w:bidi w:val="0"/>
        <w:adjustRightInd w:val="0"/>
        <w:snapToGrid w:val="0"/>
        <w:spacing w:line="600" w:lineRule="exact"/>
        <w:jc w:val="both"/>
        <w:textAlignment w:val="auto"/>
        <w:rPr>
          <w:rFonts w:ascii="仿宋_GB2312" w:hAnsi="宋体"/>
          <w:sz w:val="32"/>
          <w:szCs w:val="32"/>
          <w:lang w:val="zh-CN"/>
        </w:rPr>
      </w:pPr>
      <w:r>
        <w:rPr>
          <w:rFonts w:hint="eastAsia" w:ascii="仿宋_GB2312" w:hAnsi="宋体"/>
          <w:sz w:val="32"/>
          <w:szCs w:val="32"/>
          <w:lang w:val="zh-CN"/>
        </w:rPr>
        <w:t>县科协为加强项目管理，与公司签订合同，督促公司的项目实施情况，对项目进行验收；</w:t>
      </w:r>
      <w:r>
        <w:rPr>
          <w:rFonts w:hint="eastAsia" w:ascii="仿宋_GB2312" w:hAnsi="宋体"/>
          <w:sz w:val="32"/>
          <w:szCs w:val="32"/>
          <w:lang w:val="en-US" w:eastAsia="zh-CN"/>
        </w:rPr>
        <w:t>推广的新品种农作物与县农业局联合进行验收并对新品种推广效果进行后续走访调研，</w:t>
      </w:r>
      <w:r>
        <w:rPr>
          <w:rFonts w:hint="eastAsia" w:ascii="仿宋_GB2312" w:hAnsi="宋体"/>
          <w:sz w:val="32"/>
          <w:szCs w:val="32"/>
          <w:lang w:val="zh-CN"/>
        </w:rPr>
        <w:t>保证项目实施效果。</w:t>
      </w:r>
    </w:p>
    <w:p w14:paraId="46F6510A">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仿宋_GB2312" w:hAnsi="宋体"/>
          <w:sz w:val="32"/>
          <w:szCs w:val="32"/>
          <w:lang w:val="zh-CN"/>
        </w:rPr>
      </w:pPr>
      <w:r>
        <w:rPr>
          <w:rFonts w:hint="eastAsia" w:ascii="黑体" w:hAnsi="宋体" w:eastAsia="黑体"/>
          <w:sz w:val="32"/>
          <w:szCs w:val="32"/>
        </w:rPr>
        <w:t>三、项目绩效情况</w:t>
      </w:r>
      <w:r>
        <w:rPr>
          <w:rFonts w:hint="eastAsia" w:ascii="仿宋_GB2312" w:hAnsi="宋体"/>
          <w:sz w:val="32"/>
          <w:szCs w:val="32"/>
          <w:lang w:val="zh-CN"/>
        </w:rPr>
        <w:tab/>
      </w:r>
    </w:p>
    <w:p w14:paraId="09A0076F">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楷体_GB2312" w:hAnsi="宋体" w:eastAsia="楷体_GB2312"/>
          <w:b/>
          <w:sz w:val="32"/>
          <w:szCs w:val="32"/>
          <w:lang w:val="zh-CN"/>
        </w:rPr>
      </w:pPr>
      <w:r>
        <w:rPr>
          <w:rFonts w:hint="eastAsia" w:ascii="楷体_GB2312" w:hAnsi="宋体" w:eastAsia="楷体_GB2312"/>
          <w:b/>
          <w:sz w:val="32"/>
          <w:szCs w:val="32"/>
          <w:lang w:val="zh-CN"/>
        </w:rPr>
        <w:t>（一）项目完成情况。</w:t>
      </w:r>
    </w:p>
    <w:p w14:paraId="621944DB">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仿宋_GB2312" w:hAnsi="宋体" w:cs="Times New Roman"/>
          <w:sz w:val="32"/>
          <w:szCs w:val="32"/>
          <w:lang w:val="zh-CN"/>
        </w:rPr>
      </w:pPr>
      <w:r>
        <w:rPr>
          <w:rFonts w:hint="eastAsia" w:ascii="仿宋_GB2312" w:hAnsi="宋体" w:cs="Times New Roman"/>
          <w:sz w:val="32"/>
          <w:szCs w:val="32"/>
          <w:lang w:val="en-US" w:eastAsia="zh-CN"/>
        </w:rPr>
        <w:t>一是利用LED播放宣传生态环保、安全生产、森林防灭火、防震减灾、禁毒工作、创文创卫、网络安全等各类科普知识80余期，更新科普宣传栏内容3期；二是开展不同主题的科普宣传活动共13场次，参与人数达到2600人次，发放实用农业技术、科学防范高血压、糖尿病、网络安全、反邪教等科普宣传册3000余册；三是积极组织参与各项科普赛事。今年9月我协会联合县委政法委在“锦官驿站”“和谐天府”微信公众号参加了反邪网络小说评选投票活动，上报的反邪教剧本小说《德古的救赎》从490件作品中脱颖而出，被评选为剧本小说类网络人气一等奖，作者文化馆何平老师受到省市表彰；峨边非遗传承人沙妈英生参加第六届四川省乡村振兴乡土人才创新创业大赛获得铜奖；县科协推荐的沙坪镇干部耿明悦参加首届四川省公民科学素质大赛乐山选拔赛获得优胜奖；县科协联合县教育局组织学生参加第22届乐山市青少年科技创新大赛中获得三等奖1个；参加第9届乐山市机器人大赛获得一等奖6个，二等奖1个，峨边彝族自治县科协被评为优秀组织单位。四是开展新品种推广工作，县科协会同县农业农村局推进新品种引进试验示范工作，引进1个旱稻、1个玉米、10个红苕、9个蔬菜新品种，分别在不同海拔区域开展示范试验。其中，旱稻的推广深得群众的喜欢，2024年计划进一步的推广种植；开展科技助力杨河乡竹笋产业提质增效活动，积极搭建与高校合作机制，借助科技手段助力解决竹笋低产低效的问题。五是开展科技巡诊工作。通过线上沟通、线下交流等方式对近20名文旅、农旅、种植养殖、中药材、食品加工等创业项目人才进行了问卷调研，对全县的12家具有代表性的农业产业项目进行了麻雀解剖式分析，用专业的科技知识手把手指导，点对点帮助解决项目发展中遇到的难题，提出下一步发展的意见建议。培养乡村振兴本土人才，组织20名创业者，邀请相关专家教授</w:t>
      </w:r>
      <w:r>
        <w:rPr>
          <w:rFonts w:hint="eastAsia" w:ascii="仿宋_GB2312" w:hAnsi="宋体" w:cs="Times New Roman"/>
          <w:sz w:val="32"/>
          <w:szCs w:val="32"/>
          <w:lang w:val="zh-CN" w:eastAsia="zh-CN"/>
        </w:rPr>
        <w:t>开展创业技能培训，</w:t>
      </w:r>
      <w:r>
        <w:rPr>
          <w:rFonts w:hint="eastAsia" w:ascii="仿宋_GB2312" w:hAnsi="宋体" w:cs="Times New Roman"/>
          <w:sz w:val="32"/>
          <w:szCs w:val="32"/>
          <w:lang w:val="zh-CN"/>
        </w:rPr>
        <w:t>帮助解决创业就业过程中遇到的问题</w:t>
      </w:r>
      <w:r>
        <w:rPr>
          <w:rFonts w:hint="eastAsia" w:ascii="仿宋_GB2312" w:hAnsi="宋体" w:cs="Times New Roman"/>
          <w:sz w:val="32"/>
          <w:szCs w:val="32"/>
          <w:lang w:val="en-US" w:eastAsia="zh-CN"/>
        </w:rPr>
        <w:t>。六是打造科普创新试点示范工作，峨边彝族自治县的四川健宝天麻中药材有限公司被乐山市科协评为市级科普教育基地。12月在茗新村召开了“峨边彝族自治县智慧科普启动会”，拉开了茗新村科普创新试点示范的序幕，现场发放“科普</w:t>
      </w:r>
      <w:bookmarkStart w:id="105" w:name="_GoBack"/>
      <w:bookmarkEnd w:id="105"/>
      <w:r>
        <w:rPr>
          <w:rFonts w:hint="eastAsia" w:ascii="仿宋_GB2312" w:hAnsi="宋体" w:cs="Times New Roman"/>
          <w:sz w:val="32"/>
          <w:szCs w:val="32"/>
          <w:lang w:val="en-US" w:eastAsia="zh-CN"/>
        </w:rPr>
        <w:t>盒子”125台。</w:t>
      </w:r>
    </w:p>
    <w:p w14:paraId="4A808CEA">
      <w:pPr>
        <w:numPr>
          <w:ilvl w:val="0"/>
          <w:numId w:val="6"/>
        </w:numPr>
        <w:ind w:firstLine="643" w:firstLineChars="200"/>
        <w:rPr>
          <w:rFonts w:hint="eastAsia" w:ascii="楷体_GB2312" w:hAnsi="宋体" w:eastAsia="楷体_GB2312"/>
          <w:b/>
          <w:sz w:val="32"/>
          <w:szCs w:val="32"/>
          <w:lang w:val="zh-CN"/>
        </w:rPr>
      </w:pPr>
      <w:r>
        <w:rPr>
          <w:rFonts w:hint="eastAsia" w:ascii="楷体_GB2312" w:hAnsi="宋体" w:eastAsia="楷体_GB2312"/>
          <w:b/>
          <w:sz w:val="32"/>
          <w:szCs w:val="32"/>
          <w:lang w:val="zh-CN"/>
        </w:rPr>
        <w:t>项目效益情况。</w:t>
      </w:r>
    </w:p>
    <w:p w14:paraId="0C1E3C63">
      <w:pPr>
        <w:numPr>
          <w:ilvl w:val="0"/>
          <w:numId w:val="0"/>
        </w:numPr>
        <w:ind w:firstLine="640" w:firstLineChars="200"/>
        <w:rPr>
          <w:rFonts w:ascii="仿宋_GB2312" w:hAnsi="宋体"/>
          <w:sz w:val="32"/>
          <w:szCs w:val="32"/>
          <w:lang w:val="zh-CN"/>
        </w:rPr>
      </w:pPr>
      <w:r>
        <w:rPr>
          <w:rFonts w:hint="eastAsia" w:ascii="仿宋_GB2312" w:hAnsi="宋体"/>
          <w:sz w:val="32"/>
          <w:szCs w:val="32"/>
          <w:lang w:val="zh-CN" w:eastAsia="zh-CN"/>
        </w:rPr>
        <w:t>在经济效益方面，</w:t>
      </w:r>
      <w:r>
        <w:rPr>
          <w:rFonts w:hint="eastAsia" w:ascii="仿宋_GB2312" w:hAnsi="宋体"/>
          <w:sz w:val="32"/>
          <w:szCs w:val="32"/>
          <w:lang w:val="en-US" w:eastAsia="zh-CN"/>
        </w:rPr>
        <w:t>推广新品种旱稻、辣椒、红薯、玉米、茄子等增加了农户收入，巩固了科普宣传和脱贫攻坚接续乡村振兴成果；推广新品种鸡枞菌，促进了县域内企业发展产业，辐射带动群众增收，促进县域内经济发展。社会效益方面进行科普宣传设备更新维护和开展形式多样的科普活动，提高了群众的科普知识水平，提高了群众认可度和满意度。科普宣传工作达到了预期目标，</w:t>
      </w:r>
      <w:r>
        <w:rPr>
          <w:rFonts w:hint="eastAsia" w:ascii="仿宋_GB2312" w:hAnsi="宋体"/>
          <w:sz w:val="32"/>
          <w:szCs w:val="32"/>
          <w:lang w:val="zh-CN"/>
        </w:rPr>
        <w:t>符合峨边彝族自治县科普需求实际。</w:t>
      </w:r>
    </w:p>
    <w:p w14:paraId="137915AD">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黑体" w:hAnsi="宋体" w:eastAsia="黑体"/>
          <w:sz w:val="32"/>
          <w:szCs w:val="32"/>
        </w:rPr>
      </w:pPr>
      <w:r>
        <w:rPr>
          <w:rFonts w:hint="eastAsia" w:ascii="黑体" w:hAnsi="宋体" w:eastAsia="黑体"/>
          <w:sz w:val="32"/>
          <w:szCs w:val="32"/>
        </w:rPr>
        <w:t>四、问题及建议</w:t>
      </w:r>
    </w:p>
    <w:p w14:paraId="7BB15E40">
      <w:pPr>
        <w:ind w:firstLine="643" w:firstLineChars="200"/>
        <w:rPr>
          <w:rFonts w:hint="eastAsia" w:ascii="楷体_GB2312" w:hAnsi="宋体" w:eastAsia="楷体_GB2312"/>
          <w:b/>
          <w:sz w:val="32"/>
          <w:szCs w:val="32"/>
          <w:lang w:val="zh-CN"/>
        </w:rPr>
      </w:pPr>
      <w:r>
        <w:rPr>
          <w:rFonts w:hint="eastAsia" w:ascii="楷体_GB2312" w:hAnsi="宋体" w:eastAsia="楷体_GB2312"/>
          <w:b/>
          <w:sz w:val="32"/>
          <w:szCs w:val="32"/>
          <w:lang w:val="zh-CN"/>
        </w:rPr>
        <w:t>（一）存在的问题。</w:t>
      </w:r>
    </w:p>
    <w:p w14:paraId="2815F0C2">
      <w:pPr>
        <w:ind w:firstLine="640" w:firstLineChars="200"/>
        <w:rPr>
          <w:rFonts w:ascii="楷体_GB2312" w:hAnsi="宋体" w:eastAsia="楷体_GB2312"/>
          <w:b/>
          <w:sz w:val="32"/>
          <w:szCs w:val="32"/>
          <w:lang w:val="zh-CN"/>
        </w:rPr>
      </w:pPr>
      <w:r>
        <w:rPr>
          <w:rFonts w:hint="eastAsia" w:ascii="仿宋_GB2312" w:hAnsi="宋体"/>
          <w:sz w:val="32"/>
          <w:szCs w:val="32"/>
          <w:lang w:val="zh-CN"/>
        </w:rPr>
        <w:t>县科协科普宣传项目无存在问题。</w:t>
      </w:r>
      <w:r>
        <w:rPr>
          <w:rFonts w:hint="eastAsia" w:ascii="仿宋_GB2312" w:hAnsi="宋体"/>
          <w:sz w:val="32"/>
          <w:szCs w:val="32"/>
          <w:lang w:val="zh-CN"/>
        </w:rPr>
        <w:tab/>
      </w:r>
    </w:p>
    <w:p w14:paraId="7C54B841">
      <w:pPr>
        <w:keepNext w:val="0"/>
        <w:keepLines w:val="0"/>
        <w:pageBreakBefore w:val="0"/>
        <w:widowControl w:val="0"/>
        <w:numPr>
          <w:ilvl w:val="0"/>
          <w:numId w:val="7"/>
        </w:numPr>
        <w:kinsoku/>
        <w:wordWrap/>
        <w:overflowPunct/>
        <w:topLinePunct w:val="0"/>
        <w:autoSpaceDE/>
        <w:autoSpaceDN/>
        <w:bidi w:val="0"/>
        <w:adjustRightInd w:val="0"/>
        <w:snapToGrid w:val="0"/>
        <w:spacing w:line="560" w:lineRule="exact"/>
        <w:ind w:firstLine="720"/>
        <w:textAlignment w:val="auto"/>
        <w:rPr>
          <w:rFonts w:hint="eastAsia" w:ascii="楷体_GB2312" w:hAnsi="宋体" w:eastAsia="楷体_GB2312"/>
          <w:b/>
          <w:sz w:val="32"/>
          <w:szCs w:val="32"/>
          <w:lang w:val="zh-CN"/>
        </w:rPr>
      </w:pPr>
      <w:r>
        <w:rPr>
          <w:rFonts w:hint="eastAsia" w:ascii="楷体_GB2312" w:hAnsi="宋体" w:eastAsia="楷体_GB2312"/>
          <w:b/>
          <w:sz w:val="32"/>
          <w:szCs w:val="32"/>
          <w:lang w:val="zh-CN"/>
        </w:rPr>
        <w:t>相关建议。</w:t>
      </w:r>
    </w:p>
    <w:p w14:paraId="6685C498">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textAlignment w:val="auto"/>
        <w:rPr>
          <w:rFonts w:hint="default" w:ascii="楷体_GB2312" w:hAnsi="宋体" w:eastAsia="楷体_GB2312"/>
          <w:b/>
          <w:lang w:val="en-US" w:eastAsia="zh-CN"/>
        </w:rPr>
      </w:pPr>
      <w:r>
        <w:rPr>
          <w:rFonts w:hint="eastAsia" w:ascii="楷体_GB2312" w:hAnsi="宋体" w:eastAsia="楷体_GB2312"/>
          <w:b/>
          <w:sz w:val="32"/>
          <w:szCs w:val="32"/>
          <w:lang w:val="en-US" w:eastAsia="zh-CN"/>
        </w:rPr>
        <w:t xml:space="preserve">     </w:t>
      </w:r>
      <w:r>
        <w:rPr>
          <w:rFonts w:hint="eastAsia" w:ascii="仿宋_GB2312" w:hAnsi="宋体"/>
          <w:sz w:val="32"/>
          <w:szCs w:val="32"/>
          <w:lang w:val="en-US" w:eastAsia="zh-CN"/>
        </w:rPr>
        <w:t>无</w:t>
      </w:r>
    </w:p>
    <w:p w14:paraId="1F3CE9D6">
      <w:pPr>
        <w:adjustRightInd w:val="0"/>
        <w:snapToGrid w:val="0"/>
        <w:spacing w:line="600" w:lineRule="exact"/>
        <w:ind w:firstLine="720"/>
      </w:pPr>
    </w:p>
    <w:p w14:paraId="3734B560">
      <w:pPr>
        <w:pStyle w:val="5"/>
        <w:jc w:val="center"/>
        <w:rPr>
          <w:rFonts w:ascii="黑体" w:hAnsi="黑体" w:eastAsia="黑体"/>
        </w:rPr>
      </w:pPr>
      <w:bookmarkStart w:id="91" w:name="_Toc21745"/>
      <w:r>
        <w:rPr>
          <w:rFonts w:hint="eastAsia" w:ascii="黑体" w:hAnsi="黑体" w:eastAsia="黑体"/>
        </w:rPr>
        <w:t>第五部分 附表</w:t>
      </w:r>
      <w:bookmarkEnd w:id="91"/>
    </w:p>
    <w:p w14:paraId="3F58D1BD">
      <w:pPr>
        <w:pStyle w:val="6"/>
        <w:bidi w:val="0"/>
        <w:rPr>
          <w:rFonts w:hint="eastAsia" w:ascii="仿宋" w:hAnsi="仿宋" w:eastAsia="仿宋" w:cs="仿宋"/>
          <w:sz w:val="32"/>
          <w:szCs w:val="32"/>
        </w:rPr>
      </w:pPr>
      <w:bookmarkStart w:id="92" w:name="_Toc26465"/>
      <w:r>
        <w:rPr>
          <w:rFonts w:hint="eastAsia" w:ascii="仿宋" w:hAnsi="仿宋" w:eastAsia="仿宋" w:cs="仿宋"/>
          <w:sz w:val="32"/>
          <w:szCs w:val="32"/>
        </w:rPr>
        <w:t>一、收入支出决算总表</w:t>
      </w:r>
      <w:bookmarkEnd w:id="92"/>
    </w:p>
    <w:p w14:paraId="70B5FE20">
      <w:pPr>
        <w:pStyle w:val="6"/>
        <w:bidi w:val="0"/>
        <w:rPr>
          <w:rFonts w:hint="eastAsia" w:ascii="仿宋" w:hAnsi="仿宋" w:eastAsia="仿宋" w:cs="仿宋"/>
          <w:sz w:val="32"/>
          <w:szCs w:val="32"/>
        </w:rPr>
      </w:pPr>
      <w:bookmarkStart w:id="93" w:name="_Toc23589"/>
      <w:r>
        <w:rPr>
          <w:rFonts w:hint="eastAsia" w:ascii="仿宋" w:hAnsi="仿宋" w:eastAsia="仿宋" w:cs="仿宋"/>
          <w:sz w:val="32"/>
          <w:szCs w:val="32"/>
        </w:rPr>
        <w:t>二、收入决算表</w:t>
      </w:r>
      <w:bookmarkEnd w:id="93"/>
    </w:p>
    <w:p w14:paraId="668E66C9">
      <w:pPr>
        <w:pStyle w:val="6"/>
        <w:bidi w:val="0"/>
        <w:rPr>
          <w:rFonts w:hint="eastAsia" w:ascii="仿宋" w:hAnsi="仿宋" w:eastAsia="仿宋" w:cs="仿宋"/>
          <w:sz w:val="32"/>
          <w:szCs w:val="32"/>
        </w:rPr>
      </w:pPr>
      <w:bookmarkStart w:id="94" w:name="_Toc19530"/>
      <w:r>
        <w:rPr>
          <w:rFonts w:hint="eastAsia" w:ascii="仿宋" w:hAnsi="仿宋" w:eastAsia="仿宋" w:cs="仿宋"/>
          <w:sz w:val="32"/>
          <w:szCs w:val="32"/>
        </w:rPr>
        <w:t>三、支出决算表</w:t>
      </w:r>
      <w:bookmarkEnd w:id="94"/>
    </w:p>
    <w:p w14:paraId="160614B1">
      <w:pPr>
        <w:pStyle w:val="6"/>
        <w:bidi w:val="0"/>
        <w:rPr>
          <w:rFonts w:hint="eastAsia" w:ascii="仿宋" w:hAnsi="仿宋" w:eastAsia="仿宋" w:cs="仿宋"/>
          <w:sz w:val="32"/>
          <w:szCs w:val="32"/>
        </w:rPr>
      </w:pPr>
      <w:bookmarkStart w:id="95" w:name="_Toc22648"/>
      <w:r>
        <w:rPr>
          <w:rFonts w:hint="eastAsia" w:ascii="仿宋" w:hAnsi="仿宋" w:eastAsia="仿宋" w:cs="仿宋"/>
          <w:sz w:val="32"/>
          <w:szCs w:val="32"/>
        </w:rPr>
        <w:t>四、财政拨款收入支出决算总表</w:t>
      </w:r>
      <w:bookmarkEnd w:id="95"/>
    </w:p>
    <w:p w14:paraId="072BE55F">
      <w:pPr>
        <w:pStyle w:val="6"/>
        <w:bidi w:val="0"/>
        <w:rPr>
          <w:rFonts w:hint="eastAsia" w:ascii="仿宋" w:hAnsi="仿宋" w:eastAsia="仿宋" w:cs="仿宋"/>
          <w:sz w:val="32"/>
          <w:szCs w:val="32"/>
        </w:rPr>
      </w:pPr>
      <w:bookmarkStart w:id="96" w:name="_Toc1611"/>
      <w:r>
        <w:rPr>
          <w:rFonts w:hint="eastAsia" w:ascii="仿宋" w:hAnsi="仿宋" w:eastAsia="仿宋" w:cs="仿宋"/>
          <w:sz w:val="32"/>
          <w:szCs w:val="32"/>
        </w:rPr>
        <w:t>五、财政拨款支出决算明细表</w:t>
      </w:r>
      <w:bookmarkEnd w:id="96"/>
    </w:p>
    <w:p w14:paraId="33274FE8">
      <w:pPr>
        <w:pStyle w:val="6"/>
        <w:bidi w:val="0"/>
        <w:rPr>
          <w:rFonts w:hint="eastAsia" w:ascii="仿宋" w:hAnsi="仿宋" w:eastAsia="仿宋" w:cs="仿宋"/>
          <w:sz w:val="32"/>
          <w:szCs w:val="32"/>
        </w:rPr>
      </w:pPr>
      <w:bookmarkStart w:id="97" w:name="_Toc3376"/>
      <w:r>
        <w:rPr>
          <w:rFonts w:hint="eastAsia" w:ascii="仿宋" w:hAnsi="仿宋" w:eastAsia="仿宋" w:cs="仿宋"/>
          <w:sz w:val="32"/>
          <w:szCs w:val="32"/>
        </w:rPr>
        <w:t>六、一般公共预算财政拨款支出决算表</w:t>
      </w:r>
      <w:bookmarkEnd w:id="97"/>
    </w:p>
    <w:p w14:paraId="4E666297">
      <w:pPr>
        <w:pStyle w:val="6"/>
        <w:bidi w:val="0"/>
        <w:rPr>
          <w:rFonts w:hint="eastAsia" w:ascii="仿宋" w:hAnsi="仿宋" w:eastAsia="仿宋" w:cs="仿宋"/>
          <w:sz w:val="32"/>
          <w:szCs w:val="32"/>
        </w:rPr>
      </w:pPr>
      <w:bookmarkStart w:id="98" w:name="_Toc28950"/>
      <w:r>
        <w:rPr>
          <w:rFonts w:hint="eastAsia" w:ascii="仿宋" w:hAnsi="仿宋" w:eastAsia="仿宋" w:cs="仿宋"/>
          <w:sz w:val="32"/>
          <w:szCs w:val="32"/>
        </w:rPr>
        <w:t>七、一般公共预算财政拨款支出决算明细表</w:t>
      </w:r>
      <w:bookmarkEnd w:id="98"/>
    </w:p>
    <w:p w14:paraId="09E85A12">
      <w:pPr>
        <w:pStyle w:val="6"/>
        <w:bidi w:val="0"/>
        <w:rPr>
          <w:rFonts w:hint="eastAsia" w:ascii="仿宋" w:hAnsi="仿宋" w:eastAsia="仿宋" w:cs="仿宋"/>
          <w:sz w:val="32"/>
          <w:szCs w:val="32"/>
        </w:rPr>
      </w:pPr>
      <w:bookmarkStart w:id="99" w:name="_Toc7832"/>
      <w:r>
        <w:rPr>
          <w:rFonts w:hint="eastAsia" w:ascii="仿宋" w:hAnsi="仿宋" w:eastAsia="仿宋" w:cs="仿宋"/>
          <w:sz w:val="32"/>
          <w:szCs w:val="32"/>
        </w:rPr>
        <w:t>八、一般公共预算财政拨款基本支出决算表</w:t>
      </w:r>
      <w:bookmarkEnd w:id="99"/>
    </w:p>
    <w:p w14:paraId="338B012E">
      <w:pPr>
        <w:pStyle w:val="6"/>
        <w:bidi w:val="0"/>
        <w:rPr>
          <w:rFonts w:hint="eastAsia" w:ascii="仿宋" w:hAnsi="仿宋" w:eastAsia="仿宋" w:cs="仿宋"/>
          <w:sz w:val="32"/>
          <w:szCs w:val="32"/>
        </w:rPr>
      </w:pPr>
      <w:bookmarkStart w:id="100" w:name="_Toc420"/>
      <w:r>
        <w:rPr>
          <w:rFonts w:hint="eastAsia" w:ascii="仿宋" w:hAnsi="仿宋" w:eastAsia="仿宋" w:cs="仿宋"/>
          <w:sz w:val="32"/>
          <w:szCs w:val="32"/>
        </w:rPr>
        <w:t>九、一般公共预算财政拨款项目支出决算表</w:t>
      </w:r>
      <w:bookmarkEnd w:id="100"/>
    </w:p>
    <w:p w14:paraId="2A6DE74D">
      <w:pPr>
        <w:pStyle w:val="6"/>
        <w:bidi w:val="0"/>
        <w:rPr>
          <w:rFonts w:hint="eastAsia" w:ascii="仿宋" w:hAnsi="仿宋" w:eastAsia="仿宋" w:cs="仿宋"/>
          <w:sz w:val="32"/>
          <w:szCs w:val="32"/>
        </w:rPr>
      </w:pPr>
      <w:bookmarkStart w:id="101" w:name="_Toc28725"/>
      <w:r>
        <w:rPr>
          <w:rFonts w:hint="eastAsia" w:ascii="仿宋" w:hAnsi="仿宋" w:eastAsia="仿宋" w:cs="仿宋"/>
          <w:sz w:val="32"/>
          <w:szCs w:val="32"/>
        </w:rPr>
        <w:t>十、政府性基金预算财政拨款收入支出决算表</w:t>
      </w:r>
      <w:bookmarkEnd w:id="101"/>
    </w:p>
    <w:p w14:paraId="3B9B2C97">
      <w:pPr>
        <w:pStyle w:val="6"/>
        <w:bidi w:val="0"/>
        <w:rPr>
          <w:rFonts w:hint="eastAsia" w:ascii="仿宋" w:hAnsi="仿宋" w:eastAsia="仿宋" w:cs="仿宋"/>
          <w:sz w:val="32"/>
          <w:szCs w:val="32"/>
        </w:rPr>
      </w:pPr>
      <w:bookmarkStart w:id="102" w:name="_Toc3604"/>
      <w:r>
        <w:rPr>
          <w:rFonts w:hint="eastAsia" w:ascii="仿宋" w:hAnsi="仿宋" w:eastAsia="仿宋" w:cs="仿宋"/>
          <w:sz w:val="32"/>
          <w:szCs w:val="32"/>
        </w:rPr>
        <w:t>十一、国有资本经营预算财政拨款收入支出决算表</w:t>
      </w:r>
      <w:bookmarkEnd w:id="102"/>
    </w:p>
    <w:p w14:paraId="34047205">
      <w:pPr>
        <w:pStyle w:val="6"/>
        <w:bidi w:val="0"/>
        <w:rPr>
          <w:rFonts w:hint="eastAsia" w:ascii="仿宋" w:hAnsi="仿宋" w:eastAsia="仿宋" w:cs="仿宋"/>
          <w:sz w:val="32"/>
          <w:szCs w:val="32"/>
        </w:rPr>
      </w:pPr>
      <w:bookmarkStart w:id="103" w:name="_Toc9648"/>
      <w:r>
        <w:rPr>
          <w:rFonts w:hint="eastAsia" w:ascii="仿宋" w:hAnsi="仿宋" w:eastAsia="仿宋" w:cs="仿宋"/>
          <w:sz w:val="32"/>
          <w:szCs w:val="32"/>
        </w:rPr>
        <w:t>十二、国有资本经营预算财政拨款支出决算表</w:t>
      </w:r>
      <w:bookmarkEnd w:id="103"/>
    </w:p>
    <w:p w14:paraId="71673FCB">
      <w:pPr>
        <w:pStyle w:val="6"/>
        <w:bidi w:val="0"/>
        <w:rPr>
          <w:rFonts w:ascii="仿宋" w:hAnsi="仿宋" w:eastAsia="仿宋"/>
          <w:szCs w:val="32"/>
        </w:rPr>
      </w:pPr>
      <w:bookmarkStart w:id="104" w:name="_Toc16740"/>
      <w:r>
        <w:rPr>
          <w:rFonts w:hint="eastAsia" w:ascii="仿宋" w:hAnsi="仿宋" w:eastAsia="仿宋" w:cs="仿宋"/>
          <w:sz w:val="32"/>
          <w:szCs w:val="32"/>
        </w:rPr>
        <w:t>十三、财政拨款“三公”经费支出决算表</w:t>
      </w:r>
      <w:bookmarkEnd w:id="104"/>
    </w:p>
    <w:sectPr>
      <w:pgSz w:w="11906" w:h="16838"/>
      <w:pgMar w:top="1440" w:right="1800" w:bottom="1440" w:left="1800"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33870CD-6D68-484A-B34F-12FBDED6BE3C}"/>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embedRegular r:id="rId2" w:fontKey="{ABE0CC3B-0C17-4572-9643-52EBE226A306}"/>
  </w:font>
  <w:font w:name="Cambria">
    <w:panose1 w:val="02040503050406030204"/>
    <w:charset w:val="00"/>
    <w:family w:val="roman"/>
    <w:pitch w:val="default"/>
    <w:sig w:usb0="E00002FF" w:usb1="400004FF" w:usb2="00000000" w:usb3="00000000" w:csb0="2000019F" w:csb1="00000000"/>
    <w:embedRegular r:id="rId3" w:fontKey="{8908FCA0-8085-476B-99FC-5E035A1CD765}"/>
  </w:font>
  <w:font w:name="仿宋_GB2312">
    <w:panose1 w:val="02010609030101010101"/>
    <w:charset w:val="86"/>
    <w:family w:val="modern"/>
    <w:pitch w:val="default"/>
    <w:sig w:usb0="00000001" w:usb1="080E0000" w:usb2="00000000" w:usb3="00000000" w:csb0="00040000" w:csb1="00000000"/>
    <w:embedRegular r:id="rId4" w:fontKey="{C129FCCC-B70F-4FCB-B0BD-A704B1506B46}"/>
  </w:font>
  <w:font w:name="??">
    <w:altName w:val="Times New Roman"/>
    <w:panose1 w:val="00000000000000000000"/>
    <w:charset w:val="00"/>
    <w:family w:val="roman"/>
    <w:pitch w:val="default"/>
    <w:sig w:usb0="00000000" w:usb1="00000000" w:usb2="00000000" w:usb3="00000000" w:csb0="00000000" w:csb1="00000000"/>
  </w:font>
  <w:font w:name="方正小标宋简体">
    <w:panose1 w:val="02000000000000000000"/>
    <w:charset w:val="86"/>
    <w:family w:val="script"/>
    <w:pitch w:val="default"/>
    <w:sig w:usb0="00000001" w:usb1="080E0000" w:usb2="00000000" w:usb3="00000000" w:csb0="00040000" w:csb1="00000000"/>
    <w:embedRegular r:id="rId5" w:fontKey="{9BCED51C-E111-40CB-B37A-344B2A381E59}"/>
  </w:font>
  <w:font w:name="微软雅黑">
    <w:panose1 w:val="020B0503020204020204"/>
    <w:charset w:val="86"/>
    <w:family w:val="auto"/>
    <w:pitch w:val="default"/>
    <w:sig w:usb0="80000287" w:usb1="280F3C52" w:usb2="00000016" w:usb3="00000000" w:csb0="0004001F" w:csb1="00000000"/>
  </w:font>
  <w:font w:name="华文中宋">
    <w:altName w:val="宋体"/>
    <w:panose1 w:val="02010600040101010101"/>
    <w:charset w:val="86"/>
    <w:family w:val="auto"/>
    <w:pitch w:val="default"/>
    <w:sig w:usb0="00000000" w:usb1="00000000" w:usb2="00000000" w:usb3="00000000" w:csb0="0004009F" w:csb1="DFD70000"/>
    <w:embedRegular r:id="rId6" w:fontKey="{03DBFD6C-BB5D-49B8-81B6-EF47FFF2295A}"/>
  </w:font>
  <w:font w:name="方正仿宋_GBK">
    <w:panose1 w:val="02000000000000000000"/>
    <w:charset w:val="86"/>
    <w:family w:val="auto"/>
    <w:pitch w:val="default"/>
    <w:sig w:usb0="A00002BF" w:usb1="38CF7CFA" w:usb2="00082016" w:usb3="00000000" w:csb0="00040001" w:csb1="00000000"/>
    <w:embedRegular r:id="rId7" w:fontKey="{82FB9E4A-5FF8-489E-B989-D2E45C5254F7}"/>
  </w:font>
  <w:font w:name="楷体_GB2312">
    <w:panose1 w:val="02010609030101010101"/>
    <w:charset w:val="86"/>
    <w:family w:val="auto"/>
    <w:pitch w:val="default"/>
    <w:sig w:usb0="00000001" w:usb1="080E0000" w:usb2="00000000" w:usb3="00000000" w:csb0="00040000" w:csb1="00000000"/>
    <w:embedRegular r:id="rId8" w:fontKey="{F0F0822F-B85D-4EDC-99EE-8E0F59A39A8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73212C">
    <w:pPr>
      <w:pStyle w:val="14"/>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77309"/>
                          </w:sdtPr>
                          <w:sdtContent>
                            <w:p w14:paraId="3DBFD2A5">
                              <w:pPr>
                                <w:pStyle w:val="14"/>
                                <w:jc w:val="center"/>
                              </w:pPr>
                              <w:r>
                                <w:fldChar w:fldCharType="begin"/>
                              </w:r>
                              <w:r>
                                <w:instrText xml:space="preserve">PAGE   \* MERGEFORMAT</w:instrText>
                              </w:r>
                              <w:r>
                                <w:fldChar w:fldCharType="separate"/>
                              </w:r>
                              <w:r>
                                <w:rPr>
                                  <w:lang w:val="zh-CN"/>
                                </w:rPr>
                                <w:t>23</w:t>
                              </w:r>
                              <w:r>
                                <w:fldChar w:fldCharType="end"/>
                              </w:r>
                            </w:p>
                          </w:sdtContent>
                        </w:sdt>
                        <w:p w14:paraId="2A960C49">
                          <w:pPr>
                            <w:pStyle w:val="18"/>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sdt>
                    <w:sdtPr>
                      <w:id w:val="147477309"/>
                    </w:sdtPr>
                    <w:sdtContent>
                      <w:p w14:paraId="3DBFD2A5">
                        <w:pPr>
                          <w:pStyle w:val="14"/>
                          <w:jc w:val="center"/>
                        </w:pPr>
                        <w:r>
                          <w:fldChar w:fldCharType="begin"/>
                        </w:r>
                        <w:r>
                          <w:instrText xml:space="preserve">PAGE   \* MERGEFORMAT</w:instrText>
                        </w:r>
                        <w:r>
                          <w:fldChar w:fldCharType="separate"/>
                        </w:r>
                        <w:r>
                          <w:rPr>
                            <w:lang w:val="zh-CN"/>
                          </w:rPr>
                          <w:t>23</w:t>
                        </w:r>
                        <w:r>
                          <w:fldChar w:fldCharType="end"/>
                        </w:r>
                      </w:p>
                    </w:sdtContent>
                  </w:sdt>
                  <w:p w14:paraId="2A960C49">
                    <w:pPr>
                      <w:pStyle w:val="18"/>
                    </w:pPr>
                  </w:p>
                </w:txbxContent>
              </v:textbox>
            </v:shape>
          </w:pict>
        </mc:Fallback>
      </mc:AlternateContent>
    </w:r>
  </w:p>
  <w:p w14:paraId="0FF3D8D1">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DEC0B8">
    <w:pPr>
      <w:pStyle w:val="14"/>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275558C">
                          <w:pPr>
                            <w:pStyle w:val="1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1275558C">
                    <w:pPr>
                      <w:pStyle w:val="14"/>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38F8BE">
    <w:pPr>
      <w:pStyle w:val="1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633E792"/>
    <w:multiLevelType w:val="singleLevel"/>
    <w:tmpl w:val="B633E792"/>
    <w:lvl w:ilvl="0" w:tentative="0">
      <w:start w:val="1"/>
      <w:numFmt w:val="decimal"/>
      <w:suff w:val="nothing"/>
      <w:lvlText w:val="%1．"/>
      <w:lvlJc w:val="left"/>
      <w:pPr>
        <w:ind w:left="0" w:firstLine="400"/>
      </w:pPr>
      <w:rPr>
        <w:rFonts w:hint="default"/>
      </w:rPr>
    </w:lvl>
  </w:abstractNum>
  <w:abstractNum w:abstractNumId="1">
    <w:nsid w:val="CF652CEC"/>
    <w:multiLevelType w:val="singleLevel"/>
    <w:tmpl w:val="CF652CEC"/>
    <w:lvl w:ilvl="0" w:tentative="0">
      <w:start w:val="9"/>
      <w:numFmt w:val="chineseCounting"/>
      <w:suff w:val="nothing"/>
      <w:lvlText w:val="%1、"/>
      <w:lvlJc w:val="left"/>
      <w:rPr>
        <w:rFonts w:hint="eastAsia"/>
      </w:rPr>
    </w:lvl>
  </w:abstractNum>
  <w:abstractNum w:abstractNumId="2">
    <w:nsid w:val="D5B568FC"/>
    <w:multiLevelType w:val="singleLevel"/>
    <w:tmpl w:val="D5B568FC"/>
    <w:lvl w:ilvl="0" w:tentative="0">
      <w:start w:val="1"/>
      <w:numFmt w:val="decimal"/>
      <w:suff w:val="nothing"/>
      <w:lvlText w:val="%1．"/>
      <w:lvlJc w:val="left"/>
      <w:pPr>
        <w:ind w:left="0" w:firstLine="400"/>
      </w:pPr>
      <w:rPr>
        <w:rFonts w:hint="default"/>
      </w:rPr>
    </w:lvl>
  </w:abstractNum>
  <w:abstractNum w:abstractNumId="3">
    <w:nsid w:val="E4D32306"/>
    <w:multiLevelType w:val="singleLevel"/>
    <w:tmpl w:val="E4D32306"/>
    <w:lvl w:ilvl="0" w:tentative="0">
      <w:start w:val="2"/>
      <w:numFmt w:val="chineseCounting"/>
      <w:suff w:val="nothing"/>
      <w:lvlText w:val="（%1）"/>
      <w:lvlJc w:val="left"/>
      <w:rPr>
        <w:rFonts w:hint="eastAsia"/>
      </w:rPr>
    </w:lvl>
  </w:abstractNum>
  <w:abstractNum w:abstractNumId="4">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5">
    <w:nsid w:val="257D499D"/>
    <w:multiLevelType w:val="singleLevel"/>
    <w:tmpl w:val="257D499D"/>
    <w:lvl w:ilvl="0" w:tentative="0">
      <w:start w:val="2"/>
      <w:numFmt w:val="chineseCounting"/>
      <w:suff w:val="nothing"/>
      <w:lvlText w:val="（%1）"/>
      <w:lvlJc w:val="left"/>
      <w:rPr>
        <w:rFonts w:hint="eastAsia"/>
      </w:rPr>
    </w:lvl>
  </w:abstractNum>
  <w:abstractNum w:abstractNumId="6">
    <w:nsid w:val="62621CDC"/>
    <w:multiLevelType w:val="multilevel"/>
    <w:tmpl w:val="62621CDC"/>
    <w:lvl w:ilvl="0" w:tentative="0">
      <w:start w:val="1"/>
      <w:numFmt w:val="decimal"/>
      <w:lvlText w:val="%1."/>
      <w:lvlJc w:val="left"/>
      <w:pPr>
        <w:ind w:left="1152" w:hanging="480"/>
      </w:pPr>
      <w:rPr>
        <w:rFonts w:hint="default"/>
      </w:rPr>
    </w:lvl>
    <w:lvl w:ilvl="1" w:tentative="0">
      <w:start w:val="1"/>
      <w:numFmt w:val="lowerLetter"/>
      <w:lvlText w:val="%2)"/>
      <w:lvlJc w:val="left"/>
      <w:pPr>
        <w:ind w:left="1512" w:hanging="420"/>
      </w:pPr>
    </w:lvl>
    <w:lvl w:ilvl="2" w:tentative="0">
      <w:start w:val="1"/>
      <w:numFmt w:val="lowerRoman"/>
      <w:lvlText w:val="%3."/>
      <w:lvlJc w:val="right"/>
      <w:pPr>
        <w:ind w:left="1932" w:hanging="420"/>
      </w:pPr>
    </w:lvl>
    <w:lvl w:ilvl="3" w:tentative="0">
      <w:start w:val="1"/>
      <w:numFmt w:val="decimal"/>
      <w:lvlText w:val="%4."/>
      <w:lvlJc w:val="left"/>
      <w:pPr>
        <w:ind w:left="2352" w:hanging="420"/>
      </w:pPr>
    </w:lvl>
    <w:lvl w:ilvl="4" w:tentative="0">
      <w:start w:val="1"/>
      <w:numFmt w:val="lowerLetter"/>
      <w:lvlText w:val="%5)"/>
      <w:lvlJc w:val="left"/>
      <w:pPr>
        <w:ind w:left="2772" w:hanging="420"/>
      </w:pPr>
    </w:lvl>
    <w:lvl w:ilvl="5" w:tentative="0">
      <w:start w:val="1"/>
      <w:numFmt w:val="lowerRoman"/>
      <w:lvlText w:val="%6."/>
      <w:lvlJc w:val="right"/>
      <w:pPr>
        <w:ind w:left="3192" w:hanging="420"/>
      </w:pPr>
    </w:lvl>
    <w:lvl w:ilvl="6" w:tentative="0">
      <w:start w:val="1"/>
      <w:numFmt w:val="decimal"/>
      <w:lvlText w:val="%7."/>
      <w:lvlJc w:val="left"/>
      <w:pPr>
        <w:ind w:left="3612" w:hanging="420"/>
      </w:pPr>
    </w:lvl>
    <w:lvl w:ilvl="7" w:tentative="0">
      <w:start w:val="1"/>
      <w:numFmt w:val="lowerLetter"/>
      <w:lvlText w:val="%8)"/>
      <w:lvlJc w:val="left"/>
      <w:pPr>
        <w:ind w:left="4032" w:hanging="420"/>
      </w:pPr>
    </w:lvl>
    <w:lvl w:ilvl="8" w:tentative="0">
      <w:start w:val="1"/>
      <w:numFmt w:val="lowerRoman"/>
      <w:lvlText w:val="%9."/>
      <w:lvlJc w:val="right"/>
      <w:pPr>
        <w:ind w:left="4452" w:hanging="420"/>
      </w:pPr>
    </w:lvl>
  </w:abstractNum>
  <w:num w:numId="1">
    <w:abstractNumId w:val="6"/>
  </w:num>
  <w:num w:numId="2">
    <w:abstractNumId w:val="4"/>
  </w:num>
  <w:num w:numId="3">
    <w:abstractNumId w:val="0"/>
  </w:num>
  <w:num w:numId="4">
    <w:abstractNumId w:val="1"/>
  </w:num>
  <w:num w:numId="5">
    <w:abstractNumId w:val="2"/>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U1MjFjMDUwODIwZDg4NDczZTI5ZmU1NTQ5YzljMTkifQ=="/>
  </w:docVars>
  <w:rsids>
    <w:rsidRoot w:val="00F1361C"/>
    <w:rsid w:val="00014A1C"/>
    <w:rsid w:val="000222C6"/>
    <w:rsid w:val="0002549F"/>
    <w:rsid w:val="00035392"/>
    <w:rsid w:val="000468DB"/>
    <w:rsid w:val="0006487A"/>
    <w:rsid w:val="00065F8F"/>
    <w:rsid w:val="00070A43"/>
    <w:rsid w:val="000768F2"/>
    <w:rsid w:val="00082EAC"/>
    <w:rsid w:val="0009184B"/>
    <w:rsid w:val="00094236"/>
    <w:rsid w:val="0009593C"/>
    <w:rsid w:val="00097322"/>
    <w:rsid w:val="00097358"/>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30E5"/>
    <w:rsid w:val="00174518"/>
    <w:rsid w:val="0018106D"/>
    <w:rsid w:val="001877A7"/>
    <w:rsid w:val="00191536"/>
    <w:rsid w:val="00196687"/>
    <w:rsid w:val="001C0962"/>
    <w:rsid w:val="001C2738"/>
    <w:rsid w:val="001D7531"/>
    <w:rsid w:val="001E737D"/>
    <w:rsid w:val="001F0592"/>
    <w:rsid w:val="001F6419"/>
    <w:rsid w:val="001F7506"/>
    <w:rsid w:val="002006CD"/>
    <w:rsid w:val="00202B36"/>
    <w:rsid w:val="00204B7A"/>
    <w:rsid w:val="00204CDE"/>
    <w:rsid w:val="0021101A"/>
    <w:rsid w:val="00220536"/>
    <w:rsid w:val="00235629"/>
    <w:rsid w:val="00260289"/>
    <w:rsid w:val="00260C38"/>
    <w:rsid w:val="002616C0"/>
    <w:rsid w:val="002643DB"/>
    <w:rsid w:val="00265372"/>
    <w:rsid w:val="002662AA"/>
    <w:rsid w:val="00280496"/>
    <w:rsid w:val="00283D47"/>
    <w:rsid w:val="00294DC9"/>
    <w:rsid w:val="00295495"/>
    <w:rsid w:val="002A31DE"/>
    <w:rsid w:val="002A62F7"/>
    <w:rsid w:val="002B2613"/>
    <w:rsid w:val="002C1468"/>
    <w:rsid w:val="002D6D05"/>
    <w:rsid w:val="002F1818"/>
    <w:rsid w:val="002F5109"/>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2919"/>
    <w:rsid w:val="003D66DA"/>
    <w:rsid w:val="003E1310"/>
    <w:rsid w:val="003E2E6A"/>
    <w:rsid w:val="003E6F55"/>
    <w:rsid w:val="00406254"/>
    <w:rsid w:val="00410559"/>
    <w:rsid w:val="0041585D"/>
    <w:rsid w:val="00420B47"/>
    <w:rsid w:val="004223DE"/>
    <w:rsid w:val="00434489"/>
    <w:rsid w:val="00437085"/>
    <w:rsid w:val="00443880"/>
    <w:rsid w:val="004464F4"/>
    <w:rsid w:val="00447329"/>
    <w:rsid w:val="00471401"/>
    <w:rsid w:val="00473F31"/>
    <w:rsid w:val="0048263A"/>
    <w:rsid w:val="004826A2"/>
    <w:rsid w:val="00487E5D"/>
    <w:rsid w:val="004A711F"/>
    <w:rsid w:val="004B199D"/>
    <w:rsid w:val="004B4690"/>
    <w:rsid w:val="004E0A2D"/>
    <w:rsid w:val="004E206B"/>
    <w:rsid w:val="004E3607"/>
    <w:rsid w:val="004E6DF7"/>
    <w:rsid w:val="004F0FBD"/>
    <w:rsid w:val="00505A47"/>
    <w:rsid w:val="00512FDA"/>
    <w:rsid w:val="00520DA0"/>
    <w:rsid w:val="005664BB"/>
    <w:rsid w:val="00566FFA"/>
    <w:rsid w:val="0057481D"/>
    <w:rsid w:val="0058486E"/>
    <w:rsid w:val="00585B33"/>
    <w:rsid w:val="0059014D"/>
    <w:rsid w:val="005A09FD"/>
    <w:rsid w:val="005B0198"/>
    <w:rsid w:val="005B321C"/>
    <w:rsid w:val="005B5C64"/>
    <w:rsid w:val="005C5337"/>
    <w:rsid w:val="005C6BD0"/>
    <w:rsid w:val="005D1C8B"/>
    <w:rsid w:val="005D468D"/>
    <w:rsid w:val="005D5CED"/>
    <w:rsid w:val="005F1A4C"/>
    <w:rsid w:val="00605688"/>
    <w:rsid w:val="006070AF"/>
    <w:rsid w:val="00607E6C"/>
    <w:rsid w:val="006101B1"/>
    <w:rsid w:val="00614E44"/>
    <w:rsid w:val="00620030"/>
    <w:rsid w:val="0062270A"/>
    <w:rsid w:val="00622830"/>
    <w:rsid w:val="00623DA0"/>
    <w:rsid w:val="00630AEF"/>
    <w:rsid w:val="006325F8"/>
    <w:rsid w:val="00633463"/>
    <w:rsid w:val="00634C9A"/>
    <w:rsid w:val="00640417"/>
    <w:rsid w:val="00641F56"/>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516B"/>
    <w:rsid w:val="00746F48"/>
    <w:rsid w:val="0075404D"/>
    <w:rsid w:val="0076182A"/>
    <w:rsid w:val="00762406"/>
    <w:rsid w:val="0076493D"/>
    <w:rsid w:val="00767B7E"/>
    <w:rsid w:val="007770C3"/>
    <w:rsid w:val="00784D24"/>
    <w:rsid w:val="00785FBA"/>
    <w:rsid w:val="00786E4A"/>
    <w:rsid w:val="007875EB"/>
    <w:rsid w:val="0079426B"/>
    <w:rsid w:val="007D1682"/>
    <w:rsid w:val="007D312A"/>
    <w:rsid w:val="007D3F19"/>
    <w:rsid w:val="007E23B0"/>
    <w:rsid w:val="007E23E5"/>
    <w:rsid w:val="007E6A82"/>
    <w:rsid w:val="007F1991"/>
    <w:rsid w:val="007F2C2F"/>
    <w:rsid w:val="007F55FC"/>
    <w:rsid w:val="007F5665"/>
    <w:rsid w:val="007F7385"/>
    <w:rsid w:val="00800112"/>
    <w:rsid w:val="00813348"/>
    <w:rsid w:val="008253BB"/>
    <w:rsid w:val="0083706E"/>
    <w:rsid w:val="008408F6"/>
    <w:rsid w:val="008423A5"/>
    <w:rsid w:val="00850625"/>
    <w:rsid w:val="00853718"/>
    <w:rsid w:val="00855221"/>
    <w:rsid w:val="00860645"/>
    <w:rsid w:val="00871F71"/>
    <w:rsid w:val="00872FD8"/>
    <w:rsid w:val="00875641"/>
    <w:rsid w:val="00885AF4"/>
    <w:rsid w:val="00887F08"/>
    <w:rsid w:val="008914B9"/>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34F0"/>
    <w:rsid w:val="00935C98"/>
    <w:rsid w:val="00946945"/>
    <w:rsid w:val="00951248"/>
    <w:rsid w:val="0095152F"/>
    <w:rsid w:val="009546E4"/>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E50C8"/>
    <w:rsid w:val="009F1185"/>
    <w:rsid w:val="009F18CD"/>
    <w:rsid w:val="009F2A13"/>
    <w:rsid w:val="009F7527"/>
    <w:rsid w:val="00A04EB0"/>
    <w:rsid w:val="00A13CC1"/>
    <w:rsid w:val="00A16847"/>
    <w:rsid w:val="00A237D8"/>
    <w:rsid w:val="00A25C9F"/>
    <w:rsid w:val="00A268C4"/>
    <w:rsid w:val="00A27C77"/>
    <w:rsid w:val="00A307CD"/>
    <w:rsid w:val="00A331C8"/>
    <w:rsid w:val="00A40A00"/>
    <w:rsid w:val="00A4142F"/>
    <w:rsid w:val="00A422EB"/>
    <w:rsid w:val="00A45BB7"/>
    <w:rsid w:val="00A56DF2"/>
    <w:rsid w:val="00A56E6E"/>
    <w:rsid w:val="00A67AB5"/>
    <w:rsid w:val="00A733B2"/>
    <w:rsid w:val="00A741C2"/>
    <w:rsid w:val="00A74A9E"/>
    <w:rsid w:val="00A91760"/>
    <w:rsid w:val="00A93B00"/>
    <w:rsid w:val="00A93C21"/>
    <w:rsid w:val="00AB64C9"/>
    <w:rsid w:val="00AC2E50"/>
    <w:rsid w:val="00AC3C6A"/>
    <w:rsid w:val="00AD5620"/>
    <w:rsid w:val="00AD656B"/>
    <w:rsid w:val="00AD7C1B"/>
    <w:rsid w:val="00AE16BA"/>
    <w:rsid w:val="00AE1EBE"/>
    <w:rsid w:val="00B03C9D"/>
    <w:rsid w:val="00B060AE"/>
    <w:rsid w:val="00B10517"/>
    <w:rsid w:val="00B12E8B"/>
    <w:rsid w:val="00B14E76"/>
    <w:rsid w:val="00B161B8"/>
    <w:rsid w:val="00B2048C"/>
    <w:rsid w:val="00B310B9"/>
    <w:rsid w:val="00B35F3F"/>
    <w:rsid w:val="00B36CBB"/>
    <w:rsid w:val="00B411A6"/>
    <w:rsid w:val="00B425E0"/>
    <w:rsid w:val="00B440AA"/>
    <w:rsid w:val="00B44B70"/>
    <w:rsid w:val="00B53C56"/>
    <w:rsid w:val="00B57DAF"/>
    <w:rsid w:val="00B76F9D"/>
    <w:rsid w:val="00B77EA6"/>
    <w:rsid w:val="00B81598"/>
    <w:rsid w:val="00B841F1"/>
    <w:rsid w:val="00B944D6"/>
    <w:rsid w:val="00BA579E"/>
    <w:rsid w:val="00BB4DF0"/>
    <w:rsid w:val="00BC289F"/>
    <w:rsid w:val="00BC2D50"/>
    <w:rsid w:val="00BC5361"/>
    <w:rsid w:val="00BC5460"/>
    <w:rsid w:val="00BC6B50"/>
    <w:rsid w:val="00BD0E25"/>
    <w:rsid w:val="00BF5BD6"/>
    <w:rsid w:val="00C03E31"/>
    <w:rsid w:val="00C33E72"/>
    <w:rsid w:val="00C354B2"/>
    <w:rsid w:val="00C35554"/>
    <w:rsid w:val="00C42709"/>
    <w:rsid w:val="00C46119"/>
    <w:rsid w:val="00C533CC"/>
    <w:rsid w:val="00C5751C"/>
    <w:rsid w:val="00C61BFC"/>
    <w:rsid w:val="00C62B85"/>
    <w:rsid w:val="00C65438"/>
    <w:rsid w:val="00C860D5"/>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950A1"/>
    <w:rsid w:val="00DA634F"/>
    <w:rsid w:val="00DA65AC"/>
    <w:rsid w:val="00DB1913"/>
    <w:rsid w:val="00DC410D"/>
    <w:rsid w:val="00DC5A81"/>
    <w:rsid w:val="00DC68CA"/>
    <w:rsid w:val="00DC7CBA"/>
    <w:rsid w:val="00DD73B7"/>
    <w:rsid w:val="00DF24DF"/>
    <w:rsid w:val="00DF28BC"/>
    <w:rsid w:val="00DF34B9"/>
    <w:rsid w:val="00E01053"/>
    <w:rsid w:val="00E01B70"/>
    <w:rsid w:val="00E07ACF"/>
    <w:rsid w:val="00E11813"/>
    <w:rsid w:val="00E331A1"/>
    <w:rsid w:val="00E33202"/>
    <w:rsid w:val="00E336A9"/>
    <w:rsid w:val="00E472B1"/>
    <w:rsid w:val="00E50624"/>
    <w:rsid w:val="00E568DF"/>
    <w:rsid w:val="00E64269"/>
    <w:rsid w:val="00E82267"/>
    <w:rsid w:val="00E853CE"/>
    <w:rsid w:val="00E867B6"/>
    <w:rsid w:val="00EA010F"/>
    <w:rsid w:val="00EB0FAE"/>
    <w:rsid w:val="00ED1B63"/>
    <w:rsid w:val="00ED3C1F"/>
    <w:rsid w:val="00ED4085"/>
    <w:rsid w:val="00ED420E"/>
    <w:rsid w:val="00ED6FBE"/>
    <w:rsid w:val="00EE2F57"/>
    <w:rsid w:val="00EF4C34"/>
    <w:rsid w:val="00EF77C6"/>
    <w:rsid w:val="00F03938"/>
    <w:rsid w:val="00F05438"/>
    <w:rsid w:val="00F1361C"/>
    <w:rsid w:val="00F156F0"/>
    <w:rsid w:val="00F160C7"/>
    <w:rsid w:val="00F2408F"/>
    <w:rsid w:val="00F240E9"/>
    <w:rsid w:val="00F36D8F"/>
    <w:rsid w:val="00F417B1"/>
    <w:rsid w:val="00F45853"/>
    <w:rsid w:val="00F5561B"/>
    <w:rsid w:val="00F602DF"/>
    <w:rsid w:val="00F754A1"/>
    <w:rsid w:val="00F81FD9"/>
    <w:rsid w:val="00F841AA"/>
    <w:rsid w:val="00F84A94"/>
    <w:rsid w:val="00F87E96"/>
    <w:rsid w:val="00FA23E8"/>
    <w:rsid w:val="00FA789D"/>
    <w:rsid w:val="00FC7DA4"/>
    <w:rsid w:val="00FD3CC1"/>
    <w:rsid w:val="00FF1E02"/>
    <w:rsid w:val="00FF30B4"/>
    <w:rsid w:val="015975B8"/>
    <w:rsid w:val="02FEBE30"/>
    <w:rsid w:val="036F8141"/>
    <w:rsid w:val="044501FA"/>
    <w:rsid w:val="066E0107"/>
    <w:rsid w:val="07996F6E"/>
    <w:rsid w:val="07DFD8BA"/>
    <w:rsid w:val="0A2032A3"/>
    <w:rsid w:val="0AFF2E9F"/>
    <w:rsid w:val="0D35B1ED"/>
    <w:rsid w:val="0E7ED1F5"/>
    <w:rsid w:val="0F98263C"/>
    <w:rsid w:val="101860EC"/>
    <w:rsid w:val="10C055FF"/>
    <w:rsid w:val="118107EC"/>
    <w:rsid w:val="129870E5"/>
    <w:rsid w:val="13D50BC4"/>
    <w:rsid w:val="13F5616D"/>
    <w:rsid w:val="16BB723D"/>
    <w:rsid w:val="17F9714D"/>
    <w:rsid w:val="1918F934"/>
    <w:rsid w:val="1BE8440E"/>
    <w:rsid w:val="1D155CEE"/>
    <w:rsid w:val="1DFBC4B3"/>
    <w:rsid w:val="1E740ACF"/>
    <w:rsid w:val="1F19C781"/>
    <w:rsid w:val="1F33FCE5"/>
    <w:rsid w:val="1F7F7398"/>
    <w:rsid w:val="1FD2DB6F"/>
    <w:rsid w:val="1FF35744"/>
    <w:rsid w:val="1FF6BC77"/>
    <w:rsid w:val="1FF9236D"/>
    <w:rsid w:val="2333840E"/>
    <w:rsid w:val="23860B96"/>
    <w:rsid w:val="240371BF"/>
    <w:rsid w:val="257C638F"/>
    <w:rsid w:val="29FD04D3"/>
    <w:rsid w:val="2BFF7BC6"/>
    <w:rsid w:val="2C4A68D3"/>
    <w:rsid w:val="2C8A61B5"/>
    <w:rsid w:val="2CD59C95"/>
    <w:rsid w:val="2DF04E50"/>
    <w:rsid w:val="2EFD05E5"/>
    <w:rsid w:val="2F040D46"/>
    <w:rsid w:val="2F4F95CE"/>
    <w:rsid w:val="2FACAFDD"/>
    <w:rsid w:val="2FAE5751"/>
    <w:rsid w:val="2FB1A395"/>
    <w:rsid w:val="2FCF0B76"/>
    <w:rsid w:val="2FD9A7D8"/>
    <w:rsid w:val="319F7F4E"/>
    <w:rsid w:val="3304709D"/>
    <w:rsid w:val="35794260"/>
    <w:rsid w:val="36AA5135"/>
    <w:rsid w:val="36BE0DA7"/>
    <w:rsid w:val="376B6AA6"/>
    <w:rsid w:val="376D39B2"/>
    <w:rsid w:val="37E16F03"/>
    <w:rsid w:val="37F53A3B"/>
    <w:rsid w:val="38D469F0"/>
    <w:rsid w:val="38F78389"/>
    <w:rsid w:val="397BAF1F"/>
    <w:rsid w:val="39E7B272"/>
    <w:rsid w:val="39F7642F"/>
    <w:rsid w:val="39FF7B37"/>
    <w:rsid w:val="3AB79AF3"/>
    <w:rsid w:val="3AFDCB77"/>
    <w:rsid w:val="3B7EF35A"/>
    <w:rsid w:val="3B9FDB6C"/>
    <w:rsid w:val="3BF5BC2F"/>
    <w:rsid w:val="3BF7C23A"/>
    <w:rsid w:val="3BFF223E"/>
    <w:rsid w:val="3C6EC0A1"/>
    <w:rsid w:val="3CDB0824"/>
    <w:rsid w:val="3CEBA265"/>
    <w:rsid w:val="3D6A7F9F"/>
    <w:rsid w:val="3D7E7F4D"/>
    <w:rsid w:val="3D98207C"/>
    <w:rsid w:val="3D9CF30A"/>
    <w:rsid w:val="3DFF5A3E"/>
    <w:rsid w:val="3E78745D"/>
    <w:rsid w:val="3EEE77E9"/>
    <w:rsid w:val="3F394AF5"/>
    <w:rsid w:val="3FBE5714"/>
    <w:rsid w:val="3FDD8615"/>
    <w:rsid w:val="3FDFB2FF"/>
    <w:rsid w:val="3FF4CAE0"/>
    <w:rsid w:val="3FF75FAF"/>
    <w:rsid w:val="3FF7B227"/>
    <w:rsid w:val="44E268DA"/>
    <w:rsid w:val="457F4F6B"/>
    <w:rsid w:val="4737FB58"/>
    <w:rsid w:val="47ECCB02"/>
    <w:rsid w:val="47FA6A3F"/>
    <w:rsid w:val="49D7AE48"/>
    <w:rsid w:val="4A3F6C7E"/>
    <w:rsid w:val="4A627F82"/>
    <w:rsid w:val="4B0E749A"/>
    <w:rsid w:val="4B4F25DA"/>
    <w:rsid w:val="4BBB4781"/>
    <w:rsid w:val="4BD709A5"/>
    <w:rsid w:val="4BDD9BFF"/>
    <w:rsid w:val="4BE068DB"/>
    <w:rsid w:val="4D577224"/>
    <w:rsid w:val="4DBF1CEB"/>
    <w:rsid w:val="4DBF6A6B"/>
    <w:rsid w:val="4DF6A672"/>
    <w:rsid w:val="4EAB630A"/>
    <w:rsid w:val="4ECE2238"/>
    <w:rsid w:val="4F7EA413"/>
    <w:rsid w:val="4FAB812F"/>
    <w:rsid w:val="4FE9BD67"/>
    <w:rsid w:val="4FEE4C07"/>
    <w:rsid w:val="4FFB052F"/>
    <w:rsid w:val="537E6D0A"/>
    <w:rsid w:val="53AB6B88"/>
    <w:rsid w:val="53F74C96"/>
    <w:rsid w:val="5583522D"/>
    <w:rsid w:val="57BD3DD4"/>
    <w:rsid w:val="57F9CD1E"/>
    <w:rsid w:val="5A497E41"/>
    <w:rsid w:val="5AF92295"/>
    <w:rsid w:val="5AF9D8E9"/>
    <w:rsid w:val="5BDD38BD"/>
    <w:rsid w:val="5BDD79E6"/>
    <w:rsid w:val="5BEFC772"/>
    <w:rsid w:val="5BFF5DFC"/>
    <w:rsid w:val="5CD71FC4"/>
    <w:rsid w:val="5D1F11B5"/>
    <w:rsid w:val="5D3647F9"/>
    <w:rsid w:val="5DA644D4"/>
    <w:rsid w:val="5DAE1B18"/>
    <w:rsid w:val="5DE7D9E5"/>
    <w:rsid w:val="5ECEC941"/>
    <w:rsid w:val="5EFF8FC6"/>
    <w:rsid w:val="5F5BA39A"/>
    <w:rsid w:val="5F7D3B79"/>
    <w:rsid w:val="5F7F4610"/>
    <w:rsid w:val="5FBF9FF3"/>
    <w:rsid w:val="5FCD4E2C"/>
    <w:rsid w:val="5FEF394A"/>
    <w:rsid w:val="5FF67715"/>
    <w:rsid w:val="61CA71D5"/>
    <w:rsid w:val="627EE9EA"/>
    <w:rsid w:val="63B23AA5"/>
    <w:rsid w:val="647F5392"/>
    <w:rsid w:val="64E322C4"/>
    <w:rsid w:val="65FB93B9"/>
    <w:rsid w:val="6633C463"/>
    <w:rsid w:val="6634063E"/>
    <w:rsid w:val="67D55B77"/>
    <w:rsid w:val="67EE7F84"/>
    <w:rsid w:val="686F5F53"/>
    <w:rsid w:val="6AFFCEAF"/>
    <w:rsid w:val="6B96E9E6"/>
    <w:rsid w:val="6BCE57B5"/>
    <w:rsid w:val="6BFEA4DB"/>
    <w:rsid w:val="6BFFB662"/>
    <w:rsid w:val="6C4A05C8"/>
    <w:rsid w:val="6CFF4FB8"/>
    <w:rsid w:val="6D6BD6E0"/>
    <w:rsid w:val="6D77E73C"/>
    <w:rsid w:val="6DBF5E93"/>
    <w:rsid w:val="6DFF077E"/>
    <w:rsid w:val="6E7E3605"/>
    <w:rsid w:val="6E7FDCC7"/>
    <w:rsid w:val="6ED6A62E"/>
    <w:rsid w:val="6EE00B15"/>
    <w:rsid w:val="6EE737B2"/>
    <w:rsid w:val="6EEB2329"/>
    <w:rsid w:val="6EECE67A"/>
    <w:rsid w:val="6F6F90A8"/>
    <w:rsid w:val="6F6FB3EB"/>
    <w:rsid w:val="6F8731EA"/>
    <w:rsid w:val="6FBC2ADD"/>
    <w:rsid w:val="6FD57C00"/>
    <w:rsid w:val="6FEFFFD8"/>
    <w:rsid w:val="6FF5CC65"/>
    <w:rsid w:val="6FFB47EC"/>
    <w:rsid w:val="6FFF034A"/>
    <w:rsid w:val="712A28F1"/>
    <w:rsid w:val="715C0E4B"/>
    <w:rsid w:val="71FFD401"/>
    <w:rsid w:val="72233669"/>
    <w:rsid w:val="72734D90"/>
    <w:rsid w:val="7332FE48"/>
    <w:rsid w:val="73AD73D5"/>
    <w:rsid w:val="73B6EB34"/>
    <w:rsid w:val="73FA497D"/>
    <w:rsid w:val="744731E5"/>
    <w:rsid w:val="74BBD01D"/>
    <w:rsid w:val="74ED5379"/>
    <w:rsid w:val="75DEEEC2"/>
    <w:rsid w:val="767F479D"/>
    <w:rsid w:val="76E3355F"/>
    <w:rsid w:val="76F742AF"/>
    <w:rsid w:val="76F7BE7D"/>
    <w:rsid w:val="76FF5125"/>
    <w:rsid w:val="773570D3"/>
    <w:rsid w:val="77597F31"/>
    <w:rsid w:val="776F6FFA"/>
    <w:rsid w:val="7777A522"/>
    <w:rsid w:val="77858688"/>
    <w:rsid w:val="778769C8"/>
    <w:rsid w:val="77CB741A"/>
    <w:rsid w:val="77D7BE3A"/>
    <w:rsid w:val="77DC22F5"/>
    <w:rsid w:val="797E3A6C"/>
    <w:rsid w:val="79CF70E2"/>
    <w:rsid w:val="79D7FD79"/>
    <w:rsid w:val="79E75806"/>
    <w:rsid w:val="79EE5BA4"/>
    <w:rsid w:val="7A641148"/>
    <w:rsid w:val="7A6F8BF5"/>
    <w:rsid w:val="7A894339"/>
    <w:rsid w:val="7ACF82B5"/>
    <w:rsid w:val="7AFF28C9"/>
    <w:rsid w:val="7AFF72A0"/>
    <w:rsid w:val="7AFF7572"/>
    <w:rsid w:val="7B6C7DFB"/>
    <w:rsid w:val="7B7D76A7"/>
    <w:rsid w:val="7BAE2FE2"/>
    <w:rsid w:val="7BAF6951"/>
    <w:rsid w:val="7BBFBED0"/>
    <w:rsid w:val="7BC3E394"/>
    <w:rsid w:val="7BF3FE4C"/>
    <w:rsid w:val="7BFB5035"/>
    <w:rsid w:val="7BFDE17E"/>
    <w:rsid w:val="7CBFC87B"/>
    <w:rsid w:val="7CFE0F48"/>
    <w:rsid w:val="7D3DE31C"/>
    <w:rsid w:val="7D7EC23E"/>
    <w:rsid w:val="7D7F8A13"/>
    <w:rsid w:val="7DBBCB01"/>
    <w:rsid w:val="7DC765D0"/>
    <w:rsid w:val="7DDB0EE0"/>
    <w:rsid w:val="7DFF51D8"/>
    <w:rsid w:val="7E634199"/>
    <w:rsid w:val="7E8ADEBF"/>
    <w:rsid w:val="7EEF11D3"/>
    <w:rsid w:val="7EF78C20"/>
    <w:rsid w:val="7F3F679B"/>
    <w:rsid w:val="7F4FC4EF"/>
    <w:rsid w:val="7F5E4D54"/>
    <w:rsid w:val="7F6B75FA"/>
    <w:rsid w:val="7F9F518D"/>
    <w:rsid w:val="7FA30C79"/>
    <w:rsid w:val="7FAF8ABF"/>
    <w:rsid w:val="7FB7269E"/>
    <w:rsid w:val="7FBD6753"/>
    <w:rsid w:val="7FBFABB4"/>
    <w:rsid w:val="7FC65084"/>
    <w:rsid w:val="7FC96657"/>
    <w:rsid w:val="7FD72595"/>
    <w:rsid w:val="7FDA9588"/>
    <w:rsid w:val="7FDF220F"/>
    <w:rsid w:val="7FDF4542"/>
    <w:rsid w:val="7FDF5405"/>
    <w:rsid w:val="7FEDC251"/>
    <w:rsid w:val="7FEDC5F7"/>
    <w:rsid w:val="7FEDD9DE"/>
    <w:rsid w:val="7FEFCDB9"/>
    <w:rsid w:val="7FF5890D"/>
    <w:rsid w:val="7FF5EB09"/>
    <w:rsid w:val="7FF89B92"/>
    <w:rsid w:val="7FF8F2E7"/>
    <w:rsid w:val="7FF93490"/>
    <w:rsid w:val="7FFA6237"/>
    <w:rsid w:val="7FFB5275"/>
    <w:rsid w:val="7FFD14DE"/>
    <w:rsid w:val="7FFFF783"/>
    <w:rsid w:val="93F70A9E"/>
    <w:rsid w:val="997D060E"/>
    <w:rsid w:val="99FF2014"/>
    <w:rsid w:val="9E59F895"/>
    <w:rsid w:val="9E7DEDC1"/>
    <w:rsid w:val="9EEF2B0D"/>
    <w:rsid w:val="9FF6F2A6"/>
    <w:rsid w:val="9FFE4AD9"/>
    <w:rsid w:val="9FFF61B9"/>
    <w:rsid w:val="A6DD0D7F"/>
    <w:rsid w:val="A7955197"/>
    <w:rsid w:val="A7FE5E0E"/>
    <w:rsid w:val="ADC6F725"/>
    <w:rsid w:val="AF0FFA84"/>
    <w:rsid w:val="AF9F0A5E"/>
    <w:rsid w:val="AFEF7964"/>
    <w:rsid w:val="B27A6F28"/>
    <w:rsid w:val="B35F0D5A"/>
    <w:rsid w:val="B3F7F693"/>
    <w:rsid w:val="B3FBBB6C"/>
    <w:rsid w:val="B5FFE407"/>
    <w:rsid w:val="B7CF06AB"/>
    <w:rsid w:val="B7CFA926"/>
    <w:rsid w:val="B7F8786B"/>
    <w:rsid w:val="B9EF5647"/>
    <w:rsid w:val="BABB6AA1"/>
    <w:rsid w:val="BAFCD398"/>
    <w:rsid w:val="BAFFDA0F"/>
    <w:rsid w:val="BB2F4199"/>
    <w:rsid w:val="BBFBD24E"/>
    <w:rsid w:val="BD079C78"/>
    <w:rsid w:val="BD2DD278"/>
    <w:rsid w:val="BD733540"/>
    <w:rsid w:val="BDF7970E"/>
    <w:rsid w:val="BDFE68BD"/>
    <w:rsid w:val="BE6FC990"/>
    <w:rsid w:val="BEBE9537"/>
    <w:rsid w:val="BEFF0D62"/>
    <w:rsid w:val="BEFF90EF"/>
    <w:rsid w:val="BF3735D5"/>
    <w:rsid w:val="BF7F09AC"/>
    <w:rsid w:val="BFB3380D"/>
    <w:rsid w:val="BFB7E7A2"/>
    <w:rsid w:val="BFC2F103"/>
    <w:rsid w:val="BFD475C3"/>
    <w:rsid w:val="BFDE5EA6"/>
    <w:rsid w:val="BFEF99E9"/>
    <w:rsid w:val="BFF9E564"/>
    <w:rsid w:val="BFFF3A69"/>
    <w:rsid w:val="C7BFEF9C"/>
    <w:rsid w:val="C8BD8F25"/>
    <w:rsid w:val="C94DA72E"/>
    <w:rsid w:val="CBEEAA00"/>
    <w:rsid w:val="CC7E9ECE"/>
    <w:rsid w:val="CDBFF9FF"/>
    <w:rsid w:val="CDF78664"/>
    <w:rsid w:val="CE3FF57E"/>
    <w:rsid w:val="CF3AB4AC"/>
    <w:rsid w:val="CF6FC6F3"/>
    <w:rsid w:val="CFD3D3D7"/>
    <w:rsid w:val="CFDF1009"/>
    <w:rsid w:val="D6B7E4F6"/>
    <w:rsid w:val="D6CB2739"/>
    <w:rsid w:val="D776A8DB"/>
    <w:rsid w:val="D7B6B268"/>
    <w:rsid w:val="D7D7B16A"/>
    <w:rsid w:val="D7EF2E2A"/>
    <w:rsid w:val="D8D6DB89"/>
    <w:rsid w:val="DB6F4CAB"/>
    <w:rsid w:val="DB777682"/>
    <w:rsid w:val="DBDDA52A"/>
    <w:rsid w:val="DCFFC0D1"/>
    <w:rsid w:val="DD1FB521"/>
    <w:rsid w:val="DDCB2E5E"/>
    <w:rsid w:val="DDFE75CA"/>
    <w:rsid w:val="DEFBBE33"/>
    <w:rsid w:val="DEFBFEAE"/>
    <w:rsid w:val="DF1F3B80"/>
    <w:rsid w:val="DF6F9789"/>
    <w:rsid w:val="DF9B8D55"/>
    <w:rsid w:val="DF9D198A"/>
    <w:rsid w:val="DFDF1D8E"/>
    <w:rsid w:val="DFEFC58B"/>
    <w:rsid w:val="DFF5F241"/>
    <w:rsid w:val="DFFFA9E8"/>
    <w:rsid w:val="E37D5D3F"/>
    <w:rsid w:val="E3FFE98D"/>
    <w:rsid w:val="E5F4E9DC"/>
    <w:rsid w:val="E67FF583"/>
    <w:rsid w:val="E70FE695"/>
    <w:rsid w:val="E7676621"/>
    <w:rsid w:val="E76B2B9A"/>
    <w:rsid w:val="E7AB7A34"/>
    <w:rsid w:val="E7DF1E20"/>
    <w:rsid w:val="E7FF6381"/>
    <w:rsid w:val="E9A30291"/>
    <w:rsid w:val="EBBF924C"/>
    <w:rsid w:val="ECFED1BC"/>
    <w:rsid w:val="ED1D69BB"/>
    <w:rsid w:val="ED2C2584"/>
    <w:rsid w:val="ED7FD312"/>
    <w:rsid w:val="EDBE03E0"/>
    <w:rsid w:val="EDD1A84A"/>
    <w:rsid w:val="EDFF8263"/>
    <w:rsid w:val="EE1FA0C7"/>
    <w:rsid w:val="EF53993F"/>
    <w:rsid w:val="EF7B8152"/>
    <w:rsid w:val="EF8E27E2"/>
    <w:rsid w:val="EFBFB2F4"/>
    <w:rsid w:val="EFBFFA21"/>
    <w:rsid w:val="EFDF4337"/>
    <w:rsid w:val="EFF7097E"/>
    <w:rsid w:val="F2BEBCB8"/>
    <w:rsid w:val="F36FB518"/>
    <w:rsid w:val="F3DE1A04"/>
    <w:rsid w:val="F3E244FA"/>
    <w:rsid w:val="F3EFB7CA"/>
    <w:rsid w:val="F3F722E5"/>
    <w:rsid w:val="F699BB1A"/>
    <w:rsid w:val="F6DEABFE"/>
    <w:rsid w:val="F7B650C7"/>
    <w:rsid w:val="F7EF9033"/>
    <w:rsid w:val="F7FDC2B1"/>
    <w:rsid w:val="F8DDDAC6"/>
    <w:rsid w:val="F96B55C8"/>
    <w:rsid w:val="FA2F5BEB"/>
    <w:rsid w:val="FA5F1E70"/>
    <w:rsid w:val="FA5FDB97"/>
    <w:rsid w:val="FB1BB959"/>
    <w:rsid w:val="FB75E3C8"/>
    <w:rsid w:val="FB7F461B"/>
    <w:rsid w:val="FB7F486A"/>
    <w:rsid w:val="FB7F6E28"/>
    <w:rsid w:val="FB8778F4"/>
    <w:rsid w:val="FBB61866"/>
    <w:rsid w:val="FBEE055A"/>
    <w:rsid w:val="FBF91527"/>
    <w:rsid w:val="FBFD1260"/>
    <w:rsid w:val="FBFF5B2E"/>
    <w:rsid w:val="FC833EBB"/>
    <w:rsid w:val="FCFE0B49"/>
    <w:rsid w:val="FD4B388D"/>
    <w:rsid w:val="FD77A83C"/>
    <w:rsid w:val="FD7FFE2B"/>
    <w:rsid w:val="FDADA43D"/>
    <w:rsid w:val="FDBDC432"/>
    <w:rsid w:val="FDEB412A"/>
    <w:rsid w:val="FDEE196B"/>
    <w:rsid w:val="FDEF50BC"/>
    <w:rsid w:val="FDFD5EC3"/>
    <w:rsid w:val="FDFE6575"/>
    <w:rsid w:val="FE9E11AB"/>
    <w:rsid w:val="FEBF38CD"/>
    <w:rsid w:val="FEDFDDC2"/>
    <w:rsid w:val="FEEB4E4D"/>
    <w:rsid w:val="FEED32F6"/>
    <w:rsid w:val="FEF781DD"/>
    <w:rsid w:val="FEF9D8C4"/>
    <w:rsid w:val="FF3F7E3F"/>
    <w:rsid w:val="FF3FF759"/>
    <w:rsid w:val="FF4749A3"/>
    <w:rsid w:val="FF4D3A28"/>
    <w:rsid w:val="FF5913BC"/>
    <w:rsid w:val="FF7F1E7E"/>
    <w:rsid w:val="FF9BAA5C"/>
    <w:rsid w:val="FFA57884"/>
    <w:rsid w:val="FFB513DD"/>
    <w:rsid w:val="FFBA12D7"/>
    <w:rsid w:val="FFBFE8C6"/>
    <w:rsid w:val="FFCF2925"/>
    <w:rsid w:val="FFD33B6C"/>
    <w:rsid w:val="FFDAD824"/>
    <w:rsid w:val="FFDE4064"/>
    <w:rsid w:val="FFDEA9D8"/>
    <w:rsid w:val="FFDF2DEC"/>
    <w:rsid w:val="FFDF624E"/>
    <w:rsid w:val="FFDF6BC0"/>
    <w:rsid w:val="FFDFFAEE"/>
    <w:rsid w:val="FFE3BA41"/>
    <w:rsid w:val="FFE3BED4"/>
    <w:rsid w:val="FFF316C1"/>
    <w:rsid w:val="FFF63ECC"/>
    <w:rsid w:val="FFF9B57B"/>
    <w:rsid w:val="FFFD61D9"/>
    <w:rsid w:val="FFFD8F59"/>
    <w:rsid w:val="FFFF2BB1"/>
    <w:rsid w:val="FFFFB04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link w:val="32"/>
    <w:autoRedefine/>
    <w:qFormat/>
    <w:uiPriority w:val="9"/>
    <w:pPr>
      <w:keepNext/>
      <w:keepLines/>
      <w:spacing w:before="340" w:after="330" w:line="578" w:lineRule="auto"/>
      <w:outlineLvl w:val="0"/>
    </w:pPr>
    <w:rPr>
      <w:b/>
      <w:bCs/>
      <w:kern w:val="44"/>
      <w:sz w:val="44"/>
      <w:szCs w:val="44"/>
    </w:rPr>
  </w:style>
  <w:style w:type="paragraph" w:styleId="6">
    <w:name w:val="heading 2"/>
    <w:basedOn w:val="1"/>
    <w:next w:val="1"/>
    <w:link w:val="33"/>
    <w:autoRedefine/>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7">
    <w:name w:val="heading 3"/>
    <w:basedOn w:val="1"/>
    <w:next w:val="1"/>
    <w:link w:val="36"/>
    <w:autoRedefine/>
    <w:unhideWhenUsed/>
    <w:qFormat/>
    <w:uiPriority w:val="9"/>
    <w:pPr>
      <w:keepNext/>
      <w:keepLines/>
      <w:spacing w:before="260" w:after="260" w:line="416" w:lineRule="auto"/>
      <w:outlineLvl w:val="2"/>
    </w:pPr>
    <w:rPr>
      <w:b/>
      <w:bCs/>
      <w:sz w:val="32"/>
      <w:szCs w:val="32"/>
    </w:rPr>
  </w:style>
  <w:style w:type="paragraph" w:styleId="8">
    <w:name w:val="heading 4"/>
    <w:basedOn w:val="1"/>
    <w:next w:val="1"/>
    <w:autoRedefine/>
    <w:unhideWhenUsed/>
    <w:qFormat/>
    <w:uiPriority w:val="9"/>
    <w:pPr>
      <w:keepNext/>
      <w:keepLines/>
      <w:spacing w:before="280" w:beforeLines="0" w:beforeAutospacing="0" w:after="290" w:afterLines="0" w:afterAutospacing="0" w:line="372" w:lineRule="auto"/>
      <w:outlineLvl w:val="3"/>
    </w:pPr>
    <w:rPr>
      <w:rFonts w:ascii="Arial" w:hAnsi="Arial" w:eastAsia="黑体"/>
      <w:b/>
      <w:sz w:val="28"/>
    </w:rPr>
  </w:style>
  <w:style w:type="paragraph" w:styleId="9">
    <w:name w:val="heading 5"/>
    <w:basedOn w:val="1"/>
    <w:next w:val="1"/>
    <w:autoRedefine/>
    <w:unhideWhenUsed/>
    <w:qFormat/>
    <w:uiPriority w:val="9"/>
    <w:pPr>
      <w:keepNext/>
      <w:keepLines/>
      <w:spacing w:before="280" w:beforeLines="0" w:beforeAutospacing="0" w:after="290" w:afterLines="0" w:afterAutospacing="0" w:line="372" w:lineRule="auto"/>
      <w:outlineLvl w:val="4"/>
    </w:pPr>
    <w:rPr>
      <w:b/>
      <w:sz w:val="28"/>
    </w:rPr>
  </w:style>
  <w:style w:type="paragraph" w:styleId="10">
    <w:name w:val="heading 6"/>
    <w:basedOn w:val="1"/>
    <w:next w:val="1"/>
    <w:autoRedefine/>
    <w:unhideWhenUsed/>
    <w:qFormat/>
    <w:uiPriority w:val="9"/>
    <w:pPr>
      <w:keepNext/>
      <w:keepLines/>
      <w:spacing w:before="240" w:beforeLines="0" w:beforeAutospacing="0" w:after="64" w:afterLines="0" w:afterAutospacing="0" w:line="317" w:lineRule="auto"/>
      <w:outlineLvl w:val="5"/>
    </w:pPr>
    <w:rPr>
      <w:rFonts w:ascii="Arial" w:hAnsi="Arial" w:eastAsia="黑体"/>
      <w:b/>
      <w:sz w:val="24"/>
    </w:rPr>
  </w:style>
  <w:style w:type="character" w:default="1" w:styleId="20">
    <w:name w:val="Default Paragraph Font"/>
    <w:autoRedefine/>
    <w:semiHidden/>
    <w:unhideWhenUsed/>
    <w:qFormat/>
    <w:uiPriority w:val="1"/>
  </w:style>
  <w:style w:type="table" w:default="1" w:styleId="19">
    <w:name w:val="Normal Table"/>
    <w:autoRedefine/>
    <w:semiHidden/>
    <w:unhideWhenUsed/>
    <w:qFormat/>
    <w:uiPriority w:val="99"/>
    <w:tblPr>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autoRedefine/>
    <w:unhideWhenUsed/>
    <w:qFormat/>
    <w:uiPriority w:val="99"/>
    <w:pPr>
      <w:ind w:firstLine="420" w:firstLineChars="200"/>
    </w:pPr>
  </w:style>
  <w:style w:type="paragraph" w:styleId="4">
    <w:name w:val="Body Text Indent"/>
    <w:basedOn w:val="1"/>
    <w:next w:val="3"/>
    <w:autoRedefine/>
    <w:qFormat/>
    <w:uiPriority w:val="0"/>
    <w:pPr>
      <w:spacing w:after="120"/>
      <w:ind w:left="200" w:leftChars="200"/>
    </w:pPr>
    <w:rPr>
      <w:rFonts w:ascii="仿宋_GB2312"/>
      <w:szCs w:val="32"/>
    </w:rPr>
  </w:style>
  <w:style w:type="paragraph" w:styleId="11">
    <w:name w:val="Body Text"/>
    <w:basedOn w:val="1"/>
    <w:link w:val="29"/>
    <w:autoRedefine/>
    <w:qFormat/>
    <w:uiPriority w:val="99"/>
    <w:pPr>
      <w:spacing w:beforeLines="30"/>
    </w:pPr>
    <w:rPr>
      <w:rFonts w:ascii="仿宋_GB2312" w:eastAsia="仿宋_GB2312"/>
      <w:kern w:val="0"/>
      <w:sz w:val="30"/>
    </w:rPr>
  </w:style>
  <w:style w:type="paragraph" w:styleId="12">
    <w:name w:val="toc 3"/>
    <w:basedOn w:val="1"/>
    <w:next w:val="1"/>
    <w:autoRedefine/>
    <w:unhideWhenUsed/>
    <w:qFormat/>
    <w:uiPriority w:val="39"/>
    <w:pPr>
      <w:tabs>
        <w:tab w:val="right" w:leader="dot" w:pos="8296"/>
      </w:tabs>
      <w:ind w:left="840" w:leftChars="400"/>
    </w:pPr>
  </w:style>
  <w:style w:type="paragraph" w:styleId="13">
    <w:name w:val="Balloon Text"/>
    <w:basedOn w:val="1"/>
    <w:link w:val="35"/>
    <w:autoRedefine/>
    <w:semiHidden/>
    <w:unhideWhenUsed/>
    <w:qFormat/>
    <w:uiPriority w:val="99"/>
    <w:rPr>
      <w:sz w:val="18"/>
      <w:szCs w:val="18"/>
    </w:rPr>
  </w:style>
  <w:style w:type="paragraph" w:styleId="14">
    <w:name w:val="footer"/>
    <w:basedOn w:val="1"/>
    <w:link w:val="27"/>
    <w:autoRedefine/>
    <w:qFormat/>
    <w:uiPriority w:val="99"/>
    <w:pPr>
      <w:tabs>
        <w:tab w:val="center" w:pos="4153"/>
        <w:tab w:val="right" w:pos="8306"/>
      </w:tabs>
      <w:snapToGrid w:val="0"/>
      <w:jc w:val="left"/>
    </w:pPr>
    <w:rPr>
      <w:rFonts w:ascii="Calibri" w:hAnsi="Calibri"/>
      <w:kern w:val="0"/>
      <w:sz w:val="18"/>
      <w:szCs w:val="18"/>
    </w:rPr>
  </w:style>
  <w:style w:type="paragraph" w:styleId="15">
    <w:name w:val="header"/>
    <w:basedOn w:val="1"/>
    <w:link w:val="25"/>
    <w:autoRedefine/>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6">
    <w:name w:val="toc 1"/>
    <w:basedOn w:val="1"/>
    <w:next w:val="1"/>
    <w:autoRedefine/>
    <w:unhideWhenUsed/>
    <w:qFormat/>
    <w:uiPriority w:val="39"/>
    <w:pPr>
      <w:tabs>
        <w:tab w:val="right" w:leader="dot" w:pos="8296"/>
      </w:tabs>
      <w:spacing w:before="93"/>
      <w:jc w:val="center"/>
    </w:pPr>
    <w:rPr>
      <w:rFonts w:ascii="仿宋" w:hAnsi="仿宋" w:eastAsia="仿宋"/>
      <w:sz w:val="28"/>
      <w:szCs w:val="28"/>
    </w:rPr>
  </w:style>
  <w:style w:type="paragraph" w:styleId="17">
    <w:name w:val="toc 2"/>
    <w:basedOn w:val="1"/>
    <w:next w:val="1"/>
    <w:autoRedefine/>
    <w:unhideWhenUsed/>
    <w:qFormat/>
    <w:uiPriority w:val="39"/>
    <w:pPr>
      <w:tabs>
        <w:tab w:val="right" w:leader="dot" w:pos="8296"/>
      </w:tabs>
      <w:ind w:left="420" w:leftChars="200"/>
    </w:pPr>
  </w:style>
  <w:style w:type="paragraph" w:styleId="18">
    <w:name w:val="Title"/>
    <w:basedOn w:val="1"/>
    <w:next w:val="1"/>
    <w:autoRedefine/>
    <w:qFormat/>
    <w:uiPriority w:val="0"/>
    <w:pPr>
      <w:spacing w:before="240" w:after="60" w:line="320" w:lineRule="atLeast"/>
      <w:ind w:firstLine="200" w:firstLineChars="200"/>
      <w:outlineLvl w:val="0"/>
    </w:pPr>
    <w:rPr>
      <w:rFonts w:ascii="Cambria" w:hAnsi="Cambria" w:eastAsia="黑体"/>
      <w:bCs/>
      <w:sz w:val="32"/>
      <w:szCs w:val="32"/>
    </w:rPr>
  </w:style>
  <w:style w:type="character" w:styleId="21">
    <w:name w:val="Strong"/>
    <w:basedOn w:val="20"/>
    <w:autoRedefine/>
    <w:qFormat/>
    <w:uiPriority w:val="99"/>
    <w:rPr>
      <w:b/>
    </w:rPr>
  </w:style>
  <w:style w:type="character" w:styleId="22">
    <w:name w:val="Hyperlink"/>
    <w:basedOn w:val="20"/>
    <w:autoRedefine/>
    <w:unhideWhenUsed/>
    <w:qFormat/>
    <w:uiPriority w:val="99"/>
    <w:rPr>
      <w:color w:val="0000FF" w:themeColor="hyperlink"/>
      <w:u w:val="single"/>
      <w14:textFill>
        <w14:solidFill>
          <w14:schemeClr w14:val="hlink"/>
        </w14:solidFill>
      </w14:textFill>
    </w:rPr>
  </w:style>
  <w:style w:type="paragraph" w:customStyle="1" w:styleId="23">
    <w:name w:val="标题 5（有编号）（绿盟科技）"/>
    <w:next w:val="1"/>
    <w:autoRedefine/>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character" w:customStyle="1" w:styleId="24">
    <w:name w:val="Header Char"/>
    <w:basedOn w:val="20"/>
    <w:autoRedefine/>
    <w:semiHidden/>
    <w:qFormat/>
    <w:uiPriority w:val="99"/>
    <w:rPr>
      <w:rFonts w:ascii="Times New Roman" w:hAnsi="Times New Roman"/>
      <w:sz w:val="18"/>
      <w:szCs w:val="18"/>
    </w:rPr>
  </w:style>
  <w:style w:type="character" w:customStyle="1" w:styleId="25">
    <w:name w:val="页眉 字符"/>
    <w:link w:val="15"/>
    <w:autoRedefine/>
    <w:semiHidden/>
    <w:qFormat/>
    <w:locked/>
    <w:uiPriority w:val="99"/>
    <w:rPr>
      <w:sz w:val="18"/>
    </w:rPr>
  </w:style>
  <w:style w:type="character" w:customStyle="1" w:styleId="26">
    <w:name w:val="Footer Char"/>
    <w:basedOn w:val="20"/>
    <w:autoRedefine/>
    <w:semiHidden/>
    <w:qFormat/>
    <w:uiPriority w:val="99"/>
    <w:rPr>
      <w:rFonts w:ascii="Times New Roman" w:hAnsi="Times New Roman"/>
      <w:sz w:val="18"/>
      <w:szCs w:val="18"/>
    </w:rPr>
  </w:style>
  <w:style w:type="character" w:customStyle="1" w:styleId="27">
    <w:name w:val="页脚 字符"/>
    <w:link w:val="14"/>
    <w:autoRedefine/>
    <w:qFormat/>
    <w:locked/>
    <w:uiPriority w:val="99"/>
    <w:rPr>
      <w:sz w:val="18"/>
    </w:rPr>
  </w:style>
  <w:style w:type="character" w:customStyle="1" w:styleId="28">
    <w:name w:val="Body Text Char"/>
    <w:basedOn w:val="20"/>
    <w:autoRedefine/>
    <w:semiHidden/>
    <w:qFormat/>
    <w:uiPriority w:val="99"/>
    <w:rPr>
      <w:rFonts w:ascii="Times New Roman" w:hAnsi="Times New Roman"/>
      <w:szCs w:val="24"/>
    </w:rPr>
  </w:style>
  <w:style w:type="character" w:customStyle="1" w:styleId="29">
    <w:name w:val="正文文本 字符"/>
    <w:link w:val="11"/>
    <w:autoRedefine/>
    <w:qFormat/>
    <w:locked/>
    <w:uiPriority w:val="99"/>
    <w:rPr>
      <w:rFonts w:ascii="仿宋_GB2312" w:hAnsi="Times New Roman" w:eastAsia="仿宋_GB2312"/>
      <w:sz w:val="24"/>
    </w:rPr>
  </w:style>
  <w:style w:type="paragraph" w:customStyle="1" w:styleId="30">
    <w:name w:val="Default"/>
    <w:autoRedefine/>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31">
    <w:name w:val="List Paragraph"/>
    <w:basedOn w:val="1"/>
    <w:autoRedefine/>
    <w:qFormat/>
    <w:uiPriority w:val="34"/>
    <w:pPr>
      <w:ind w:firstLine="420" w:firstLineChars="200"/>
    </w:pPr>
  </w:style>
  <w:style w:type="character" w:customStyle="1" w:styleId="32">
    <w:name w:val="标题 1 字符"/>
    <w:basedOn w:val="20"/>
    <w:link w:val="5"/>
    <w:autoRedefine/>
    <w:qFormat/>
    <w:uiPriority w:val="9"/>
    <w:rPr>
      <w:rFonts w:ascii="Times New Roman" w:hAnsi="Times New Roman"/>
      <w:b/>
      <w:bCs/>
      <w:kern w:val="44"/>
      <w:sz w:val="44"/>
      <w:szCs w:val="44"/>
    </w:rPr>
  </w:style>
  <w:style w:type="character" w:customStyle="1" w:styleId="33">
    <w:name w:val="标题 2 字符"/>
    <w:basedOn w:val="20"/>
    <w:link w:val="6"/>
    <w:autoRedefine/>
    <w:qFormat/>
    <w:uiPriority w:val="9"/>
    <w:rPr>
      <w:rFonts w:asciiTheme="majorHAnsi" w:hAnsiTheme="majorHAnsi" w:eastAsiaTheme="majorEastAsia" w:cstheme="majorBidi"/>
      <w:b/>
      <w:bCs/>
      <w:kern w:val="2"/>
      <w:sz w:val="32"/>
      <w:szCs w:val="32"/>
    </w:rPr>
  </w:style>
  <w:style w:type="paragraph" w:customStyle="1" w:styleId="34">
    <w:name w:val="TOC 标题1"/>
    <w:basedOn w:val="5"/>
    <w:next w:val="1"/>
    <w:autoRedefine/>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5">
    <w:name w:val="批注框文本 字符"/>
    <w:basedOn w:val="20"/>
    <w:link w:val="13"/>
    <w:autoRedefine/>
    <w:semiHidden/>
    <w:qFormat/>
    <w:uiPriority w:val="99"/>
    <w:rPr>
      <w:rFonts w:ascii="Times New Roman" w:hAnsi="Times New Roman"/>
      <w:kern w:val="2"/>
      <w:sz w:val="18"/>
      <w:szCs w:val="18"/>
    </w:rPr>
  </w:style>
  <w:style w:type="character" w:customStyle="1" w:styleId="36">
    <w:name w:val="标题 3 字符"/>
    <w:basedOn w:val="20"/>
    <w:link w:val="7"/>
    <w:autoRedefine/>
    <w:qFormat/>
    <w:uiPriority w:val="9"/>
    <w:rPr>
      <w:rFonts w:ascii="Times New Roman" w:hAnsi="Times New Roman"/>
      <w:b/>
      <w:bCs/>
      <w:kern w:val="2"/>
      <w:sz w:val="32"/>
      <w:szCs w:val="32"/>
    </w:rPr>
  </w:style>
  <w:style w:type="paragraph" w:customStyle="1" w:styleId="37">
    <w:name w:val="TOC 标题2"/>
    <w:basedOn w:val="5"/>
    <w:next w:val="1"/>
    <w:autoRedefine/>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8">
    <w:name w:val="四号正文"/>
    <w:basedOn w:val="1"/>
    <w:autoRedefine/>
    <w:qFormat/>
    <w:uiPriority w:val="0"/>
    <w:pPr>
      <w:spacing w:line="360" w:lineRule="auto"/>
    </w:pPr>
    <w:rPr>
      <w:rFonts w:ascii="??" w:hAnsi="??"/>
      <w:color w:val="000000"/>
      <w:kern w:val="0"/>
      <w:sz w:val="28"/>
      <w:szCs w:val="21"/>
      <w:lang w:val="zh-CN"/>
    </w:rPr>
  </w:style>
  <w:style w:type="paragraph" w:customStyle="1" w:styleId="39">
    <w:name w:val="WPSOffice手动目录 1"/>
    <w:autoRedefine/>
    <w:qFormat/>
    <w:uiPriority w:val="0"/>
    <w:pPr>
      <w:ind w:leftChars="0"/>
    </w:pPr>
    <w:rPr>
      <w:rFonts w:asciiTheme="minorHAnsi" w:hAnsiTheme="minorHAnsi" w:eastAsiaTheme="minorEastAsia" w:cstheme="minorBidi"/>
      <w:sz w:val="20"/>
      <w:szCs w:val="20"/>
    </w:rPr>
  </w:style>
  <w:style w:type="paragraph" w:customStyle="1" w:styleId="40">
    <w:name w:val="WPSOffice手动目录 2"/>
    <w:autoRedefine/>
    <w:qFormat/>
    <w:uiPriority w:val="0"/>
    <w:pPr>
      <w:ind w:leftChars="200"/>
    </w:pPr>
    <w:rPr>
      <w:rFonts w:asciiTheme="minorHAnsi" w:hAnsiTheme="minorHAnsi" w:eastAsiaTheme="minorEastAsia" w:cstheme="minorBidi"/>
      <w:sz w:val="20"/>
      <w:szCs w:val="20"/>
    </w:rPr>
  </w:style>
</w:styles>
</file>

<file path=word/_rels/document.xml.rels><?xml version="1.0" encoding="UTF-8" standalone="yes"?>
<Relationships xmlns="http://schemas.openxmlformats.org/package/2006/relationships"><Relationship Id="rId9" Type="http://schemas.openxmlformats.org/officeDocument/2006/relationships/chart" Target="charts/chart3.xml"/><Relationship Id="rId8" Type="http://schemas.openxmlformats.org/officeDocument/2006/relationships/chart" Target="charts/chart2.xml"/><Relationship Id="rId7" Type="http://schemas.openxmlformats.org/officeDocument/2006/relationships/chart" Target="charts/chart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chart" Target="charts/chart7.xml"/><Relationship Id="rId12" Type="http://schemas.openxmlformats.org/officeDocument/2006/relationships/chart" Target="charts/chart6.xml"/><Relationship Id="rId11" Type="http://schemas.openxmlformats.org/officeDocument/2006/relationships/chart" Target="charts/chart5.xml"/><Relationship Id="rId10" Type="http://schemas.openxmlformats.org/officeDocument/2006/relationships/chart" Target="charts/chart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charts/_rels/chart1.xml.rels><?xml version="1.0" encoding="UTF-8" standalone="yes"?>
<Relationships xmlns="http://schemas.openxmlformats.org/package/2006/relationships"><Relationship Id="rId4" Type="http://schemas.microsoft.com/office/2011/relationships/chartColorStyle" Target="colors1.xml"/><Relationship Id="rId3" Type="http://schemas.microsoft.com/office/2011/relationships/chartStyle" Target="style1.xml"/><Relationship Id="rId2" Type="http://schemas.openxmlformats.org/officeDocument/2006/relationships/themeOverride" Target="../theme/themeOverride1.xml"/><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4.xlsx"/></Relationships>
</file>

<file path=word/charts/_rels/chart3.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package" Target="../embeddings/Workbook7.xlsx"/></Relationships>
</file>

<file path=word/charts/_rels/chart4.xml.rels><?xml version="1.0" encoding="UTF-8" standalone="yes"?>
<Relationships xmlns="http://schemas.openxmlformats.org/package/2006/relationships"><Relationship Id="rId4" Type="http://schemas.microsoft.com/office/2011/relationships/chartColorStyle" Target="colors2.xml"/><Relationship Id="rId3" Type="http://schemas.microsoft.com/office/2011/relationships/chartStyle" Target="style2.xml"/><Relationship Id="rId2" Type="http://schemas.openxmlformats.org/officeDocument/2006/relationships/themeOverride" Target="../theme/themeOverride2.xml"/><Relationship Id="rId1" Type="http://schemas.openxmlformats.org/officeDocument/2006/relationships/package" Target="../embeddings/Workbook2.xlsx"/></Relationships>
</file>

<file path=word/charts/_rels/chart5.xml.rels><?xml version="1.0" encoding="UTF-8" standalone="yes"?>
<Relationships xmlns="http://schemas.openxmlformats.org/package/2006/relationships"><Relationship Id="rId4" Type="http://schemas.microsoft.com/office/2011/relationships/chartColorStyle" Target="colors3.xml"/><Relationship Id="rId3" Type="http://schemas.microsoft.com/office/2011/relationships/chartStyle" Target="style3.xml"/><Relationship Id="rId2" Type="http://schemas.openxmlformats.org/officeDocument/2006/relationships/themeOverride" Target="../theme/themeOverride3.xml"/><Relationship Id="rId1" Type="http://schemas.openxmlformats.org/officeDocument/2006/relationships/package" Target="../embeddings/Workbook3.xlsx"/></Relationships>
</file>

<file path=word/charts/_rels/chart6.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package" Target="../embeddings/Workbook5.xlsx"/></Relationships>
</file>

<file path=word/charts/_rels/chart7.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package" Target="../embeddings/Workbook6.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0576950954336796"/>
          <c:y val="0.158733531661708"/>
          <c:w val="0.913916404928727"/>
          <c:h val="0.638631534211645"/>
        </c:manualLayout>
      </c:layout>
      <c:barChart>
        <c:barDir val="col"/>
        <c:grouping val="clustered"/>
        <c:varyColors val="0"/>
        <c:ser>
          <c:idx val="0"/>
          <c:order val="0"/>
          <c:tx>
            <c:strRef>
              <c:f>Sheet1!$B$1</c:f>
              <c:strCache>
                <c:ptCount val="1"/>
                <c:pt idx="0">
                  <c:v>2023年</c:v>
                </c:pt>
              </c:strCache>
            </c:strRef>
          </c:tx>
          <c:spPr>
            <a:solidFill>
              <a:schemeClr val="accent1"/>
            </a:solidFill>
            <a:ln>
              <a:noFill/>
            </a:ln>
            <a:effectLst/>
          </c:spPr>
          <c:invertIfNegative val="0"/>
          <c:dLbls>
            <c:delete val="1"/>
          </c:dLbls>
          <c:cat>
            <c:strRef>
              <c:f>Sheet1!$A$2</c:f>
              <c:strCache>
                <c:ptCount val="1"/>
                <c:pt idx="0">
                  <c:v>收、支总计（万元）</c:v>
                </c:pt>
              </c:strCache>
            </c:strRef>
          </c:cat>
          <c:val>
            <c:numRef>
              <c:f>Sheet1!$B$2</c:f>
              <c:numCache>
                <c:formatCode>General</c:formatCode>
                <c:ptCount val="1"/>
                <c:pt idx="0">
                  <c:v>181.49</c:v>
                </c:pt>
              </c:numCache>
            </c:numRef>
          </c:val>
        </c:ser>
        <c:ser>
          <c:idx val="1"/>
          <c:order val="1"/>
          <c:tx>
            <c:strRef>
              <c:f>Sheet1!$C$1</c:f>
              <c:strCache>
                <c:ptCount val="1"/>
                <c:pt idx="0">
                  <c:v>2022年</c:v>
                </c:pt>
              </c:strCache>
            </c:strRef>
          </c:tx>
          <c:spPr>
            <a:solidFill>
              <a:schemeClr val="accent2"/>
            </a:solidFill>
            <a:ln>
              <a:noFill/>
            </a:ln>
            <a:effectLst/>
          </c:spPr>
          <c:invertIfNegative val="0"/>
          <c:dLbls>
            <c:delete val="1"/>
          </c:dLbls>
          <c:cat>
            <c:strRef>
              <c:f>Sheet1!$A$2</c:f>
              <c:strCache>
                <c:ptCount val="1"/>
                <c:pt idx="0">
                  <c:v>收、支总计（万元）</c:v>
                </c:pt>
              </c:strCache>
            </c:strRef>
          </c:cat>
          <c:val>
            <c:numRef>
              <c:f>Sheet1!$C$2</c:f>
              <c:numCache>
                <c:formatCode>General</c:formatCode>
                <c:ptCount val="1"/>
                <c:pt idx="0">
                  <c:v>166.43</c:v>
                </c:pt>
              </c:numCache>
            </c:numRef>
          </c:val>
        </c:ser>
        <c:dLbls>
          <c:showLegendKey val="0"/>
          <c:showVal val="0"/>
          <c:showCatName val="0"/>
          <c:showSerName val="0"/>
          <c:showPercent val="0"/>
          <c:showBubbleSize val="0"/>
        </c:dLbls>
        <c:gapWidth val="246"/>
        <c:overlap val="-28"/>
        <c:axId val="614571465"/>
        <c:axId val="44524096"/>
      </c:barChart>
      <c:catAx>
        <c:axId val="614571465"/>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4524096"/>
        <c:crosses val="autoZero"/>
        <c:auto val="1"/>
        <c:lblAlgn val="ctr"/>
        <c:lblOffset val="100"/>
        <c:noMultiLvlLbl val="0"/>
      </c:catAx>
      <c:valAx>
        <c:axId val="44524096"/>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14571465"/>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列1</c:v>
                </c:pt>
              </c:strCache>
            </c:strRef>
          </c:tx>
          <c:spPr/>
          <c:explosion val="0"/>
          <c:dPt>
            <c:idx val="0"/>
            <c:bubble3D val="0"/>
            <c:spPr>
              <a:gradFill>
                <a:gsLst>
                  <a:gs pos="70000">
                    <a:schemeClr val="accent1"/>
                  </a:gs>
                  <a:gs pos="0">
                    <a:schemeClr val="accent1">
                      <a:lumMod val="60000"/>
                      <a:lumOff val="40000"/>
                    </a:schemeClr>
                  </a:gs>
                </a:gsLst>
                <a:lin ang="5400000"/>
              </a:gradFill>
              <a:ln w="19050">
                <a:solidFill>
                  <a:schemeClr val="lt1"/>
                </a:solidFill>
              </a:ln>
              <a:effectLst>
                <a:outerShdw blurRad="63500" sx="102000" sy="102000" algn="ctr" rotWithShape="0">
                  <a:prstClr val="black">
                    <a:alpha val="25000"/>
                  </a:prstClr>
                </a:outerShdw>
              </a:effectLst>
            </c:spPr>
          </c:dPt>
          <c:dLbls>
            <c:numFmt formatCode="General" sourceLinked="1"/>
            <c:spPr>
              <a:noFill/>
              <a:ln>
                <a:noFill/>
              </a:ln>
              <a:effectLst/>
            </c:spPr>
            <c:txPr>
              <a:bodyPr rot="0" spcFirstLastPara="0" vertOverflow="ellipsis" vert="horz" wrap="square" lIns="38100" tIns="19050" rIns="38100" bIns="19050" anchor="ctr" anchorCtr="1" forceAA="0"/>
              <a:lstStyle/>
              <a:p>
                <a:pPr>
                  <a:defRPr lang="zh-CN" sz="1100" b="0" i="0" u="none" strike="noStrike" kern="1200" baseline="0">
                    <a:solidFill>
                      <a:schemeClr val="bg1"/>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一般公共预算财政拨款收入</c:v>
                </c:pt>
              </c:strCache>
            </c:strRef>
          </c:cat>
          <c:val>
            <c:numRef>
              <c:f>Sheet1!$B$2</c:f>
              <c:numCache>
                <c:formatCode>General</c:formatCode>
                <c:ptCount val="1"/>
                <c:pt idx="0">
                  <c:v>8.2</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forceAA="0"/>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a:outerShdw blurRad="63500" dist="37357" dir="2700000" sx="0" sy="0" rotWithShape="0">
        <a:scrgbClr r="0" g="0" b="0"/>
      </a:outerShdw>
    </a:effectLst>
  </c:spPr>
  <c:txPr>
    <a:bodyPr/>
    <a:lstStyle/>
    <a:p>
      <a:pPr>
        <a:defRPr lang="zh-CN" sz="1100"/>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325279429250892"/>
          <c:y val="0.212332942555686"/>
          <c:w val="0.341117717003567"/>
          <c:h val="0.67263774912075"/>
        </c:manualLayout>
      </c:layout>
      <c:pieChart>
        <c:varyColors val="1"/>
        <c:ser>
          <c:idx val="0"/>
          <c:order val="0"/>
          <c:tx>
            <c:strRef>
              <c:f>Sheet1!$B$1</c:f>
              <c:strCache>
                <c:ptCount val="1"/>
                <c:pt idx="0">
                  <c:v>列1</c:v>
                </c:pt>
              </c:strCache>
            </c:strRef>
          </c:tx>
          <c:spPr>
            <a:ln w="22225">
              <a:solidFill>
                <a:schemeClr val="bg1"/>
              </a:solidFill>
            </a:ln>
            <a:effectLst>
              <a:innerShdw blurRad="114300">
                <a:prstClr val="black"/>
              </a:innerShdw>
            </a:effectLst>
            <a:sp3d contourW="22225"/>
          </c:spPr>
          <c:explosion val="0"/>
          <c:dPt>
            <c:idx val="0"/>
            <c:bubble3D val="0"/>
            <c:spPr>
              <a:solidFill>
                <a:schemeClr val="accent5"/>
              </a:solidFill>
              <a:ln w="22225">
                <a:solidFill>
                  <a:schemeClr val="bg1"/>
                </a:solidFill>
              </a:ln>
              <a:effectLst>
                <a:innerShdw blurRad="114300">
                  <a:schemeClr val="accent1">
                    <a:lumMod val="75000"/>
                  </a:schemeClr>
                </a:innerShdw>
              </a:effectLst>
              <a:sp3d contourW="22225"/>
            </c:spPr>
          </c:dPt>
          <c:dPt>
            <c:idx val="1"/>
            <c:bubble3D val="0"/>
            <c:spPr>
              <a:solidFill>
                <a:schemeClr val="accent3"/>
              </a:solidFill>
              <a:ln w="22225">
                <a:solidFill>
                  <a:schemeClr val="bg1"/>
                </a:solidFill>
              </a:ln>
              <a:effectLst>
                <a:innerShdw blurRad="114300">
                  <a:schemeClr val="accent2">
                    <a:lumMod val="75000"/>
                  </a:schemeClr>
                </a:innerShdw>
              </a:effectLst>
              <a:sp3d contourW="22225"/>
            </c:spPr>
          </c:dPt>
          <c:dLbls>
            <c:dLbl>
              <c:idx val="0"/>
              <c:layout/>
              <c:dLblPos val="outEnd"/>
              <c:showLegendKey val="1"/>
              <c:showVal val="0"/>
              <c:showCatName val="0"/>
              <c:showSerName val="0"/>
              <c:showPercent val="1"/>
              <c:showBubbleSize val="0"/>
              <c:separator>
</c:separator>
              <c:extLst>
                <c:ext xmlns:c15="http://schemas.microsoft.com/office/drawing/2012/chart" uri="{CE6537A1-D6FC-4f65-9D91-7224C49458BB}"/>
              </c:extLst>
            </c:dLbl>
            <c:dLbl>
              <c:idx val="1"/>
              <c:layout/>
              <c:dLblPos val="outEnd"/>
              <c:showLegendKey val="1"/>
              <c:showVal val="0"/>
              <c:showCatName val="0"/>
              <c:showSerName val="0"/>
              <c:showPercent val="1"/>
              <c:showBubbleSize val="0"/>
              <c:separator>
</c:separator>
              <c:extLst>
                <c:ext xmlns:c15="http://schemas.microsoft.com/office/drawing/2012/chart" uri="{CE6537A1-D6FC-4f65-9D91-7224C49458BB}"/>
              </c:extLst>
            </c:dLbl>
            <c:numFmt formatCode="0.00%" sourceLinked="0"/>
            <c:spPr>
              <a:noFill/>
              <a:ln>
                <a:noFill/>
              </a:ln>
              <a:effectLst/>
            </c:spPr>
            <c:txPr>
              <a:bodyPr rot="0" spcFirstLastPara="0" vertOverflow="ellipsis" vert="horz" wrap="square" lIns="38100" tIns="19050" rIns="38100" bIns="19050" anchor="ctr" anchorCtr="1" forceAA="0"/>
              <a:lstStyle/>
              <a:p>
                <a:pPr>
                  <a:defRPr lang="zh-CN" sz="900" b="0" i="0" u="none" strike="noStrike" kern="1200" baseline="0">
                    <a:solidFill>
                      <a:schemeClr val="tx1">
                        <a:lumMod val="75000"/>
                        <a:lumOff val="25000"/>
                      </a:schemeClr>
                    </a:solidFill>
                    <a:effectLst/>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dLblPos val="outEnd"/>
            <c:showLegendKey val="1"/>
            <c:showVal val="0"/>
            <c:showCatName val="0"/>
            <c:showSerName val="0"/>
            <c:showPercent val="1"/>
            <c:showBubbleSize val="0"/>
            <c:showLeaderLines val="0"/>
            <c:extLst>
              <c:ext xmlns:c15="http://schemas.microsoft.com/office/drawing/2012/chart" uri="{CE6537A1-D6FC-4f65-9D91-7224C49458BB}">
                <c15:layout/>
                <c15:showLeaderLines val="0"/>
                <c15:leaderLines>
                  <c:spPr>
                    <a:ln w="9525" cap="flat" cmpd="sng" algn="ctr">
                      <a:solidFill>
                        <a:schemeClr val="tx1">
                          <a:lumMod val="35000"/>
                          <a:lumOff val="65000"/>
                        </a:schemeClr>
                      </a:solidFill>
                      <a:round/>
                    </a:ln>
                    <a:effectLst/>
                  </c:spPr>
                </c15:leaderLines>
              </c:ext>
            </c:extLst>
          </c:dLbls>
          <c:cat>
            <c:strRef>
              <c:f>Sheet1!$A$2:$A$3</c:f>
              <c:strCache>
                <c:ptCount val="2"/>
                <c:pt idx="0">
                  <c:v>基本支出</c:v>
                </c:pt>
                <c:pt idx="1">
                  <c:v>项目支出</c:v>
                </c:pt>
              </c:strCache>
            </c:strRef>
          </c:cat>
          <c:val>
            <c:numRef>
              <c:f>Sheet1!$B$2:$B$3</c:f>
              <c:numCache>
                <c:formatCode>General</c:formatCode>
                <c:ptCount val="2"/>
                <c:pt idx="0">
                  <c:v>131.6</c:v>
                </c:pt>
                <c:pt idx="1">
                  <c:v>49.89</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r"/>
      <c:layout/>
      <c:overlay val="0"/>
      <c:spPr>
        <a:noFill/>
        <a:ln>
          <a:noFill/>
        </a:ln>
        <a:effectLst/>
      </c:spPr>
      <c:txPr>
        <a:bodyPr rot="0" spcFirstLastPara="0" vertOverflow="ellipsis" vert="horz" wrap="square" anchor="ctr" anchorCtr="1" forceAA="0"/>
        <a:lstStyle/>
        <a:p>
          <a:pPr>
            <a:defRPr lang="zh-CN" sz="900" b="0" i="0" u="none" strike="noStrike" kern="1200" baseline="0">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legend>
    <c:plotVisOnly val="1"/>
    <c:dispBlanksAs val="gap"/>
    <c:showDLblsOverMax val="0"/>
  </c:chart>
  <c:spPr>
    <a:solidFill>
      <a:schemeClr val="bg1"/>
    </a:solidFill>
    <a:ln w="6350" cap="flat" cmpd="sng" algn="ctr">
      <a:solidFill>
        <a:schemeClr val="tx1">
          <a:lumMod val="50000"/>
          <a:lumOff val="50000"/>
          <a:alpha val="25000"/>
        </a:schemeClr>
      </a:solidFill>
      <a:round/>
    </a:ln>
    <a:effectLst>
      <a:outerShdw blurRad="63500" dist="37357" dir="2700000" sx="0" sy="0" rotWithShape="0">
        <a:scrgbClr r="0" g="0" b="0"/>
      </a:outerShdw>
    </a:effectLst>
  </c:spPr>
  <c:txPr>
    <a:bodyPr/>
    <a:lstStyle/>
    <a:p>
      <a:pPr>
        <a:defRPr lang="zh-CN">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0576950954336796"/>
          <c:y val="0.158733531661708"/>
          <c:w val="0.913916404928727"/>
          <c:h val="0.638631534211645"/>
        </c:manualLayout>
      </c:layout>
      <c:barChart>
        <c:barDir val="col"/>
        <c:grouping val="clustered"/>
        <c:varyColors val="0"/>
        <c:ser>
          <c:idx val="0"/>
          <c:order val="0"/>
          <c:tx>
            <c:strRef>
              <c:f>Sheet1!$B$1</c:f>
              <c:strCache>
                <c:ptCount val="1"/>
                <c:pt idx="0">
                  <c:v>2023年</c:v>
                </c:pt>
              </c:strCache>
            </c:strRef>
          </c:tx>
          <c:spPr>
            <a:solidFill>
              <a:srgbClr val="4BACC6"/>
            </a:solidFill>
            <a:ln>
              <a:noFill/>
            </a:ln>
            <a:effectLst/>
          </c:spPr>
          <c:invertIfNegative val="0"/>
          <c:dLbls>
            <c:delete val="1"/>
          </c:dLbls>
          <c:cat>
            <c:strRef>
              <c:f>Sheet1!$A$2</c:f>
              <c:strCache>
                <c:ptCount val="1"/>
                <c:pt idx="0">
                  <c:v>财政拨款收、支总计（万元）</c:v>
                </c:pt>
              </c:strCache>
            </c:strRef>
          </c:cat>
          <c:val>
            <c:numRef>
              <c:f>Sheet1!$B$2</c:f>
              <c:numCache>
                <c:formatCode>General</c:formatCode>
                <c:ptCount val="1"/>
                <c:pt idx="0">
                  <c:v>181.49</c:v>
                </c:pt>
              </c:numCache>
            </c:numRef>
          </c:val>
        </c:ser>
        <c:ser>
          <c:idx val="1"/>
          <c:order val="1"/>
          <c:tx>
            <c:strRef>
              <c:f>Sheet1!$C$1</c:f>
              <c:strCache>
                <c:ptCount val="1"/>
                <c:pt idx="0">
                  <c:v>2022年</c:v>
                </c:pt>
              </c:strCache>
            </c:strRef>
          </c:tx>
          <c:spPr>
            <a:solidFill>
              <a:srgbClr val="F79646"/>
            </a:solidFill>
            <a:ln>
              <a:noFill/>
            </a:ln>
            <a:effectLst/>
          </c:spPr>
          <c:invertIfNegative val="0"/>
          <c:dLbls>
            <c:delete val="1"/>
          </c:dLbls>
          <c:cat>
            <c:strRef>
              <c:f>Sheet1!$A$2</c:f>
              <c:strCache>
                <c:ptCount val="1"/>
                <c:pt idx="0">
                  <c:v>财政拨款收、支总计（万元）</c:v>
                </c:pt>
              </c:strCache>
            </c:strRef>
          </c:cat>
          <c:val>
            <c:numRef>
              <c:f>Sheet1!$C$2</c:f>
              <c:numCache>
                <c:formatCode>General</c:formatCode>
                <c:ptCount val="1"/>
                <c:pt idx="0">
                  <c:v>166.43</c:v>
                </c:pt>
              </c:numCache>
            </c:numRef>
          </c:val>
        </c:ser>
        <c:dLbls>
          <c:showLegendKey val="0"/>
          <c:showVal val="0"/>
          <c:showCatName val="0"/>
          <c:showSerName val="0"/>
          <c:showPercent val="0"/>
          <c:showBubbleSize val="0"/>
        </c:dLbls>
        <c:gapWidth val="246"/>
        <c:overlap val="-28"/>
        <c:axId val="614571465"/>
        <c:axId val="44524096"/>
      </c:barChart>
      <c:catAx>
        <c:axId val="614571465"/>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4524096"/>
        <c:crosses val="autoZero"/>
        <c:auto val="1"/>
        <c:lblAlgn val="ctr"/>
        <c:lblOffset val="100"/>
        <c:noMultiLvlLbl val="0"/>
      </c:catAx>
      <c:valAx>
        <c:axId val="44524096"/>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14571465"/>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0576950954336796"/>
          <c:y val="0.158733531661708"/>
          <c:w val="0.913916404928727"/>
          <c:h val="0.638631534211645"/>
        </c:manualLayout>
      </c:layout>
      <c:barChart>
        <c:barDir val="col"/>
        <c:grouping val="clustered"/>
        <c:varyColors val="0"/>
        <c:ser>
          <c:idx val="0"/>
          <c:order val="0"/>
          <c:tx>
            <c:strRef>
              <c:f>Sheet1!$B$1</c:f>
              <c:strCache>
                <c:ptCount val="1"/>
                <c:pt idx="0">
                  <c:v>2023年</c:v>
                </c:pt>
              </c:strCache>
            </c:strRef>
          </c:tx>
          <c:spPr>
            <a:solidFill>
              <a:srgbClr val="9BBB59"/>
            </a:solidFill>
            <a:ln>
              <a:noFill/>
            </a:ln>
            <a:effectLst/>
          </c:spPr>
          <c:invertIfNegative val="0"/>
          <c:dLbls>
            <c:delete val="1"/>
          </c:dLbls>
          <c:cat>
            <c:strRef>
              <c:f>Sheet1!$A$2</c:f>
              <c:strCache>
                <c:ptCount val="1"/>
                <c:pt idx="0">
                  <c:v>一般公共预算财政拨款支出（万元）</c:v>
                </c:pt>
              </c:strCache>
            </c:strRef>
          </c:cat>
          <c:val>
            <c:numRef>
              <c:f>Sheet1!$B$2</c:f>
              <c:numCache>
                <c:formatCode>General</c:formatCode>
                <c:ptCount val="1"/>
                <c:pt idx="0">
                  <c:v>181.49</c:v>
                </c:pt>
              </c:numCache>
            </c:numRef>
          </c:val>
        </c:ser>
        <c:ser>
          <c:idx val="1"/>
          <c:order val="1"/>
          <c:tx>
            <c:strRef>
              <c:f>Sheet1!$C$1</c:f>
              <c:strCache>
                <c:ptCount val="1"/>
                <c:pt idx="0">
                  <c:v>2022年</c:v>
                </c:pt>
              </c:strCache>
            </c:strRef>
          </c:tx>
          <c:spPr>
            <a:solidFill>
              <a:srgbClr val="F79646"/>
            </a:solidFill>
            <a:ln>
              <a:noFill/>
            </a:ln>
            <a:effectLst/>
          </c:spPr>
          <c:invertIfNegative val="0"/>
          <c:dLbls>
            <c:delete val="1"/>
          </c:dLbls>
          <c:cat>
            <c:strRef>
              <c:f>Sheet1!$A$2</c:f>
              <c:strCache>
                <c:ptCount val="1"/>
                <c:pt idx="0">
                  <c:v>一般公共预算财政拨款支出（万元）</c:v>
                </c:pt>
              </c:strCache>
            </c:strRef>
          </c:cat>
          <c:val>
            <c:numRef>
              <c:f>Sheet1!$C$2</c:f>
              <c:numCache>
                <c:formatCode>General</c:formatCode>
                <c:ptCount val="1"/>
                <c:pt idx="0">
                  <c:v>166.43</c:v>
                </c:pt>
              </c:numCache>
            </c:numRef>
          </c:val>
        </c:ser>
        <c:dLbls>
          <c:showLegendKey val="0"/>
          <c:showVal val="0"/>
          <c:showCatName val="0"/>
          <c:showSerName val="0"/>
          <c:showPercent val="0"/>
          <c:showBubbleSize val="0"/>
        </c:dLbls>
        <c:gapWidth val="246"/>
        <c:overlap val="-28"/>
        <c:axId val="614571465"/>
        <c:axId val="44524096"/>
      </c:barChart>
      <c:catAx>
        <c:axId val="614571465"/>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4524096"/>
        <c:crosses val="autoZero"/>
        <c:auto val="1"/>
        <c:lblAlgn val="ctr"/>
        <c:lblOffset val="100"/>
        <c:noMultiLvlLbl val="0"/>
      </c:catAx>
      <c:valAx>
        <c:axId val="44524096"/>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14571465"/>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销售额</c:v>
                </c:pt>
              </c:strCache>
            </c:strRef>
          </c:tx>
          <c:spPr/>
          <c:explosion val="0"/>
          <c:dPt>
            <c:idx val="0"/>
            <c:bubble3D val="0"/>
            <c:spPr>
              <a:solidFill>
                <a:schemeClr val="accent5"/>
              </a:solidFill>
              <a:ln>
                <a:solidFill>
                  <a:schemeClr val="bg1"/>
                </a:solidFill>
              </a:ln>
              <a:effectLst/>
            </c:spPr>
          </c:dPt>
          <c:dPt>
            <c:idx val="1"/>
            <c:bubble3D val="0"/>
            <c:spPr>
              <a:solidFill>
                <a:schemeClr val="accent6"/>
              </a:solidFill>
              <a:ln>
                <a:solidFill>
                  <a:schemeClr val="bg1"/>
                </a:solidFill>
              </a:ln>
              <a:effectLst/>
            </c:spPr>
          </c:dPt>
          <c:dPt>
            <c:idx val="2"/>
            <c:bubble3D val="0"/>
            <c:spPr>
              <a:solidFill>
                <a:schemeClr val="accent3"/>
              </a:solidFill>
              <a:ln>
                <a:solidFill>
                  <a:schemeClr val="bg1"/>
                </a:solidFill>
              </a:ln>
              <a:effectLst/>
            </c:spPr>
          </c:dPt>
          <c:dPt>
            <c:idx val="3"/>
            <c:bubble3D val="0"/>
            <c:spPr>
              <a:solidFill>
                <a:schemeClr val="accent4"/>
              </a:solidFill>
              <a:ln>
                <a:solidFill>
                  <a:schemeClr val="bg1"/>
                </a:solidFill>
              </a:ln>
              <a:effectLst/>
            </c:spPr>
          </c:dPt>
          <c:dLbls>
            <c:dLbl>
              <c:idx val="3"/>
              <c:layout>
                <c:manualLayout>
                  <c:x val="0.0471128291857937"/>
                  <c:y val="-0.00637484062898428"/>
                </c:manualLayout>
              </c:layout>
              <c:dLblPos val="bestFit"/>
              <c:showLegendKey val="1"/>
              <c:showVal val="0"/>
              <c:showCatName val="0"/>
              <c:showSerName val="0"/>
              <c:showPercent val="1"/>
              <c:showBubbleSize val="0"/>
              <c:extLst>
                <c:ext xmlns:c15="http://schemas.microsoft.com/office/drawing/2012/chart" uri="{CE6537A1-D6FC-4f65-9D91-7224C49458BB}">
                  <c15:layout/>
                </c:ext>
              </c:extLst>
            </c:dLbl>
            <c:numFmt formatCode="0.0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1"/>
            <c:showVal val="0"/>
            <c:showCatName val="0"/>
            <c:showSerName val="0"/>
            <c:showPercent val="1"/>
            <c:showBubbleSize val="0"/>
            <c:showLeaderLines val="0"/>
            <c:extLst>
              <c:ext xmlns:c15="http://schemas.microsoft.com/office/drawing/2012/chart" uri="{CE6537A1-D6FC-4f65-9D91-7224C49458BB}">
                <c15:layout/>
                <c15:showLeaderLines val="0"/>
                <c15:leaderLines>
                  <c:spPr>
                    <a:ln w="9525" cap="flat" cmpd="sng" algn="ctr">
                      <a:solidFill>
                        <a:schemeClr val="tx1">
                          <a:lumMod val="35000"/>
                          <a:lumOff val="65000"/>
                        </a:schemeClr>
                      </a:solidFill>
                      <a:round/>
                    </a:ln>
                    <a:effectLst/>
                  </c:spPr>
                </c15:leaderLines>
              </c:ext>
            </c:extLst>
          </c:dLbls>
          <c:cat>
            <c:strRef>
              <c:f>Sheet1!$A$2:$A$5</c:f>
              <c:strCache>
                <c:ptCount val="4"/>
                <c:pt idx="0">
                  <c:v>科学技术支出</c:v>
                </c:pt>
                <c:pt idx="1">
                  <c:v>社会保障和就业支出</c:v>
                </c:pt>
                <c:pt idx="2">
                  <c:v>卫生健康支出</c:v>
                </c:pt>
                <c:pt idx="3">
                  <c:v>住房保障支出</c:v>
                </c:pt>
              </c:strCache>
            </c:strRef>
          </c:cat>
          <c:val>
            <c:numRef>
              <c:f>Sheet1!$B$2:$B$5</c:f>
              <c:numCache>
                <c:formatCode>General</c:formatCode>
                <c:ptCount val="4"/>
                <c:pt idx="0">
                  <c:v>149.56</c:v>
                </c:pt>
                <c:pt idx="1">
                  <c:v>18.89</c:v>
                </c:pt>
                <c:pt idx="2">
                  <c:v>4.23</c:v>
                </c:pt>
                <c:pt idx="3">
                  <c:v>8.81</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列1</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因公出国（境）费</c:v>
                </c:pt>
                <c:pt idx="1">
                  <c:v>公务用车购置及运行维护费</c:v>
                </c:pt>
                <c:pt idx="2">
                  <c:v>公务接待费</c:v>
                </c:pt>
              </c:strCache>
            </c:strRef>
          </c:cat>
          <c:val>
            <c:numRef>
              <c:f>Sheet1!$B$2:$B$4</c:f>
              <c:numCache>
                <c:formatCode>General</c:formatCode>
                <c:ptCount val="3"/>
                <c:pt idx="2">
                  <c:v>1.4</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10083">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10083">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word/theme/themeOverride1.xml><?xml version="1.0" encoding="utf-8"?>
<a:themeOverride xmlns:a="http://schemas.openxmlformats.org/drawingml/2006/main">
  <a:clrScheme name="自定义 3">
    <a:dk1>
      <a:srgbClr val="000000"/>
    </a:dk1>
    <a:lt1>
      <a:srgbClr val="FFFFFF"/>
    </a:lt1>
    <a:dk2>
      <a:srgbClr val="434342"/>
    </a:dk2>
    <a:lt2>
      <a:srgbClr val="CDD7D9"/>
    </a:lt2>
    <a:accent1>
      <a:srgbClr val="F7DC7B"/>
    </a:accent1>
    <a:accent2>
      <a:srgbClr val="18A2F1"/>
    </a:accent2>
    <a:accent3>
      <a:srgbClr val="9758DC"/>
    </a:accent3>
    <a:accent4>
      <a:srgbClr val="98CA6C"/>
    </a:accent4>
    <a:accent5>
      <a:srgbClr val="67C2B6"/>
    </a:accent5>
    <a:accent6>
      <a:srgbClr val="506E94"/>
    </a:accent6>
    <a:hlink>
      <a:srgbClr val="5F5F5F"/>
    </a:hlink>
    <a:folHlink>
      <a:srgbClr val="969696"/>
    </a:folHlink>
  </a:clrScheme>
  <a:fontScheme name="WPS">
    <a:majorFont>
      <a:latin typeface="Calibri Light"/>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自定义 3">
    <a:dk1>
      <a:srgbClr val="000000"/>
    </a:dk1>
    <a:lt1>
      <a:srgbClr val="FFFFFF"/>
    </a:lt1>
    <a:dk2>
      <a:srgbClr val="434342"/>
    </a:dk2>
    <a:lt2>
      <a:srgbClr val="CDD7D9"/>
    </a:lt2>
    <a:accent1>
      <a:srgbClr val="F7DC7B"/>
    </a:accent1>
    <a:accent2>
      <a:srgbClr val="18A2F1"/>
    </a:accent2>
    <a:accent3>
      <a:srgbClr val="9758DC"/>
    </a:accent3>
    <a:accent4>
      <a:srgbClr val="98CA6C"/>
    </a:accent4>
    <a:accent5>
      <a:srgbClr val="67C2B6"/>
    </a:accent5>
    <a:accent6>
      <a:srgbClr val="506E94"/>
    </a:accent6>
    <a:hlink>
      <a:srgbClr val="5F5F5F"/>
    </a:hlink>
    <a:folHlink>
      <a:srgbClr val="969696"/>
    </a:folHlink>
  </a:clrScheme>
  <a:fontScheme name="WPS">
    <a:majorFont>
      <a:latin typeface="Calibri Light"/>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自定义 3">
    <a:dk1>
      <a:srgbClr val="000000"/>
    </a:dk1>
    <a:lt1>
      <a:srgbClr val="FFFFFF"/>
    </a:lt1>
    <a:dk2>
      <a:srgbClr val="434342"/>
    </a:dk2>
    <a:lt2>
      <a:srgbClr val="CDD7D9"/>
    </a:lt2>
    <a:accent1>
      <a:srgbClr val="F7DC7B"/>
    </a:accent1>
    <a:accent2>
      <a:srgbClr val="18A2F1"/>
    </a:accent2>
    <a:accent3>
      <a:srgbClr val="9758DC"/>
    </a:accent3>
    <a:accent4>
      <a:srgbClr val="98CA6C"/>
    </a:accent4>
    <a:accent5>
      <a:srgbClr val="67C2B6"/>
    </a:accent5>
    <a:accent6>
      <a:srgbClr val="506E94"/>
    </a:accent6>
    <a:hlink>
      <a:srgbClr val="5F5F5F"/>
    </a:hlink>
    <a:folHlink>
      <a:srgbClr val="969696"/>
    </a:folHlink>
  </a:clrScheme>
  <a:fontScheme name="WPS">
    <a:majorFont>
      <a:latin typeface="Calibri Light"/>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34</Pages>
  <Words>10896</Words>
  <Characters>11576</Characters>
  <Lines>72</Lines>
  <Paragraphs>20</Paragraphs>
  <TotalTime>4</TotalTime>
  <ScaleCrop>false</ScaleCrop>
  <LinksUpToDate>false</LinksUpToDate>
  <CharactersWithSpaces>12192</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2024-08-05T07:12:00Z</dcterms:created>
  <dc:creator>曹颖</dc:creator>
  <cp:lastModifiedBy>碧云天</cp:lastModifiedBy>
  <cp:lastPrinted>2023-08-03T10:35:00Z</cp:lastPrinted>
  <dcterms:modified xsi:type="dcterms:W3CDTF">2024-10-21T08:00:45Z</dcterms:modified>
  <dc:title>四川省***</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9BAFFE00FF364B1D8AF2DDB1DC8766D4_12</vt:lpwstr>
  </property>
</Properties>
</file>