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C6D0C">
      <w:pPr>
        <w:spacing w:line="600" w:lineRule="exact"/>
        <w:jc w:val="center"/>
        <w:outlineLvl w:val="9"/>
        <w:rPr>
          <w:rFonts w:ascii="方正小标宋简体" w:hAnsi="宋体" w:eastAsia="方正小标宋简体"/>
          <w:sz w:val="72"/>
          <w:szCs w:val="72"/>
        </w:rPr>
      </w:pPr>
      <w:bookmarkStart w:id="0" w:name="_Toc15377193"/>
      <w:bookmarkStart w:id="1" w:name="_Toc15396597"/>
      <w:bookmarkStart w:id="2" w:name="_Toc15377425"/>
      <w:bookmarkStart w:id="3" w:name="_Toc15396475"/>
      <w:bookmarkStart w:id="4" w:name="_Toc15378441"/>
      <w:bookmarkStart w:id="5" w:name="_Toc15306267"/>
    </w:p>
    <w:p w14:paraId="15AE5A22">
      <w:pPr>
        <w:pStyle w:val="8"/>
        <w:spacing w:before="93"/>
      </w:pPr>
    </w:p>
    <w:p w14:paraId="19E584D3">
      <w:pPr>
        <w:spacing w:line="600" w:lineRule="exact"/>
        <w:jc w:val="center"/>
        <w:outlineLvl w:val="9"/>
        <w:rPr>
          <w:rFonts w:ascii="方正小标宋简体" w:hAnsi="宋体" w:eastAsia="方正小标宋简体"/>
          <w:sz w:val="72"/>
          <w:szCs w:val="72"/>
        </w:rPr>
      </w:pPr>
    </w:p>
    <w:p w14:paraId="14D455B8">
      <w:pPr>
        <w:spacing w:line="600" w:lineRule="exact"/>
        <w:jc w:val="center"/>
        <w:outlineLvl w:val="9"/>
        <w:rPr>
          <w:rFonts w:ascii="方正小标宋简体" w:hAnsi="宋体" w:eastAsia="方正小标宋简体"/>
          <w:sz w:val="72"/>
          <w:szCs w:val="72"/>
        </w:rPr>
      </w:pPr>
    </w:p>
    <w:p w14:paraId="0F94B564">
      <w:pPr>
        <w:spacing w:line="600" w:lineRule="exact"/>
        <w:jc w:val="center"/>
        <w:outlineLvl w:val="9"/>
        <w:rPr>
          <w:rFonts w:ascii="方正小标宋简体" w:hAnsi="宋体" w:eastAsia="方正小标宋简体"/>
          <w:sz w:val="72"/>
          <w:szCs w:val="72"/>
        </w:rPr>
      </w:pPr>
    </w:p>
    <w:p w14:paraId="5C5A8EDB">
      <w:pPr>
        <w:spacing w:line="600" w:lineRule="exact"/>
        <w:jc w:val="center"/>
        <w:outlineLvl w:val="9"/>
        <w:rPr>
          <w:rFonts w:ascii="方正小标宋简体" w:hAnsi="宋体" w:eastAsia="方正小标宋简体"/>
          <w:sz w:val="72"/>
          <w:szCs w:val="72"/>
        </w:rPr>
      </w:pPr>
    </w:p>
    <w:p w14:paraId="0E17A1A8">
      <w:pPr>
        <w:spacing w:line="600" w:lineRule="exact"/>
        <w:jc w:val="center"/>
        <w:outlineLvl w:val="9"/>
        <w:rPr>
          <w:rFonts w:ascii="方正小标宋简体" w:hAnsi="宋体" w:eastAsia="方正小标宋简体"/>
          <w:sz w:val="72"/>
          <w:szCs w:val="72"/>
        </w:rPr>
      </w:pPr>
    </w:p>
    <w:p w14:paraId="49C5F62F">
      <w:pPr>
        <w:spacing w:line="600" w:lineRule="exact"/>
        <w:jc w:val="center"/>
        <w:outlineLvl w:val="9"/>
        <w:rPr>
          <w:rFonts w:ascii="方正小标宋简体" w:hAnsi="宋体" w:eastAsia="方正小标宋简体"/>
          <w:sz w:val="72"/>
          <w:szCs w:val="72"/>
        </w:rPr>
      </w:pPr>
    </w:p>
    <w:p w14:paraId="78761AEC">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603"/>
      <w:bookmarkStart w:id="7" w:name="_Toc690"/>
      <w:r>
        <w:rPr>
          <w:rFonts w:hint="eastAsia" w:ascii="方正小标宋简体" w:hAnsi="方正小标宋简体" w:eastAsia="方正小标宋简体" w:cs="方正小标宋简体"/>
          <w:sz w:val="52"/>
          <w:szCs w:val="52"/>
        </w:rPr>
        <w:t>2023年度</w:t>
      </w:r>
      <w:bookmarkEnd w:id="0"/>
      <w:bookmarkEnd w:id="1"/>
      <w:bookmarkEnd w:id="2"/>
      <w:bookmarkEnd w:id="3"/>
      <w:bookmarkEnd w:id="4"/>
      <w:bookmarkEnd w:id="6"/>
      <w:bookmarkEnd w:id="7"/>
    </w:p>
    <w:bookmarkEnd w:id="5"/>
    <w:p w14:paraId="67597FAD">
      <w:pPr>
        <w:adjustRightInd w:val="0"/>
        <w:snapToGrid w:val="0"/>
        <w:spacing w:line="360" w:lineRule="auto"/>
        <w:jc w:val="center"/>
        <w:outlineLvl w:val="0"/>
        <w:rPr>
          <w:rFonts w:hint="eastAsia" w:ascii="方正小标宋简体" w:hAnsi="方正小标宋简体" w:eastAsia="方正小标宋简体" w:cs="方正小标宋简体"/>
          <w:sz w:val="52"/>
          <w:szCs w:val="52"/>
          <w:lang w:eastAsia="zh-CN"/>
        </w:rPr>
      </w:pPr>
      <w:bookmarkStart w:id="8" w:name="_Toc15377426"/>
      <w:bookmarkStart w:id="9" w:name="_Toc15377194"/>
      <w:bookmarkStart w:id="10" w:name="_Toc15396476"/>
      <w:bookmarkStart w:id="11" w:name="_Toc15396598"/>
      <w:bookmarkStart w:id="12" w:name="_Toc2222"/>
      <w:bookmarkStart w:id="13" w:name="_Toc21324"/>
      <w:bookmarkStart w:id="14" w:name="_Toc15378442"/>
      <w:bookmarkStart w:id="15" w:name="_Toc15306268"/>
      <w:r>
        <w:rPr>
          <w:rFonts w:hint="eastAsia" w:ascii="方正小标宋简体" w:hAnsi="方正小标宋简体" w:eastAsia="方正小标宋简体" w:cs="方正小标宋简体"/>
          <w:sz w:val="52"/>
          <w:szCs w:val="52"/>
          <w:lang w:val="en-US" w:eastAsia="zh-CN"/>
        </w:rPr>
        <w:t>峨边彝族自治县科学技术协会</w:t>
      </w:r>
      <w:bookmarkEnd w:id="8"/>
      <w:bookmarkEnd w:id="9"/>
      <w:bookmarkEnd w:id="10"/>
      <w:bookmarkEnd w:id="11"/>
      <w:bookmarkEnd w:id="12"/>
      <w:bookmarkEnd w:id="13"/>
      <w:bookmarkEnd w:id="14"/>
      <w:bookmarkEnd w:id="15"/>
      <w:r>
        <w:rPr>
          <w:rFonts w:hint="eastAsia" w:ascii="方正小标宋简体" w:hAnsi="方正小标宋简体" w:eastAsia="方正小标宋简体" w:cs="方正小标宋简体"/>
          <w:sz w:val="52"/>
          <w:szCs w:val="52"/>
          <w:lang w:eastAsia="zh-CN"/>
        </w:rPr>
        <w:t>单位决算</w:t>
      </w:r>
    </w:p>
    <w:p w14:paraId="6ACEB99D">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2155E96B">
      <w:pPr>
        <w:widowControl/>
        <w:jc w:val="center"/>
        <w:rPr>
          <w:rFonts w:ascii="黑体" w:hAnsi="黑体" w:eastAsia="黑体" w:cstheme="minorBidi"/>
          <w:sz w:val="28"/>
          <w:szCs w:val="28"/>
        </w:rPr>
      </w:pPr>
    </w:p>
    <w:p w14:paraId="5FC01761">
      <w:pPr>
        <w:pStyle w:val="14"/>
        <w:rPr>
          <w:rFonts w:hint="eastAsia" w:ascii="仿宋" w:hAnsi="仿宋" w:eastAsia="仿宋" w:cs="仿宋"/>
          <w:sz w:val="32"/>
          <w:szCs w:val="32"/>
        </w:rPr>
      </w:pPr>
      <w:bookmarkStart w:id="105" w:name="_GoBack"/>
      <w:bookmarkEnd w:id="105"/>
      <w:r>
        <w:rPr>
          <w:rFonts w:hint="eastAsia" w:ascii="仿宋" w:hAnsi="仿宋" w:eastAsia="仿宋" w:cs="仿宋"/>
          <w:sz w:val="32"/>
          <w:szCs w:val="32"/>
        </w:rPr>
        <w:t>公开时间：202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29</w:t>
      </w:r>
      <w:r>
        <w:rPr>
          <w:rFonts w:hint="eastAsia" w:ascii="仿宋" w:hAnsi="仿宋" w:eastAsia="仿宋" w:cs="仿宋"/>
          <w:sz w:val="32"/>
          <w:szCs w:val="32"/>
        </w:rPr>
        <w:t>日</w:t>
      </w:r>
    </w:p>
    <w:p w14:paraId="5DFC9C33">
      <w:pPr>
        <w:rPr>
          <w:rFonts w:hint="eastAsia" w:ascii="仿宋" w:hAnsi="仿宋" w:eastAsia="仿宋" w:cs="仿宋"/>
          <w:sz w:val="32"/>
          <w:szCs w:val="32"/>
        </w:rPr>
      </w:pPr>
    </w:p>
    <w:sdt>
      <w:sdtPr>
        <w:rPr>
          <w:rFonts w:hint="eastAsia" w:ascii="仿宋" w:hAnsi="仿宋" w:eastAsia="仿宋" w:cs="仿宋"/>
          <w:kern w:val="2"/>
          <w:sz w:val="32"/>
          <w:szCs w:val="32"/>
          <w:lang w:val="en-US" w:eastAsia="zh-CN" w:bidi="ar-SA"/>
        </w:rPr>
        <w:id w:val="147481307"/>
        <w15:color w:val="DBDBDB"/>
        <w:docPartObj>
          <w:docPartGallery w:val="Table of Contents"/>
          <w:docPartUnique/>
        </w:docPartObj>
      </w:sdtPr>
      <w:sdtEndPr>
        <w:rPr>
          <w:rFonts w:hint="eastAsia" w:ascii="宋体" w:hAnsi="宋体" w:eastAsia="宋体" w:cs="Times New Roman"/>
          <w:b/>
          <w:kern w:val="2"/>
          <w:sz w:val="21"/>
          <w:szCs w:val="24"/>
          <w:lang w:val="en-US" w:eastAsia="zh-CN" w:bidi="ar-SA"/>
        </w:rPr>
      </w:sdtEndPr>
      <w:sdtContent>
        <w:p w14:paraId="0D8F0497">
          <w:pPr>
            <w:spacing w:before="0" w:beforeLines="0" w:after="0" w:afterLines="0" w:line="240" w:lineRule="auto"/>
            <w:ind w:left="0" w:leftChars="0" w:right="0" w:rightChars="0" w:firstLine="0" w:firstLineChars="0"/>
            <w:jc w:val="center"/>
            <w:rPr>
              <w:rFonts w:hint="eastAsia" w:ascii="仿宋" w:hAnsi="仿宋" w:eastAsia="仿宋" w:cs="仿宋"/>
              <w:sz w:val="32"/>
              <w:szCs w:val="32"/>
            </w:rPr>
          </w:pPr>
          <w:bookmarkStart w:id="16" w:name="_Toc15396599"/>
          <w:bookmarkStart w:id="17" w:name="_Toc15377196"/>
          <w:r>
            <w:rPr>
              <w:rFonts w:hint="eastAsia" w:ascii="仿宋" w:hAnsi="仿宋" w:eastAsia="仿宋" w:cs="仿宋"/>
              <w:sz w:val="32"/>
              <w:szCs w:val="32"/>
            </w:rPr>
            <w:t>目录</w:t>
          </w:r>
        </w:p>
        <w:p w14:paraId="454864CE">
          <w:pPr>
            <w:pStyle w:val="14"/>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_Toc32530 </w:instrText>
          </w:r>
          <w:r>
            <w:rPr>
              <w:rFonts w:hint="eastAsia" w:ascii="仿宋" w:hAnsi="仿宋" w:eastAsia="仿宋" w:cs="仿宋"/>
              <w:sz w:val="32"/>
              <w:szCs w:val="32"/>
            </w:rPr>
            <w:fldChar w:fldCharType="separate"/>
          </w:r>
          <w:r>
            <w:rPr>
              <w:rFonts w:hint="eastAsia" w:ascii="仿宋" w:hAnsi="仿宋" w:eastAsia="仿宋" w:cs="仿宋"/>
              <w:sz w:val="32"/>
              <w:szCs w:val="32"/>
            </w:rPr>
            <w:t xml:space="preserve">第一部分 </w:t>
          </w:r>
          <w:r>
            <w:rPr>
              <w:rFonts w:hint="eastAsia" w:cs="仿宋"/>
              <w:bCs w:val="0"/>
              <w:sz w:val="32"/>
              <w:szCs w:val="32"/>
              <w:lang w:val="en-US" w:eastAsia="zh-CN"/>
            </w:rPr>
            <w:t>单位</w:t>
          </w:r>
          <w:r>
            <w:rPr>
              <w:rFonts w:hint="eastAsia" w:ascii="仿宋" w:hAnsi="仿宋" w:eastAsia="仿宋" w:cs="仿宋"/>
              <w:bCs w:val="0"/>
              <w:sz w:val="32"/>
              <w:szCs w:val="32"/>
            </w:rPr>
            <w:t>概况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_Toc32530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E03693A">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_Toc15250 </w:instrText>
          </w:r>
          <w:r>
            <w:rPr>
              <w:rFonts w:hint="eastAsia" w:ascii="仿宋" w:hAnsi="仿宋" w:eastAsia="仿宋" w:cs="仿宋"/>
              <w:sz w:val="32"/>
              <w:szCs w:val="32"/>
            </w:rPr>
            <w:fldChar w:fldCharType="separate"/>
          </w:r>
          <w:r>
            <w:rPr>
              <w:rFonts w:hint="eastAsia" w:ascii="仿宋" w:hAnsi="仿宋" w:eastAsia="仿宋" w:cs="仿宋"/>
              <w:sz w:val="32"/>
              <w:szCs w:val="32"/>
            </w:rPr>
            <w:t>一、</w:t>
          </w:r>
          <w:r>
            <w:rPr>
              <w:rFonts w:hint="eastAsia" w:ascii="仿宋" w:hAnsi="仿宋" w:eastAsia="仿宋" w:cs="仿宋"/>
              <w:sz w:val="32"/>
              <w:szCs w:val="32"/>
              <w:lang w:val="en-US" w:eastAsia="zh-CN"/>
            </w:rPr>
            <w:t>主要</w:t>
          </w:r>
          <w:r>
            <w:rPr>
              <w:rFonts w:hint="eastAsia" w:ascii="仿宋" w:hAnsi="仿宋" w:eastAsia="仿宋" w:cs="仿宋"/>
              <w:sz w:val="32"/>
              <w:szCs w:val="32"/>
            </w:rPr>
            <w:t>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_Toc15250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651EDFE">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_Toc15611 </w:instrText>
          </w:r>
          <w:r>
            <w:rPr>
              <w:rFonts w:hint="eastAsia" w:ascii="仿宋" w:hAnsi="仿宋" w:eastAsia="仿宋" w:cs="仿宋"/>
              <w:sz w:val="32"/>
              <w:szCs w:val="32"/>
            </w:rPr>
            <w:fldChar w:fldCharType="separate"/>
          </w:r>
          <w:r>
            <w:rPr>
              <w:rFonts w:hint="eastAsia" w:ascii="仿宋" w:hAnsi="仿宋" w:eastAsia="仿宋" w:cs="仿宋"/>
              <w:sz w:val="32"/>
              <w:szCs w:val="32"/>
            </w:rPr>
            <w:t>二、机</w:t>
          </w:r>
          <w:r>
            <w:rPr>
              <w:rFonts w:hint="eastAsia" w:ascii="仿宋" w:hAnsi="仿宋" w:eastAsia="仿宋" w:cs="仿宋"/>
              <w:bCs w:val="0"/>
              <w:sz w:val="32"/>
              <w:szCs w:val="32"/>
            </w:rPr>
            <w:t>构设置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_Toc15611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F062656">
          <w:pPr>
            <w:pStyle w:val="14"/>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_Toc4658 </w:instrText>
          </w:r>
          <w:r>
            <w:rPr>
              <w:rFonts w:hint="eastAsia" w:ascii="仿宋" w:hAnsi="仿宋" w:eastAsia="仿宋" w:cs="仿宋"/>
              <w:sz w:val="32"/>
              <w:szCs w:val="32"/>
            </w:rPr>
            <w:fldChar w:fldCharType="separate"/>
          </w:r>
          <w:r>
            <w:rPr>
              <w:rFonts w:hint="eastAsia" w:ascii="仿宋" w:hAnsi="仿宋" w:eastAsia="仿宋" w:cs="仿宋"/>
              <w:sz w:val="32"/>
              <w:szCs w:val="32"/>
            </w:rPr>
            <w:t>第二部分 2023年度</w:t>
          </w:r>
          <w:r>
            <w:rPr>
              <w:rFonts w:hint="eastAsia" w:cs="仿宋"/>
              <w:bCs/>
              <w:sz w:val="32"/>
              <w:szCs w:val="32"/>
              <w:lang w:eastAsia="zh-CN"/>
            </w:rPr>
            <w:t>单位决算</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_Toc4658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35D893F">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_Toc19365 </w:instrText>
          </w:r>
          <w:r>
            <w:rPr>
              <w:rFonts w:hint="eastAsia" w:ascii="仿宋" w:hAnsi="仿宋" w:eastAsia="仿宋" w:cs="仿宋"/>
              <w:sz w:val="32"/>
              <w:szCs w:val="32"/>
            </w:rPr>
            <w:fldChar w:fldCharType="separate"/>
          </w:r>
          <w:r>
            <w:rPr>
              <w:rFonts w:hint="eastAsia" w:ascii="仿宋" w:hAnsi="仿宋" w:eastAsia="仿宋" w:cs="仿宋"/>
              <w:sz w:val="32"/>
              <w:szCs w:val="32"/>
            </w:rPr>
            <w:t>一、 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_Toc19365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309C9BB">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_Toc25525 </w:instrText>
          </w:r>
          <w:r>
            <w:rPr>
              <w:rFonts w:hint="eastAsia" w:ascii="仿宋" w:hAnsi="仿宋" w:eastAsia="仿宋" w:cs="仿宋"/>
              <w:sz w:val="32"/>
              <w:szCs w:val="32"/>
            </w:rPr>
            <w:fldChar w:fldCharType="separate"/>
          </w:r>
          <w:r>
            <w:rPr>
              <w:rFonts w:hint="eastAsia" w:ascii="仿宋" w:hAnsi="仿宋" w:eastAsia="仿宋" w:cs="仿宋"/>
              <w:sz w:val="32"/>
              <w:szCs w:val="32"/>
            </w:rPr>
            <w:t>二、 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_Toc25525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2EA4367">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_Toc11939 </w:instrText>
          </w:r>
          <w:r>
            <w:rPr>
              <w:rFonts w:hint="eastAsia" w:ascii="仿宋" w:hAnsi="仿宋" w:eastAsia="仿宋" w:cs="仿宋"/>
              <w:sz w:val="32"/>
              <w:szCs w:val="32"/>
            </w:rPr>
            <w:fldChar w:fldCharType="separate"/>
          </w:r>
          <w:r>
            <w:rPr>
              <w:rFonts w:hint="eastAsia" w:ascii="仿宋" w:hAnsi="仿宋" w:eastAsia="仿宋" w:cs="仿宋"/>
              <w:sz w:val="32"/>
              <w:szCs w:val="32"/>
            </w:rPr>
            <w:t>三、 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_Toc11939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92E5162">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_Toc26027 </w:instrText>
          </w:r>
          <w:r>
            <w:rPr>
              <w:rFonts w:hint="eastAsia" w:ascii="仿宋" w:hAnsi="仿宋" w:eastAsia="仿宋" w:cs="仿宋"/>
              <w:sz w:val="32"/>
              <w:szCs w:val="32"/>
            </w:rPr>
            <w:fldChar w:fldCharType="separate"/>
          </w:r>
          <w:r>
            <w:rPr>
              <w:rFonts w:hint="eastAsia" w:ascii="仿宋" w:hAnsi="仿宋" w:eastAsia="仿宋" w:cs="仿宋"/>
              <w:sz w:val="32"/>
              <w:szCs w:val="32"/>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_Toc26027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295545B">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_Toc27320 </w:instrText>
          </w:r>
          <w:r>
            <w:rPr>
              <w:rFonts w:hint="eastAsia" w:ascii="仿宋" w:hAnsi="仿宋" w:eastAsia="仿宋" w:cs="仿宋"/>
              <w:sz w:val="32"/>
              <w:szCs w:val="32"/>
            </w:rPr>
            <w:fldChar w:fldCharType="separate"/>
          </w:r>
          <w:r>
            <w:rPr>
              <w:rFonts w:hint="eastAsia" w:ascii="仿宋" w:hAnsi="仿宋" w:eastAsia="仿宋" w:cs="仿宋"/>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_Toc27320 \h </w:instrText>
          </w:r>
          <w:r>
            <w:rPr>
              <w:rFonts w:hint="eastAsia" w:ascii="仿宋" w:hAnsi="仿宋" w:eastAsia="仿宋" w:cs="仿宋"/>
              <w:sz w:val="32"/>
              <w:szCs w:val="32"/>
            </w:rPr>
            <w:fldChar w:fldCharType="separate"/>
          </w:r>
          <w:r>
            <w:rPr>
              <w:rFonts w:hint="eastAsia" w:ascii="仿宋" w:hAnsi="仿宋" w:eastAsia="仿宋" w:cs="仿宋"/>
              <w:sz w:val="32"/>
              <w:szCs w:val="32"/>
            </w:rPr>
            <w:t>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049B7AC">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_Toc358 </w:instrText>
          </w:r>
          <w:r>
            <w:rPr>
              <w:rFonts w:hint="eastAsia" w:ascii="仿宋" w:hAnsi="仿宋" w:eastAsia="仿宋" w:cs="仿宋"/>
              <w:sz w:val="32"/>
              <w:szCs w:val="32"/>
            </w:rPr>
            <w:fldChar w:fldCharType="separate"/>
          </w:r>
          <w:r>
            <w:rPr>
              <w:rFonts w:hint="eastAsia" w:ascii="仿宋" w:hAnsi="仿宋" w:eastAsia="仿宋" w:cs="仿宋"/>
              <w:sz w:val="32"/>
              <w:szCs w:val="32"/>
            </w:rPr>
            <w:t>六、一般公共预算财政拨款基本支出决算情况说明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_Toc358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49FE3B0">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_Toc6407 </w:instrText>
          </w:r>
          <w:r>
            <w:rPr>
              <w:rFonts w:hint="eastAsia" w:ascii="仿宋" w:hAnsi="仿宋" w:eastAsia="仿宋" w:cs="仿宋"/>
              <w:sz w:val="32"/>
              <w:szCs w:val="32"/>
            </w:rPr>
            <w:fldChar w:fldCharType="separate"/>
          </w:r>
          <w:r>
            <w:rPr>
              <w:rFonts w:hint="eastAsia" w:ascii="仿宋" w:hAnsi="仿宋" w:eastAsia="仿宋" w:cs="仿宋"/>
              <w:sz w:val="32"/>
              <w:szCs w:val="32"/>
            </w:rPr>
            <w:t>七、财政拨款“三公”经费支出决算情况说明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_Toc6407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CBDF0BB">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_Toc31915 </w:instrText>
          </w:r>
          <w:r>
            <w:rPr>
              <w:rFonts w:hint="eastAsia" w:ascii="仿宋" w:hAnsi="仿宋" w:eastAsia="仿宋" w:cs="仿宋"/>
              <w:sz w:val="32"/>
              <w:szCs w:val="32"/>
            </w:rPr>
            <w:fldChar w:fldCharType="separate"/>
          </w:r>
          <w:r>
            <w:rPr>
              <w:rFonts w:hint="eastAsia" w:ascii="仿宋" w:hAnsi="仿宋" w:eastAsia="仿宋" w:cs="仿宋"/>
              <w:sz w:val="32"/>
              <w:szCs w:val="32"/>
            </w:rPr>
            <w:t>八、政府性基金预算支出决算情况说明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_Toc31915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40ECF76">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_Toc16468 </w:instrText>
          </w:r>
          <w:r>
            <w:rPr>
              <w:rFonts w:hint="eastAsia" w:ascii="仿宋" w:hAnsi="仿宋" w:eastAsia="仿宋" w:cs="仿宋"/>
              <w:sz w:val="32"/>
              <w:szCs w:val="32"/>
            </w:rPr>
            <w:fldChar w:fldCharType="separate"/>
          </w:r>
          <w:r>
            <w:rPr>
              <w:rFonts w:hint="eastAsia" w:ascii="仿宋" w:hAnsi="仿宋" w:eastAsia="仿宋" w:cs="仿宋"/>
              <w:sz w:val="32"/>
              <w:szCs w:val="32"/>
            </w:rPr>
            <w:t>九、 国有资本经营预算支出决算情况说明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_Toc16468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F392A32">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_Toc7449 </w:instrText>
          </w:r>
          <w:r>
            <w:rPr>
              <w:rFonts w:hint="eastAsia" w:ascii="仿宋" w:hAnsi="仿宋" w:eastAsia="仿宋" w:cs="仿宋"/>
              <w:sz w:val="32"/>
              <w:szCs w:val="32"/>
            </w:rPr>
            <w:fldChar w:fldCharType="separate"/>
          </w:r>
          <w:r>
            <w:rPr>
              <w:rFonts w:hint="eastAsia" w:ascii="仿宋" w:hAnsi="仿宋" w:eastAsia="仿宋" w:cs="仿宋"/>
              <w:sz w:val="32"/>
              <w:szCs w:val="32"/>
            </w:rPr>
            <w:t>十、 其他重要事项的情况说明</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_Toc7449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CBE37AC">
          <w:pPr>
            <w:pStyle w:val="14"/>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_Toc12668 </w:instrText>
          </w:r>
          <w:r>
            <w:rPr>
              <w:rFonts w:hint="eastAsia" w:ascii="仿宋" w:hAnsi="仿宋" w:eastAsia="仿宋" w:cs="仿宋"/>
              <w:sz w:val="32"/>
              <w:szCs w:val="32"/>
            </w:rPr>
            <w:fldChar w:fldCharType="separate"/>
          </w:r>
          <w:r>
            <w:rPr>
              <w:rFonts w:hint="eastAsia" w:ascii="仿宋" w:hAnsi="仿宋" w:eastAsia="仿宋" w:cs="仿宋"/>
              <w:sz w:val="32"/>
              <w:szCs w:val="32"/>
            </w:rPr>
            <w:t>第三部分 名词解释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_Toc12668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6FCC1A9">
          <w:pPr>
            <w:pStyle w:val="14"/>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_Toc30818 </w:instrText>
          </w:r>
          <w:r>
            <w:rPr>
              <w:rFonts w:hint="eastAsia" w:ascii="仿宋" w:hAnsi="仿宋" w:eastAsia="仿宋" w:cs="仿宋"/>
              <w:sz w:val="32"/>
              <w:szCs w:val="32"/>
            </w:rPr>
            <w:fldChar w:fldCharType="separate"/>
          </w:r>
          <w:r>
            <w:rPr>
              <w:rFonts w:hint="eastAsia" w:ascii="仿宋" w:hAnsi="仿宋" w:eastAsia="仿宋" w:cs="仿宋"/>
              <w:sz w:val="32"/>
              <w:szCs w:val="32"/>
            </w:rPr>
            <w:t>第四部分 附件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_Toc30818 \h </w:instrText>
          </w:r>
          <w:r>
            <w:rPr>
              <w:rFonts w:hint="eastAsia" w:ascii="仿宋" w:hAnsi="仿宋" w:eastAsia="仿宋" w:cs="仿宋"/>
              <w:sz w:val="32"/>
              <w:szCs w:val="32"/>
            </w:rPr>
            <w:fldChar w:fldCharType="separate"/>
          </w:r>
          <w:r>
            <w:rPr>
              <w:rFonts w:hint="eastAsia" w:ascii="仿宋" w:hAnsi="仿宋" w:eastAsia="仿宋" w:cs="仿宋"/>
              <w:sz w:val="32"/>
              <w:szCs w:val="32"/>
            </w:rPr>
            <w:t>19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A512F51">
          <w:pPr>
            <w:pStyle w:val="14"/>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_Toc21745 </w:instrText>
          </w:r>
          <w:r>
            <w:rPr>
              <w:rFonts w:hint="eastAsia" w:ascii="仿宋" w:hAnsi="仿宋" w:eastAsia="仿宋" w:cs="仿宋"/>
              <w:sz w:val="32"/>
              <w:szCs w:val="32"/>
            </w:rPr>
            <w:fldChar w:fldCharType="separate"/>
          </w:r>
          <w:r>
            <w:rPr>
              <w:rFonts w:hint="eastAsia" w:ascii="仿宋" w:hAnsi="仿宋" w:eastAsia="仿宋" w:cs="仿宋"/>
              <w:sz w:val="32"/>
              <w:szCs w:val="32"/>
            </w:rPr>
            <w:t>第五部分 附表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_Toc21745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D936C3C">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_Toc26465 </w:instrText>
          </w:r>
          <w:r>
            <w:rPr>
              <w:rFonts w:hint="eastAsia" w:ascii="仿宋" w:hAnsi="仿宋" w:eastAsia="仿宋" w:cs="仿宋"/>
              <w:sz w:val="32"/>
              <w:szCs w:val="32"/>
            </w:rPr>
            <w:fldChar w:fldCharType="separate"/>
          </w:r>
          <w:r>
            <w:rPr>
              <w:rFonts w:hint="eastAsia" w:ascii="仿宋" w:hAnsi="仿宋" w:eastAsia="仿宋" w:cs="仿宋"/>
              <w:sz w:val="32"/>
              <w:szCs w:val="32"/>
            </w:rPr>
            <w:t>一、收入支出决算总表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_Toc26465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E8697F0">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_Toc23589 </w:instrText>
          </w:r>
          <w:r>
            <w:rPr>
              <w:rFonts w:hint="eastAsia" w:ascii="仿宋" w:hAnsi="仿宋" w:eastAsia="仿宋" w:cs="仿宋"/>
              <w:sz w:val="32"/>
              <w:szCs w:val="32"/>
            </w:rPr>
            <w:fldChar w:fldCharType="separate"/>
          </w:r>
          <w:r>
            <w:rPr>
              <w:rFonts w:hint="eastAsia" w:ascii="仿宋" w:hAnsi="仿宋" w:eastAsia="仿宋" w:cs="仿宋"/>
              <w:sz w:val="32"/>
              <w:szCs w:val="32"/>
            </w:rPr>
            <w:t>二、收入决算表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_Toc23589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2FC55BD">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_Toc19530 </w:instrText>
          </w:r>
          <w:r>
            <w:rPr>
              <w:rFonts w:hint="eastAsia" w:ascii="仿宋" w:hAnsi="仿宋" w:eastAsia="仿宋" w:cs="仿宋"/>
              <w:sz w:val="32"/>
              <w:szCs w:val="32"/>
            </w:rPr>
            <w:fldChar w:fldCharType="separate"/>
          </w:r>
          <w:r>
            <w:rPr>
              <w:rFonts w:hint="eastAsia" w:ascii="仿宋" w:hAnsi="仿宋" w:eastAsia="仿宋" w:cs="仿宋"/>
              <w:sz w:val="32"/>
              <w:szCs w:val="32"/>
            </w:rPr>
            <w:t>三、支出决算表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_Toc19530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C3834E8">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_Toc22648 </w:instrText>
          </w:r>
          <w:r>
            <w:rPr>
              <w:rFonts w:hint="eastAsia" w:ascii="仿宋" w:hAnsi="仿宋" w:eastAsia="仿宋" w:cs="仿宋"/>
              <w:sz w:val="32"/>
              <w:szCs w:val="32"/>
            </w:rPr>
            <w:fldChar w:fldCharType="separate"/>
          </w:r>
          <w:r>
            <w:rPr>
              <w:rFonts w:hint="eastAsia" w:ascii="仿宋" w:hAnsi="仿宋" w:eastAsia="仿宋" w:cs="仿宋"/>
              <w:sz w:val="32"/>
              <w:szCs w:val="32"/>
            </w:rPr>
            <w:t>四、财政拨款收入支出决算总表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_Toc22648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491BBE0">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_Toc1611 </w:instrText>
          </w:r>
          <w:r>
            <w:rPr>
              <w:rFonts w:hint="eastAsia" w:ascii="仿宋" w:hAnsi="仿宋" w:eastAsia="仿宋" w:cs="仿宋"/>
              <w:sz w:val="32"/>
              <w:szCs w:val="32"/>
            </w:rPr>
            <w:fldChar w:fldCharType="separate"/>
          </w:r>
          <w:r>
            <w:rPr>
              <w:rFonts w:hint="eastAsia" w:ascii="仿宋" w:hAnsi="仿宋" w:eastAsia="仿宋" w:cs="仿宋"/>
              <w:sz w:val="32"/>
              <w:szCs w:val="32"/>
            </w:rPr>
            <w:t>五、财政拨款支出决算明细表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_Toc1611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A225D8F">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_Toc3376 </w:instrText>
          </w:r>
          <w:r>
            <w:rPr>
              <w:rFonts w:hint="eastAsia" w:ascii="仿宋" w:hAnsi="仿宋" w:eastAsia="仿宋" w:cs="仿宋"/>
              <w:sz w:val="32"/>
              <w:szCs w:val="32"/>
            </w:rPr>
            <w:fldChar w:fldCharType="separate"/>
          </w:r>
          <w:r>
            <w:rPr>
              <w:rFonts w:hint="eastAsia" w:ascii="仿宋" w:hAnsi="仿宋" w:eastAsia="仿宋" w:cs="仿宋"/>
              <w:sz w:val="32"/>
              <w:szCs w:val="32"/>
            </w:rPr>
            <w:t>六、一般公共预算财政拨款支出决算表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_Toc3376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DE2A9BC">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_Toc28950 </w:instrText>
          </w:r>
          <w:r>
            <w:rPr>
              <w:rFonts w:hint="eastAsia" w:ascii="仿宋" w:hAnsi="仿宋" w:eastAsia="仿宋" w:cs="仿宋"/>
              <w:sz w:val="32"/>
              <w:szCs w:val="32"/>
            </w:rPr>
            <w:fldChar w:fldCharType="separate"/>
          </w:r>
          <w:r>
            <w:rPr>
              <w:rFonts w:hint="eastAsia" w:ascii="仿宋" w:hAnsi="仿宋" w:eastAsia="仿宋" w:cs="仿宋"/>
              <w:sz w:val="32"/>
              <w:szCs w:val="32"/>
            </w:rPr>
            <w:t>七、一般公共预算财政拨款支出决算明细表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_Toc28950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77E1B27">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_Toc7832 </w:instrText>
          </w:r>
          <w:r>
            <w:rPr>
              <w:rFonts w:hint="eastAsia" w:ascii="仿宋" w:hAnsi="仿宋" w:eastAsia="仿宋" w:cs="仿宋"/>
              <w:sz w:val="32"/>
              <w:szCs w:val="32"/>
            </w:rPr>
            <w:fldChar w:fldCharType="separate"/>
          </w:r>
          <w:r>
            <w:rPr>
              <w:rFonts w:hint="eastAsia" w:ascii="仿宋" w:hAnsi="仿宋" w:eastAsia="仿宋" w:cs="仿宋"/>
              <w:sz w:val="32"/>
              <w:szCs w:val="32"/>
            </w:rPr>
            <w:t>八、一般公共预算财政拨款基本支出决算表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_Toc7832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93C8149">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_Toc420 </w:instrText>
          </w:r>
          <w:r>
            <w:rPr>
              <w:rFonts w:hint="eastAsia" w:ascii="仿宋" w:hAnsi="仿宋" w:eastAsia="仿宋" w:cs="仿宋"/>
              <w:sz w:val="32"/>
              <w:szCs w:val="32"/>
            </w:rPr>
            <w:fldChar w:fldCharType="separate"/>
          </w:r>
          <w:r>
            <w:rPr>
              <w:rFonts w:hint="eastAsia" w:ascii="仿宋" w:hAnsi="仿宋" w:eastAsia="仿宋" w:cs="仿宋"/>
              <w:sz w:val="32"/>
              <w:szCs w:val="32"/>
            </w:rPr>
            <w:t>九、一般公共预算财政拨款项目支出决算表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_Toc420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7B189CB">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_Toc28725 </w:instrText>
          </w:r>
          <w:r>
            <w:rPr>
              <w:rFonts w:hint="eastAsia" w:ascii="仿宋" w:hAnsi="仿宋" w:eastAsia="仿宋" w:cs="仿宋"/>
              <w:sz w:val="32"/>
              <w:szCs w:val="32"/>
            </w:rPr>
            <w:fldChar w:fldCharType="separate"/>
          </w:r>
          <w:r>
            <w:rPr>
              <w:rFonts w:hint="eastAsia" w:ascii="仿宋" w:hAnsi="仿宋" w:eastAsia="仿宋" w:cs="仿宋"/>
              <w:sz w:val="32"/>
              <w:szCs w:val="32"/>
            </w:rPr>
            <w:t>十、政府性基金预算财政拨款收入支出决算表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_Toc28725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88660D6">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_Toc3604 </w:instrText>
          </w:r>
          <w:r>
            <w:rPr>
              <w:rFonts w:hint="eastAsia" w:ascii="仿宋" w:hAnsi="仿宋" w:eastAsia="仿宋" w:cs="仿宋"/>
              <w:sz w:val="32"/>
              <w:szCs w:val="32"/>
            </w:rPr>
            <w:fldChar w:fldCharType="separate"/>
          </w:r>
          <w:r>
            <w:rPr>
              <w:rFonts w:hint="eastAsia" w:ascii="仿宋" w:hAnsi="仿宋" w:eastAsia="仿宋" w:cs="仿宋"/>
              <w:sz w:val="32"/>
              <w:szCs w:val="32"/>
            </w:rPr>
            <w:t>十一、国有资本经营预算财政拨款收入支出决算表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_Toc3604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79023B5">
          <w:pPr>
            <w:pStyle w:val="15"/>
            <w:tabs>
              <w:tab w:val="right" w:leader="dot" w:pos="8306"/>
              <w:tab w:val="clear" w:pos="8296"/>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_Toc9648 </w:instrText>
          </w:r>
          <w:r>
            <w:rPr>
              <w:rFonts w:hint="eastAsia" w:ascii="仿宋" w:hAnsi="仿宋" w:eastAsia="仿宋" w:cs="仿宋"/>
              <w:sz w:val="32"/>
              <w:szCs w:val="32"/>
            </w:rPr>
            <w:fldChar w:fldCharType="separate"/>
          </w:r>
          <w:r>
            <w:rPr>
              <w:rFonts w:hint="eastAsia" w:ascii="仿宋" w:hAnsi="仿宋" w:eastAsia="仿宋" w:cs="仿宋"/>
              <w:sz w:val="32"/>
              <w:szCs w:val="32"/>
            </w:rPr>
            <w:t>十二、国有资本经营预算财政拨款支出决算表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_Toc9648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36B4689">
          <w:pPr>
            <w:pStyle w:val="15"/>
            <w:tabs>
              <w:tab w:val="right" w:leader="dot" w:pos="8306"/>
              <w:tab w:val="clear" w:pos="8296"/>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_Toc16740 </w:instrText>
          </w:r>
          <w:r>
            <w:rPr>
              <w:rFonts w:hint="eastAsia" w:ascii="仿宋" w:hAnsi="仿宋" w:eastAsia="仿宋" w:cs="仿宋"/>
              <w:sz w:val="32"/>
              <w:szCs w:val="32"/>
            </w:rPr>
            <w:fldChar w:fldCharType="separate"/>
          </w:r>
          <w:r>
            <w:rPr>
              <w:rFonts w:hint="eastAsia" w:ascii="仿宋" w:hAnsi="仿宋" w:eastAsia="仿宋" w:cs="仿宋"/>
              <w:sz w:val="32"/>
              <w:szCs w:val="32"/>
            </w:rPr>
            <w:t>十三、财政拨款“三公”经费支出决算表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_Toc16740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0AB593B">
          <w:pPr>
            <w:rPr>
              <w:b/>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仿宋" w:hAnsi="仿宋" w:eastAsia="仿宋" w:cs="仿宋"/>
              <w:szCs w:val="32"/>
            </w:rPr>
            <w:fldChar w:fldCharType="end"/>
          </w:r>
        </w:p>
      </w:sdtContent>
    </w:sdt>
    <w:p w14:paraId="4E4645C3">
      <w:pPr>
        <w:pStyle w:val="2"/>
        <w:jc w:val="center"/>
        <w:rPr>
          <w:rStyle w:val="31"/>
          <w:rFonts w:ascii="黑体" w:hAnsi="黑体" w:eastAsia="黑体"/>
          <w:b/>
          <w:bCs w:val="0"/>
        </w:rPr>
      </w:pPr>
      <w:bookmarkStart w:id="18" w:name="_Toc32530"/>
      <w:r>
        <w:rPr>
          <w:rFonts w:hint="eastAsia" w:ascii="黑体" w:hAnsi="黑体" w:eastAsia="黑体"/>
          <w:b w:val="0"/>
        </w:rPr>
        <w:t xml:space="preserve">第一部分 </w:t>
      </w:r>
      <w:r>
        <w:rPr>
          <w:rStyle w:val="31"/>
          <w:rFonts w:hint="eastAsia" w:ascii="黑体" w:hAnsi="黑体" w:eastAsia="黑体"/>
          <w:b w:val="0"/>
          <w:bCs w:val="0"/>
          <w:lang w:val="en-US" w:eastAsia="zh-CN"/>
        </w:rPr>
        <w:t>单位</w:t>
      </w:r>
      <w:r>
        <w:rPr>
          <w:rStyle w:val="31"/>
          <w:rFonts w:hint="eastAsia" w:ascii="黑体" w:hAnsi="黑体" w:eastAsia="黑体"/>
          <w:b w:val="0"/>
          <w:bCs w:val="0"/>
        </w:rPr>
        <w:t>概况</w:t>
      </w:r>
      <w:bookmarkEnd w:id="16"/>
      <w:bookmarkEnd w:id="17"/>
      <w:bookmarkEnd w:id="18"/>
    </w:p>
    <w:p w14:paraId="5F98E30D">
      <w:pPr>
        <w:pStyle w:val="3"/>
        <w:rPr>
          <w:rFonts w:hint="eastAsia" w:ascii="黑体" w:hAnsi="黑体" w:eastAsia="黑体"/>
          <w:b w:val="0"/>
        </w:rPr>
      </w:pPr>
      <w:bookmarkStart w:id="19" w:name="_Toc15377197"/>
      <w:bookmarkStart w:id="20" w:name="_Toc15396600"/>
      <w:bookmarkStart w:id="21" w:name="_Toc15250"/>
      <w:r>
        <w:rPr>
          <w:rFonts w:hint="eastAsia" w:ascii="黑体" w:hAnsi="黑体" w:eastAsia="黑体"/>
          <w:b w:val="0"/>
        </w:rPr>
        <w:t>一、</w:t>
      </w:r>
      <w:bookmarkEnd w:id="19"/>
      <w:bookmarkEnd w:id="20"/>
      <w:r>
        <w:rPr>
          <w:rFonts w:hint="eastAsia" w:ascii="黑体" w:hAnsi="黑体" w:eastAsia="黑体"/>
          <w:b w:val="0"/>
          <w:lang w:val="en-US" w:eastAsia="zh-CN"/>
        </w:rPr>
        <w:t>主要</w:t>
      </w:r>
      <w:r>
        <w:rPr>
          <w:rFonts w:hint="eastAsia" w:ascii="黑体" w:hAnsi="黑体" w:eastAsia="黑体"/>
          <w:b w:val="0"/>
        </w:rPr>
        <w:t>职责</w:t>
      </w:r>
      <w:bookmarkEnd w:id="21"/>
    </w:p>
    <w:p w14:paraId="4889359E">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（1）开展学术交流，活跃学术思想，促进学科和经济发展。</w:t>
      </w:r>
    </w:p>
    <w:p w14:paraId="3A323626">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（2）普及科学文化知识，传播科学思想、科学方法，推广先进技术，开展青少年科学技术教育活动，提高全民族科学文化素质。</w:t>
      </w:r>
    </w:p>
    <w:p w14:paraId="606AA213">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（3）反映科技工作者的意见和要求，维护科技工作者的合法权益。组织科技工作者参与全县科学技术政策、法规制定，提出政策建议，参与政治协商、科学决策、民主监督工作。  </w:t>
      </w:r>
    </w:p>
    <w:p w14:paraId="3B21FE03">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（4）表彰奖励优秀科技工作者，举荐人才，使优秀科技人才脱颖而出，形成尊重知识、尊重人才的良好社会风气。</w:t>
      </w:r>
    </w:p>
    <w:p w14:paraId="769685D6">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（5）开展科学论证、咨询服务，促进科技成果向生产力的转化。</w:t>
      </w:r>
    </w:p>
    <w:p w14:paraId="25D54857">
      <w:pPr>
        <w:snapToGrid w:val="0"/>
        <w:spacing w:line="52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（6）对县属县级学会、协会、研究会进行管理，对乡镇及县属厂矿科协进行业务指导。</w:t>
      </w:r>
    </w:p>
    <w:p w14:paraId="4EFB98C4">
      <w:pPr>
        <w:snapToGrid w:val="0"/>
        <w:spacing w:line="520" w:lineRule="exact"/>
        <w:ind w:firstLine="640" w:firstLineChars="200"/>
        <w:rPr>
          <w:rFonts w:hint="default" w:ascii="Times New Roman" w:hAnsi="Times New Roman" w:cs="Times New Roman"/>
          <w:bCs/>
          <w:color w:val="FF0000"/>
          <w:sz w:val="32"/>
          <w:szCs w:val="28"/>
          <w:lang w:val="en-US" w:eastAsia="zh-CN"/>
        </w:rPr>
      </w:pPr>
      <w:r>
        <w:rPr>
          <w:rFonts w:hint="eastAsia" w:ascii="仿宋_GB2312" w:hAnsi="仿宋" w:eastAsia="仿宋_GB2312" w:cs="Times New Roman"/>
          <w:color w:val="000000"/>
          <w:sz w:val="32"/>
          <w:szCs w:val="32"/>
        </w:rPr>
        <w:t>（7）承办县委、</w:t>
      </w:r>
      <w:r>
        <w:rPr>
          <w:rFonts w:hint="eastAsia" w:ascii="仿宋_GB2312" w:hAnsi="仿宋" w:eastAsia="仿宋_GB2312" w:cs="Times New Roman"/>
          <w:color w:val="000000"/>
          <w:sz w:val="32"/>
          <w:szCs w:val="32"/>
          <w:lang w:eastAsia="zh-CN"/>
        </w:rPr>
        <w:t>县</w:t>
      </w:r>
      <w:r>
        <w:rPr>
          <w:rFonts w:hint="eastAsia" w:ascii="仿宋_GB2312" w:hAnsi="仿宋" w:eastAsia="仿宋_GB2312" w:cs="Times New Roman"/>
          <w:color w:val="000000"/>
          <w:sz w:val="32"/>
          <w:szCs w:val="32"/>
        </w:rPr>
        <w:t>政府和市科协交办的其他事项。</w:t>
      </w:r>
    </w:p>
    <w:p w14:paraId="4C21C19B"/>
    <w:p w14:paraId="780ACC80">
      <w:pPr>
        <w:pStyle w:val="3"/>
        <w:rPr>
          <w:rStyle w:val="32"/>
          <w:b w:val="0"/>
          <w:bCs w:val="0"/>
        </w:rPr>
      </w:pPr>
      <w:bookmarkStart w:id="22" w:name="_Toc15377200"/>
      <w:bookmarkStart w:id="23" w:name="_Toc15396601"/>
      <w:bookmarkStart w:id="24" w:name="_Toc15611"/>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22"/>
      <w:bookmarkEnd w:id="23"/>
      <w:bookmarkEnd w:id="24"/>
    </w:p>
    <w:p w14:paraId="09F21F04">
      <w:pPr>
        <w:ind w:firstLine="800" w:firstLineChars="250"/>
        <w:rPr>
          <w:rFonts w:hint="eastAsia" w:ascii="仿宋" w:hAnsi="仿宋" w:eastAsia="仿宋" w:cs="Times New Roman"/>
          <w:sz w:val="32"/>
          <w:szCs w:val="32"/>
        </w:rPr>
      </w:pPr>
      <w:r>
        <w:rPr>
          <w:rFonts w:hint="eastAsia" w:ascii="仿宋" w:hAnsi="仿宋" w:eastAsia="仿宋" w:cs="Times New Roman"/>
          <w:sz w:val="32"/>
          <w:szCs w:val="32"/>
        </w:rPr>
        <w:t>峨边彝族自治县科学技术协会下属二级预算单位1个，其中</w:t>
      </w:r>
      <w:r>
        <w:rPr>
          <w:rFonts w:hint="eastAsia" w:ascii="仿宋" w:hAnsi="仿宋" w:eastAsia="仿宋" w:cs="Times New Roman"/>
          <w:sz w:val="32"/>
          <w:szCs w:val="32"/>
          <w:lang w:val="en-US" w:eastAsia="zh-CN"/>
        </w:rPr>
        <w:t>行政单位1个、行政类事业单位0个、事业单位0个。</w:t>
      </w:r>
    </w:p>
    <w:p w14:paraId="6349A223">
      <w:pPr>
        <w:ind w:firstLine="800" w:firstLineChars="250"/>
        <w:rPr>
          <w:rFonts w:hint="eastAsia" w:ascii="仿宋" w:hAnsi="仿宋" w:eastAsia="仿宋" w:cs="Times New Roman"/>
          <w:sz w:val="32"/>
          <w:szCs w:val="32"/>
        </w:rPr>
      </w:pPr>
      <w:r>
        <w:rPr>
          <w:rFonts w:hint="eastAsia" w:ascii="仿宋" w:hAnsi="仿宋" w:eastAsia="仿宋" w:cs="Times New Roman"/>
          <w:sz w:val="32"/>
          <w:szCs w:val="32"/>
        </w:rPr>
        <w:t>纳入峨边彝族自治县科学技术协会2023年度</w:t>
      </w:r>
      <w:r>
        <w:rPr>
          <w:rFonts w:hint="eastAsia" w:ascii="仿宋" w:hAnsi="仿宋" w:eastAsia="仿宋" w:cs="Times New Roman"/>
          <w:sz w:val="32"/>
          <w:szCs w:val="32"/>
          <w:lang w:eastAsia="zh-CN"/>
        </w:rPr>
        <w:t>单位决算</w:t>
      </w:r>
      <w:r>
        <w:rPr>
          <w:rFonts w:hint="eastAsia" w:ascii="仿宋" w:hAnsi="仿宋" w:eastAsia="仿宋" w:cs="Times New Roman"/>
          <w:sz w:val="32"/>
          <w:szCs w:val="32"/>
        </w:rPr>
        <w:t>编制范围的二级预算单位包括：</w:t>
      </w:r>
    </w:p>
    <w:p w14:paraId="49DAB31E">
      <w:pPr>
        <w:pStyle w:val="8"/>
        <w:numPr>
          <w:ilvl w:val="0"/>
          <w:numId w:val="1"/>
        </w:numPr>
        <w:adjustRightInd w:val="0"/>
        <w:snapToGrid w:val="0"/>
        <w:spacing w:before="93" w:line="600" w:lineRule="exact"/>
        <w:outlineLvl w:val="2"/>
        <w:rPr>
          <w:rFonts w:ascii="仿宋" w:hAnsi="仿宋" w:eastAsia="仿宋"/>
          <w:sz w:val="32"/>
          <w:szCs w:val="32"/>
        </w:rPr>
      </w:pPr>
      <w:bookmarkStart w:id="25" w:name="_Toc15377433"/>
      <w:bookmarkStart w:id="26" w:name="_Toc15306276"/>
      <w:bookmarkStart w:id="27" w:name="_Toc15378449"/>
      <w:bookmarkStart w:id="28" w:name="_Toc15377202"/>
      <w:r>
        <w:rPr>
          <w:rFonts w:hint="eastAsia" w:ascii="仿宋" w:hAnsi="仿宋" w:eastAsia="仿宋" w:cs="Times New Roman"/>
          <w:sz w:val="32"/>
          <w:szCs w:val="32"/>
        </w:rPr>
        <w:t>峨边彝族自治县科学技术协会</w:t>
      </w:r>
      <w:bookmarkEnd w:id="25"/>
      <w:bookmarkEnd w:id="26"/>
      <w:bookmarkEnd w:id="27"/>
      <w:bookmarkEnd w:id="28"/>
    </w:p>
    <w:p w14:paraId="476BB04B">
      <w:pPr>
        <w:pStyle w:val="2"/>
        <w:ind w:right="440"/>
        <w:jc w:val="center"/>
        <w:rPr>
          <w:rFonts w:hint="eastAsia" w:ascii="黑体" w:hAnsi="黑体" w:eastAsia="黑体"/>
          <w:b w:val="0"/>
        </w:rPr>
        <w:sectPr>
          <w:pgSz w:w="11906" w:h="16838"/>
          <w:pgMar w:top="1440" w:right="1800" w:bottom="1440" w:left="1800" w:header="851" w:footer="992" w:gutter="0"/>
          <w:cols w:space="425" w:num="1"/>
          <w:titlePg/>
          <w:docGrid w:type="lines" w:linePitch="312" w:charSpace="0"/>
        </w:sectPr>
      </w:pPr>
      <w:bookmarkStart w:id="29" w:name="_Toc15377204"/>
      <w:bookmarkStart w:id="30" w:name="_Toc15396602"/>
    </w:p>
    <w:p w14:paraId="3D2C2F5E">
      <w:pPr>
        <w:pStyle w:val="2"/>
        <w:ind w:right="440"/>
        <w:jc w:val="center"/>
        <w:rPr>
          <w:rStyle w:val="31"/>
          <w:rFonts w:ascii="黑体" w:hAnsi="黑体" w:eastAsia="黑体"/>
          <w:b w:val="0"/>
          <w:bCs/>
        </w:rPr>
      </w:pPr>
      <w:bookmarkStart w:id="31" w:name="_Toc4658"/>
      <w:r>
        <w:rPr>
          <w:rFonts w:hint="eastAsia" w:ascii="黑体" w:hAnsi="黑体" w:eastAsia="黑体"/>
          <w:b w:val="0"/>
        </w:rPr>
        <w:t>第二部分 2023年度</w:t>
      </w:r>
      <w:r>
        <w:rPr>
          <w:rStyle w:val="31"/>
          <w:rFonts w:hint="eastAsia" w:ascii="黑体" w:hAnsi="黑体" w:eastAsia="黑体"/>
          <w:b w:val="0"/>
          <w:bCs/>
          <w:lang w:eastAsia="zh-CN"/>
        </w:rPr>
        <w:t>单位决算</w:t>
      </w:r>
      <w:r>
        <w:rPr>
          <w:rStyle w:val="31"/>
          <w:rFonts w:hint="eastAsia" w:ascii="黑体" w:hAnsi="黑体" w:eastAsia="黑体"/>
          <w:b w:val="0"/>
          <w:bCs/>
        </w:rPr>
        <w:t>情况说明</w:t>
      </w:r>
      <w:bookmarkEnd w:id="29"/>
      <w:bookmarkEnd w:id="30"/>
      <w:bookmarkEnd w:id="31"/>
    </w:p>
    <w:p w14:paraId="68C80508">
      <w:pPr>
        <w:pStyle w:val="30"/>
        <w:numPr>
          <w:ilvl w:val="0"/>
          <w:numId w:val="2"/>
        </w:numPr>
        <w:spacing w:line="600" w:lineRule="exact"/>
        <w:ind w:firstLineChars="0"/>
        <w:outlineLvl w:val="1"/>
        <w:rPr>
          <w:rStyle w:val="32"/>
          <w:rFonts w:ascii="黑体" w:hAnsi="黑体" w:eastAsia="黑体"/>
          <w:b w:val="0"/>
        </w:rPr>
      </w:pPr>
      <w:bookmarkStart w:id="32" w:name="_Toc19365"/>
      <w:bookmarkStart w:id="33" w:name="_Toc15396603"/>
      <w:bookmarkStart w:id="34" w:name="_Toc15377205"/>
      <w:r>
        <w:rPr>
          <w:rFonts w:hint="eastAsia" w:ascii="黑体" w:hAnsi="黑体" w:eastAsia="黑体"/>
          <w:sz w:val="32"/>
          <w:szCs w:val="32"/>
        </w:rPr>
        <w:t>收</w:t>
      </w:r>
      <w:r>
        <w:rPr>
          <w:rStyle w:val="32"/>
          <w:rFonts w:hint="eastAsia" w:ascii="黑体" w:hAnsi="黑体" w:eastAsia="黑体"/>
          <w:b w:val="0"/>
        </w:rPr>
        <w:t>入支出决算总体情况说明</w:t>
      </w:r>
      <w:bookmarkEnd w:id="32"/>
      <w:bookmarkEnd w:id="33"/>
      <w:bookmarkEnd w:id="34"/>
    </w:p>
    <w:p w14:paraId="089E6D5B">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val="0"/>
          <w:bCs/>
          <w:sz w:val="32"/>
          <w:szCs w:val="32"/>
        </w:rPr>
        <w:t>181.49</w:t>
      </w:r>
      <w:r>
        <w:rPr>
          <w:rFonts w:hint="eastAsia" w:ascii="仿宋" w:hAnsi="仿宋" w:eastAsia="仿宋"/>
          <w:sz w:val="32"/>
          <w:szCs w:val="32"/>
        </w:rPr>
        <w:t>万元。与2022年度相比，收、支总计各增</w:t>
      </w:r>
      <w:r>
        <w:rPr>
          <w:rFonts w:hint="eastAsia" w:ascii="仿宋" w:hAnsi="仿宋" w:eastAsia="仿宋"/>
          <w:sz w:val="32"/>
          <w:szCs w:val="32"/>
          <w:lang w:val="en-US" w:eastAsia="zh-CN"/>
        </w:rPr>
        <w:t>加15.06</w:t>
      </w:r>
      <w:r>
        <w:rPr>
          <w:rFonts w:hint="eastAsia" w:ascii="仿宋" w:hAnsi="仿宋" w:eastAsia="仿宋"/>
          <w:sz w:val="32"/>
          <w:szCs w:val="32"/>
        </w:rPr>
        <w:t>万元，增长</w:t>
      </w:r>
      <w:r>
        <w:rPr>
          <w:rFonts w:hint="eastAsia" w:ascii="仿宋" w:hAnsi="仿宋" w:eastAsia="仿宋"/>
          <w:sz w:val="32"/>
          <w:szCs w:val="32"/>
          <w:lang w:val="en-US" w:eastAsia="zh-CN"/>
        </w:rPr>
        <w:t>9.05</w:t>
      </w:r>
      <w:r>
        <w:rPr>
          <w:rFonts w:ascii="仿宋" w:hAnsi="仿宋" w:eastAsia="仿宋"/>
          <w:sz w:val="32"/>
          <w:szCs w:val="32"/>
        </w:rPr>
        <w:t>%</w:t>
      </w:r>
      <w:r>
        <w:rPr>
          <w:rFonts w:hint="eastAsia" w:ascii="仿宋" w:hAnsi="仿宋" w:eastAsia="仿宋"/>
          <w:sz w:val="32"/>
          <w:szCs w:val="32"/>
        </w:rPr>
        <w:t>。主要变动原因是预算项目增加。</w:t>
      </w:r>
    </w:p>
    <w:p w14:paraId="6AD3D3F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sz w:val="32"/>
          <w:szCs w:val="32"/>
        </w:rPr>
      </w:pPr>
      <w:r>
        <w:rPr>
          <w:rFonts w:hint="eastAsia" w:eastAsia="仿宋"/>
          <w:lang w:eastAsia="zh-CN"/>
        </w:rPr>
        <w:drawing>
          <wp:inline distT="0" distB="0" distL="114300" distR="114300">
            <wp:extent cx="5256530" cy="2988310"/>
            <wp:effectExtent l="5080" t="4445" r="15240"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788DDA86">
      <w:pPr>
        <w:pStyle w:val="30"/>
        <w:numPr>
          <w:ilvl w:val="0"/>
          <w:numId w:val="2"/>
        </w:numPr>
        <w:spacing w:line="600" w:lineRule="exact"/>
        <w:ind w:firstLineChars="0"/>
        <w:outlineLvl w:val="1"/>
        <w:rPr>
          <w:rStyle w:val="32"/>
          <w:rFonts w:ascii="黑体" w:hAnsi="黑体" w:eastAsia="黑体"/>
          <w:b w:val="0"/>
        </w:rPr>
      </w:pPr>
      <w:bookmarkStart w:id="35" w:name="_Toc25525"/>
      <w:bookmarkStart w:id="36" w:name="_Toc15396604"/>
      <w:bookmarkStart w:id="37" w:name="_Toc15377206"/>
      <w:r>
        <w:rPr>
          <w:rFonts w:hint="eastAsia" w:ascii="黑体" w:hAnsi="黑体" w:eastAsia="黑体"/>
          <w:sz w:val="32"/>
          <w:szCs w:val="32"/>
        </w:rPr>
        <w:t>收</w:t>
      </w:r>
      <w:r>
        <w:rPr>
          <w:rStyle w:val="32"/>
          <w:rFonts w:hint="eastAsia" w:ascii="黑体" w:hAnsi="黑体" w:eastAsia="黑体"/>
          <w:b w:val="0"/>
        </w:rPr>
        <w:t>入决算情况说明</w:t>
      </w:r>
      <w:bookmarkEnd w:id="35"/>
      <w:bookmarkEnd w:id="36"/>
      <w:bookmarkEnd w:id="37"/>
    </w:p>
    <w:p w14:paraId="20D6E739">
      <w:pPr>
        <w:spacing w:line="600" w:lineRule="exact"/>
        <w:ind w:firstLine="640" w:firstLineChars="200"/>
        <w:outlineLvl w:val="1"/>
        <w:rPr>
          <w:rFonts w:ascii="仿宋" w:hAnsi="仿宋" w:eastAsia="仿宋"/>
          <w:sz w:val="32"/>
          <w:szCs w:val="32"/>
        </w:rPr>
      </w:pPr>
      <w:bookmarkStart w:id="38" w:name="_Toc12908"/>
      <w:bookmarkStart w:id="39" w:name="_Toc28846"/>
      <w:bookmarkStart w:id="40" w:name="_Toc16191"/>
      <w:r>
        <w:rPr>
          <w:rFonts w:hint="eastAsia" w:ascii="仿宋" w:hAnsi="仿宋" w:eastAsia="仿宋"/>
          <w:sz w:val="32"/>
          <w:szCs w:val="32"/>
        </w:rPr>
        <w:t>2023年度本年收入合计</w:t>
      </w:r>
      <w:r>
        <w:rPr>
          <w:rFonts w:ascii="仿宋" w:hAnsi="仿宋" w:eastAsia="仿宋"/>
          <w:b/>
          <w:sz w:val="32"/>
          <w:szCs w:val="32"/>
        </w:rPr>
        <w:t>181.49</w:t>
      </w:r>
      <w:r>
        <w:rPr>
          <w:rFonts w:hint="eastAsia" w:ascii="仿宋" w:hAnsi="仿宋" w:eastAsia="仿宋"/>
          <w:sz w:val="32"/>
          <w:szCs w:val="32"/>
        </w:rPr>
        <w:t>万元，其中：一般公共预算财政拨款收入</w:t>
      </w:r>
      <w:r>
        <w:rPr>
          <w:rFonts w:ascii="仿宋" w:hAnsi="仿宋" w:eastAsia="仿宋"/>
          <w:b/>
          <w:sz w:val="32"/>
          <w:szCs w:val="32"/>
        </w:rPr>
        <w:t>181.49</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bookmarkEnd w:id="38"/>
      <w:bookmarkEnd w:id="39"/>
      <w:bookmarkEnd w:id="40"/>
    </w:p>
    <w:p w14:paraId="55D6027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b/>
          <w:sz w:val="32"/>
          <w:szCs w:val="32"/>
        </w:rPr>
      </w:pPr>
      <w:r>
        <w:rPr>
          <w:rFonts w:hint="eastAsia" w:ascii="仿宋" w:hAnsi="仿宋" w:eastAsia="仿宋"/>
          <w:sz w:val="32"/>
          <w:szCs w:val="32"/>
          <w:lang w:eastAsia="zh-CN"/>
        </w:rPr>
        <w:drawing>
          <wp:inline distT="0" distB="0" distL="114300" distR="114300">
            <wp:extent cx="5104130" cy="2312670"/>
            <wp:effectExtent l="4445" t="4445" r="15875" b="64135"/>
            <wp:docPr id="2" name="图表 2" descr="7b0a202020202263686172745265734964223a202232303437363132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BC12EF">
      <w:pPr>
        <w:spacing w:line="600" w:lineRule="exact"/>
        <w:ind w:firstLine="640" w:firstLineChars="200"/>
        <w:outlineLvl w:val="9"/>
        <w:rPr>
          <w:rFonts w:ascii="仿宋" w:hAnsi="仿宋" w:eastAsia="仿宋"/>
          <w:sz w:val="32"/>
          <w:szCs w:val="32"/>
        </w:rPr>
      </w:pPr>
    </w:p>
    <w:p w14:paraId="22DEB5F0">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27FCFB3B">
      <w:pPr>
        <w:pStyle w:val="30"/>
        <w:numPr>
          <w:ilvl w:val="0"/>
          <w:numId w:val="2"/>
        </w:numPr>
        <w:spacing w:line="600" w:lineRule="exact"/>
        <w:ind w:firstLineChars="0"/>
        <w:outlineLvl w:val="1"/>
        <w:rPr>
          <w:rStyle w:val="32"/>
          <w:rFonts w:ascii="黑体" w:hAnsi="黑体" w:eastAsia="黑体"/>
          <w:b w:val="0"/>
        </w:rPr>
      </w:pPr>
      <w:bookmarkStart w:id="41" w:name="_Toc15377207"/>
      <w:bookmarkStart w:id="42" w:name="_Toc11939"/>
      <w:bookmarkStart w:id="43" w:name="_Toc15396605"/>
      <w:r>
        <w:rPr>
          <w:rFonts w:hint="eastAsia" w:ascii="黑体" w:hAnsi="黑体" w:eastAsia="黑体"/>
          <w:sz w:val="32"/>
          <w:szCs w:val="32"/>
        </w:rPr>
        <w:t>支</w:t>
      </w:r>
      <w:r>
        <w:rPr>
          <w:rStyle w:val="32"/>
          <w:rFonts w:hint="eastAsia" w:ascii="黑体" w:hAnsi="黑体" w:eastAsia="黑体"/>
          <w:b w:val="0"/>
        </w:rPr>
        <w:t>出决算情况说明</w:t>
      </w:r>
      <w:bookmarkEnd w:id="41"/>
      <w:bookmarkEnd w:id="42"/>
      <w:bookmarkEnd w:id="43"/>
    </w:p>
    <w:p w14:paraId="4F3D1606">
      <w:pPr>
        <w:spacing w:line="600" w:lineRule="exact"/>
        <w:ind w:firstLine="640" w:firstLineChars="200"/>
        <w:outlineLvl w:val="1"/>
        <w:rPr>
          <w:rFonts w:ascii="仿宋" w:hAnsi="仿宋" w:eastAsia="仿宋"/>
          <w:sz w:val="32"/>
          <w:szCs w:val="32"/>
        </w:rPr>
      </w:pPr>
      <w:bookmarkStart w:id="44" w:name="_Toc31246"/>
      <w:bookmarkStart w:id="45" w:name="_Toc21214"/>
      <w:bookmarkStart w:id="46" w:name="_Toc3580"/>
      <w:r>
        <w:rPr>
          <w:rFonts w:hint="eastAsia" w:ascii="仿宋" w:hAnsi="仿宋" w:eastAsia="仿宋"/>
          <w:sz w:val="32"/>
          <w:szCs w:val="32"/>
        </w:rPr>
        <w:t>2023年度本年支出合计</w:t>
      </w:r>
      <w:r>
        <w:rPr>
          <w:rFonts w:ascii="仿宋" w:hAnsi="仿宋" w:eastAsia="仿宋"/>
          <w:b/>
          <w:sz w:val="32"/>
          <w:szCs w:val="32"/>
        </w:rPr>
        <w:t>181.49</w:t>
      </w:r>
      <w:r>
        <w:rPr>
          <w:rFonts w:hint="eastAsia" w:ascii="仿宋" w:hAnsi="仿宋" w:eastAsia="仿宋"/>
          <w:sz w:val="32"/>
          <w:szCs w:val="32"/>
        </w:rPr>
        <w:t>万元，其中：基本支出</w:t>
      </w:r>
      <w:r>
        <w:rPr>
          <w:rFonts w:ascii="仿宋" w:hAnsi="仿宋" w:eastAsia="仿宋"/>
          <w:b/>
          <w:sz w:val="32"/>
          <w:szCs w:val="32"/>
        </w:rPr>
        <w:t>131.6</w:t>
      </w:r>
      <w:r>
        <w:rPr>
          <w:rFonts w:hint="eastAsia" w:ascii="仿宋" w:hAnsi="仿宋" w:eastAsia="仿宋"/>
          <w:sz w:val="32"/>
          <w:szCs w:val="32"/>
        </w:rPr>
        <w:t>万元，占</w:t>
      </w:r>
      <w:r>
        <w:rPr>
          <w:rFonts w:ascii="仿宋" w:hAnsi="仿宋" w:eastAsia="仿宋"/>
          <w:b/>
          <w:sz w:val="32"/>
          <w:szCs w:val="32"/>
        </w:rPr>
        <w:t>72.</w:t>
      </w:r>
      <w:r>
        <w:rPr>
          <w:rFonts w:hint="eastAsia" w:ascii="仿宋" w:hAnsi="仿宋" w:eastAsia="仿宋"/>
          <w:b/>
          <w:sz w:val="32"/>
          <w:szCs w:val="32"/>
          <w:lang w:val="en-US" w:eastAsia="zh-CN"/>
        </w:rPr>
        <w:t>51</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49.89</w:t>
      </w:r>
      <w:r>
        <w:rPr>
          <w:rFonts w:hint="eastAsia" w:ascii="仿宋" w:hAnsi="仿宋" w:eastAsia="仿宋"/>
          <w:sz w:val="32"/>
          <w:szCs w:val="32"/>
        </w:rPr>
        <w:t>万元，占</w:t>
      </w:r>
      <w:r>
        <w:rPr>
          <w:rFonts w:ascii="仿宋" w:hAnsi="仿宋" w:eastAsia="仿宋"/>
          <w:b/>
          <w:sz w:val="32"/>
          <w:szCs w:val="32"/>
        </w:rPr>
        <w:t>27.49</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44"/>
      <w:bookmarkEnd w:id="45"/>
      <w:bookmarkEnd w:id="46"/>
    </w:p>
    <w:p w14:paraId="61BE909F">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sz w:val="32"/>
          <w:szCs w:val="32"/>
          <w:shd w:val="pct10" w:color="auto" w:fill="FFFFFF"/>
        </w:rPr>
      </w:pPr>
      <w:r>
        <w:rPr>
          <w:rFonts w:hint="eastAsia" w:ascii="仿宋" w:hAnsi="仿宋" w:eastAsia="仿宋"/>
          <w:sz w:val="32"/>
          <w:szCs w:val="32"/>
          <w:shd w:val="pct10" w:color="auto" w:fill="FFFFFF"/>
          <w:lang w:eastAsia="zh-CN"/>
        </w:rPr>
        <w:drawing>
          <wp:inline distT="0" distB="0" distL="114300" distR="114300">
            <wp:extent cx="5170805" cy="2712720"/>
            <wp:effectExtent l="4445" t="4445" r="6350" b="6413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B0C0BD0">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576BD39F">
      <w:pPr>
        <w:spacing w:line="600" w:lineRule="exact"/>
        <w:ind w:firstLine="640" w:firstLineChars="200"/>
        <w:outlineLvl w:val="1"/>
        <w:rPr>
          <w:rStyle w:val="32"/>
          <w:rFonts w:ascii="黑体" w:hAnsi="黑体" w:eastAsia="黑体"/>
          <w:b w:val="0"/>
        </w:rPr>
      </w:pPr>
      <w:bookmarkStart w:id="47" w:name="_Toc15396606"/>
      <w:bookmarkStart w:id="48" w:name="_Toc15377208"/>
      <w:bookmarkStart w:id="49" w:name="_Toc26027"/>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47"/>
      <w:bookmarkEnd w:id="48"/>
      <w:bookmarkEnd w:id="49"/>
    </w:p>
    <w:p w14:paraId="4AE305F1">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181.49</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15.06</w:t>
      </w:r>
      <w:r>
        <w:rPr>
          <w:rFonts w:hint="eastAsia" w:ascii="仿宋" w:hAnsi="仿宋" w:eastAsia="仿宋"/>
          <w:sz w:val="32"/>
          <w:szCs w:val="32"/>
        </w:rPr>
        <w:t>万元，增长</w:t>
      </w:r>
      <w:r>
        <w:rPr>
          <w:rFonts w:hint="eastAsia" w:ascii="仿宋" w:hAnsi="仿宋" w:eastAsia="仿宋"/>
          <w:sz w:val="32"/>
          <w:szCs w:val="32"/>
          <w:lang w:val="en-US" w:eastAsia="zh-CN"/>
        </w:rPr>
        <w:t>9.05</w:t>
      </w:r>
      <w:r>
        <w:rPr>
          <w:rFonts w:ascii="仿宋" w:hAnsi="仿宋" w:eastAsia="仿宋"/>
          <w:sz w:val="32"/>
          <w:szCs w:val="32"/>
        </w:rPr>
        <w:t>%</w:t>
      </w:r>
      <w:r>
        <w:rPr>
          <w:rFonts w:hint="eastAsia" w:ascii="仿宋" w:hAnsi="仿宋" w:eastAsia="仿宋"/>
          <w:sz w:val="32"/>
          <w:szCs w:val="32"/>
        </w:rPr>
        <w:t>。主要变动原因是预算项目增加。</w:t>
      </w:r>
    </w:p>
    <w:p w14:paraId="57A231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sz w:val="32"/>
          <w:szCs w:val="32"/>
        </w:rPr>
      </w:pPr>
      <w:r>
        <w:rPr>
          <w:rFonts w:hint="eastAsia" w:eastAsia="仿宋"/>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仿宋" w:hAnsi="仿宋" w:eastAsia="仿宋"/>
          <w:sz w:val="32"/>
          <w:szCs w:val="32"/>
        </w:rPr>
        <w:t>（图4：财政拨款收、支决算总计变动情况）（柱状图）</w:t>
      </w:r>
    </w:p>
    <w:p w14:paraId="0EE61E67">
      <w:pPr>
        <w:spacing w:line="600" w:lineRule="exact"/>
        <w:ind w:firstLine="640" w:firstLineChars="200"/>
        <w:outlineLvl w:val="1"/>
        <w:rPr>
          <w:rStyle w:val="32"/>
          <w:rFonts w:ascii="黑体" w:hAnsi="黑体" w:eastAsia="黑体"/>
          <w:b w:val="0"/>
        </w:rPr>
      </w:pPr>
      <w:bookmarkStart w:id="50" w:name="_Toc15377209"/>
      <w:bookmarkStart w:id="51" w:name="_Toc15396607"/>
      <w:bookmarkStart w:id="52" w:name="_Toc27320"/>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50"/>
      <w:bookmarkEnd w:id="51"/>
      <w:bookmarkEnd w:id="52"/>
    </w:p>
    <w:p w14:paraId="5FC64EE8">
      <w:pPr>
        <w:spacing w:line="600" w:lineRule="exact"/>
        <w:ind w:firstLine="643" w:firstLineChars="200"/>
        <w:outlineLvl w:val="2"/>
        <w:rPr>
          <w:rFonts w:ascii="仿宋" w:hAnsi="仿宋" w:eastAsia="仿宋"/>
          <w:b/>
          <w:sz w:val="32"/>
          <w:szCs w:val="32"/>
        </w:rPr>
      </w:pPr>
      <w:bookmarkStart w:id="53" w:name="_Toc15377210"/>
      <w:r>
        <w:rPr>
          <w:rFonts w:hint="eastAsia" w:ascii="仿宋" w:hAnsi="仿宋" w:eastAsia="仿宋"/>
          <w:b/>
          <w:sz w:val="32"/>
          <w:szCs w:val="32"/>
        </w:rPr>
        <w:t>（一）一般公共预算财政拨款支出决算总体情况</w:t>
      </w:r>
      <w:bookmarkEnd w:id="53"/>
    </w:p>
    <w:p w14:paraId="41F8B07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181.49</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15.06</w:t>
      </w:r>
      <w:r>
        <w:rPr>
          <w:rFonts w:hint="eastAsia" w:ascii="仿宋" w:hAnsi="仿宋" w:eastAsia="仿宋"/>
          <w:sz w:val="32"/>
          <w:szCs w:val="32"/>
        </w:rPr>
        <w:t>万元，增长</w:t>
      </w:r>
      <w:r>
        <w:rPr>
          <w:rFonts w:hint="eastAsia" w:ascii="仿宋" w:hAnsi="仿宋" w:eastAsia="仿宋"/>
          <w:sz w:val="32"/>
          <w:szCs w:val="32"/>
          <w:lang w:val="en-US" w:eastAsia="zh-CN"/>
        </w:rPr>
        <w:t>9.05</w:t>
      </w:r>
      <w:r>
        <w:rPr>
          <w:rFonts w:ascii="仿宋" w:hAnsi="仿宋" w:eastAsia="仿宋"/>
          <w:sz w:val="32"/>
          <w:szCs w:val="32"/>
        </w:rPr>
        <w:t>%</w:t>
      </w:r>
      <w:r>
        <w:rPr>
          <w:rFonts w:hint="eastAsia" w:ascii="仿宋" w:hAnsi="仿宋" w:eastAsia="仿宋"/>
          <w:sz w:val="32"/>
          <w:szCs w:val="32"/>
        </w:rPr>
        <w:t>。主要变动原因是预算项目增加。</w:t>
      </w:r>
    </w:p>
    <w:p w14:paraId="6ADB11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仿宋" w:hAnsi="仿宋" w:eastAsia="仿宋"/>
          <w:sz w:val="32"/>
          <w:szCs w:val="32"/>
        </w:rPr>
      </w:pPr>
      <w:r>
        <w:rPr>
          <w:rFonts w:hint="eastAsia" w:eastAsia="仿宋"/>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eastAsia" w:ascii="仿宋" w:hAnsi="仿宋" w:eastAsia="仿宋"/>
          <w:sz w:val="32"/>
          <w:szCs w:val="32"/>
        </w:rPr>
        <w:t>（图5：一般公共预算财政拨款支出决算变动情况）（柱状图）</w:t>
      </w:r>
    </w:p>
    <w:p w14:paraId="27C8093E">
      <w:pPr>
        <w:spacing w:line="600" w:lineRule="exact"/>
        <w:ind w:firstLine="643" w:firstLineChars="200"/>
        <w:outlineLvl w:val="2"/>
        <w:rPr>
          <w:rFonts w:ascii="仿宋" w:hAnsi="仿宋" w:eastAsia="仿宋"/>
          <w:b/>
          <w:sz w:val="32"/>
          <w:szCs w:val="32"/>
        </w:rPr>
      </w:pPr>
      <w:bookmarkStart w:id="54" w:name="_Toc15377211"/>
      <w:r>
        <w:rPr>
          <w:rFonts w:hint="eastAsia" w:ascii="仿宋" w:hAnsi="仿宋" w:eastAsia="仿宋"/>
          <w:b/>
          <w:sz w:val="32"/>
          <w:szCs w:val="32"/>
        </w:rPr>
        <w:t>（二）一般公共预算财政拨款支出决算结构情况</w:t>
      </w:r>
      <w:bookmarkEnd w:id="54"/>
    </w:p>
    <w:p w14:paraId="1ED154D8">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181.49</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149.56</w:t>
      </w:r>
      <w:r>
        <w:rPr>
          <w:rFonts w:hint="eastAsia" w:ascii="仿宋" w:hAnsi="仿宋" w:eastAsia="仿宋"/>
          <w:sz w:val="32"/>
          <w:szCs w:val="32"/>
        </w:rPr>
        <w:t>万元，占</w:t>
      </w:r>
      <w:r>
        <w:rPr>
          <w:rFonts w:hint="eastAsia" w:ascii="仿宋" w:hAnsi="仿宋" w:eastAsia="仿宋"/>
          <w:sz w:val="32"/>
          <w:szCs w:val="32"/>
          <w:lang w:val="en-US" w:eastAsia="zh-CN"/>
        </w:rPr>
        <w:t>82.41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18.89</w:t>
      </w:r>
      <w:r>
        <w:rPr>
          <w:rFonts w:hint="eastAsia" w:ascii="仿宋" w:hAnsi="仿宋" w:eastAsia="仿宋"/>
          <w:sz w:val="32"/>
          <w:szCs w:val="32"/>
        </w:rPr>
        <w:t>万元，占</w:t>
      </w:r>
      <w:r>
        <w:rPr>
          <w:rFonts w:hint="eastAsia" w:ascii="仿宋" w:hAnsi="仿宋" w:eastAsia="仿宋"/>
          <w:sz w:val="32"/>
          <w:szCs w:val="32"/>
          <w:lang w:val="en-US" w:eastAsia="zh-CN"/>
        </w:rPr>
        <w:t>10.41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4.23</w:t>
      </w:r>
      <w:r>
        <w:rPr>
          <w:rFonts w:hint="eastAsia" w:ascii="仿宋" w:hAnsi="仿宋" w:eastAsia="仿宋"/>
          <w:sz w:val="32"/>
          <w:szCs w:val="32"/>
        </w:rPr>
        <w:t>万元，占</w:t>
      </w:r>
      <w:r>
        <w:rPr>
          <w:rFonts w:hint="eastAsia" w:ascii="仿宋" w:hAnsi="仿宋" w:eastAsia="仿宋"/>
          <w:sz w:val="32"/>
          <w:szCs w:val="32"/>
          <w:lang w:val="en-US" w:eastAsia="zh-CN"/>
        </w:rPr>
        <w:t>2.33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8.81</w:t>
      </w:r>
      <w:r>
        <w:rPr>
          <w:rFonts w:hint="eastAsia" w:ascii="仿宋" w:hAnsi="仿宋" w:eastAsia="仿宋"/>
          <w:sz w:val="32"/>
          <w:szCs w:val="32"/>
        </w:rPr>
        <w:t>万元，占</w:t>
      </w:r>
      <w:r>
        <w:rPr>
          <w:rFonts w:hint="eastAsia" w:ascii="仿宋" w:hAnsi="仿宋" w:eastAsia="仿宋"/>
          <w:sz w:val="32"/>
          <w:szCs w:val="32"/>
          <w:lang w:val="en-US" w:eastAsia="zh-CN"/>
        </w:rPr>
        <w:t>4.85</w:t>
      </w:r>
      <w:r>
        <w:rPr>
          <w:rFonts w:ascii="仿宋" w:hAnsi="仿宋" w:eastAsia="仿宋"/>
          <w:sz w:val="32"/>
          <w:szCs w:val="32"/>
        </w:rPr>
        <w:t>%</w:t>
      </w:r>
      <w:r>
        <w:rPr>
          <w:rFonts w:hint="eastAsia" w:ascii="仿宋" w:hAnsi="仿宋" w:eastAsia="仿宋"/>
          <w:sz w:val="32"/>
          <w:szCs w:val="32"/>
        </w:rPr>
        <w:t>。</w:t>
      </w:r>
    </w:p>
    <w:p w14:paraId="5C68AC5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sz w:val="32"/>
          <w:szCs w:val="32"/>
        </w:rPr>
      </w:pPr>
      <w:r>
        <w:rPr>
          <w:rFonts w:hint="eastAsia" w:ascii="仿宋" w:hAnsi="仿宋" w:eastAsia="仿宋"/>
          <w:sz w:val="32"/>
          <w:szCs w:val="32"/>
          <w:lang w:eastAsia="zh-CN"/>
        </w:rP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eastAsia" w:ascii="仿宋" w:hAnsi="仿宋" w:eastAsia="仿宋"/>
          <w:sz w:val="32"/>
          <w:szCs w:val="32"/>
        </w:rPr>
        <w:t>（图6：一般公共预算财政拨款支出决算结构）（饼状图）</w:t>
      </w:r>
    </w:p>
    <w:p w14:paraId="07FFBD3D">
      <w:pPr>
        <w:spacing w:line="600" w:lineRule="exact"/>
        <w:ind w:firstLine="643" w:firstLineChars="200"/>
        <w:outlineLvl w:val="2"/>
        <w:rPr>
          <w:rFonts w:ascii="仿宋" w:hAnsi="仿宋" w:eastAsia="仿宋"/>
          <w:b/>
          <w:sz w:val="32"/>
          <w:szCs w:val="32"/>
        </w:rPr>
      </w:pPr>
      <w:bookmarkStart w:id="55" w:name="_Toc15377212"/>
      <w:r>
        <w:rPr>
          <w:rFonts w:hint="eastAsia" w:ascii="仿宋" w:hAnsi="仿宋" w:eastAsia="仿宋"/>
          <w:b/>
          <w:sz w:val="32"/>
          <w:szCs w:val="32"/>
        </w:rPr>
        <w:t>（三）一般公共预算财政拨款支出决算具体情况</w:t>
      </w:r>
      <w:bookmarkEnd w:id="55"/>
    </w:p>
    <w:p w14:paraId="505F0140">
      <w:pPr>
        <w:spacing w:line="600" w:lineRule="exact"/>
        <w:ind w:firstLine="643" w:firstLineChars="200"/>
        <w:outlineLvl w:val="1"/>
        <w:rPr>
          <w:rFonts w:ascii="仿宋" w:hAnsi="仿宋" w:eastAsia="仿宋"/>
          <w:sz w:val="32"/>
          <w:szCs w:val="32"/>
        </w:rPr>
      </w:pPr>
      <w:bookmarkStart w:id="56" w:name="_Toc13262"/>
      <w:bookmarkStart w:id="57" w:name="_Toc17740"/>
      <w:bookmarkStart w:id="58" w:name="_Toc15377444"/>
      <w:bookmarkStart w:id="59" w:name="_Toc15378460"/>
      <w:bookmarkStart w:id="60" w:name="_Toc12129"/>
      <w:bookmarkStart w:id="61" w:name="_Toc15377213"/>
      <w:r>
        <w:rPr>
          <w:rFonts w:hint="eastAsia" w:ascii="仿宋" w:hAnsi="仿宋" w:eastAsia="仿宋"/>
          <w:b/>
          <w:sz w:val="32"/>
          <w:szCs w:val="32"/>
        </w:rPr>
        <w:t>2023年度一般公共预算支出决算数为</w:t>
      </w:r>
      <w:r>
        <w:rPr>
          <w:rFonts w:ascii="仿宋" w:hAnsi="仿宋" w:eastAsia="仿宋"/>
          <w:b/>
          <w:sz w:val="32"/>
          <w:szCs w:val="32"/>
        </w:rPr>
        <w:t>181.49</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56"/>
      <w:bookmarkEnd w:id="57"/>
      <w:bookmarkEnd w:id="58"/>
      <w:bookmarkEnd w:id="59"/>
      <w:bookmarkEnd w:id="60"/>
      <w:bookmarkEnd w:id="61"/>
    </w:p>
    <w:p w14:paraId="19DE6A2C">
      <w:pPr>
        <w:numPr>
          <w:ilvl w:val="0"/>
          <w:numId w:val="3"/>
        </w:numPr>
        <w:spacing w:line="600" w:lineRule="exact"/>
        <w:ind w:left="0" w:leftChars="0" w:firstLine="643" w:firstLineChars="200"/>
        <w:rPr>
          <w:rFonts w:ascii="仿宋" w:hAnsi="仿宋" w:eastAsia="仿宋"/>
          <w:b/>
          <w:sz w:val="32"/>
          <w:szCs w:val="32"/>
        </w:rPr>
      </w:pPr>
      <w:r>
        <w:rPr>
          <w:rStyle w:val="20"/>
          <w:rFonts w:hint="eastAsia" w:ascii="仿宋" w:hAnsi="仿宋" w:eastAsia="仿宋"/>
          <w:bCs/>
          <w:sz w:val="32"/>
          <w:szCs w:val="32"/>
        </w:rPr>
        <w:t>科学技术（类）科学技术普及（款）机构运行（项）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99.67</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w:t>
      </w:r>
      <w:r>
        <w:rPr>
          <w:rStyle w:val="20"/>
          <w:rFonts w:hint="eastAsia" w:ascii="仿宋" w:hAnsi="仿宋" w:eastAsia="仿宋"/>
          <w:b w:val="0"/>
          <w:bCs/>
          <w:sz w:val="32"/>
          <w:szCs w:val="32"/>
          <w:lang w:val="en-US" w:eastAsia="zh-CN"/>
        </w:rPr>
        <w:t>与</w:t>
      </w:r>
      <w:r>
        <w:rPr>
          <w:rStyle w:val="20"/>
          <w:rFonts w:hint="eastAsia" w:ascii="仿宋" w:hAnsi="仿宋" w:eastAsia="仿宋"/>
          <w:b w:val="0"/>
          <w:bCs/>
          <w:sz w:val="32"/>
          <w:szCs w:val="32"/>
        </w:rPr>
        <w:t>预算数</w:t>
      </w:r>
      <w:r>
        <w:rPr>
          <w:rStyle w:val="20"/>
          <w:rFonts w:hint="eastAsia" w:ascii="仿宋" w:hAnsi="仿宋" w:eastAsia="仿宋"/>
          <w:b w:val="0"/>
          <w:bCs/>
          <w:sz w:val="32"/>
          <w:szCs w:val="32"/>
          <w:lang w:val="en-US" w:eastAsia="zh-CN"/>
        </w:rPr>
        <w:t>持平</w:t>
      </w:r>
      <w:r>
        <w:rPr>
          <w:rStyle w:val="20"/>
          <w:rFonts w:hint="eastAsia" w:ascii="仿宋" w:hAnsi="仿宋" w:eastAsia="仿宋"/>
          <w:b w:val="0"/>
          <w:bCs/>
          <w:sz w:val="32"/>
          <w:szCs w:val="32"/>
        </w:rPr>
        <w:t>。</w:t>
      </w:r>
    </w:p>
    <w:p w14:paraId="76482330">
      <w:pPr>
        <w:numPr>
          <w:ilvl w:val="0"/>
          <w:numId w:val="3"/>
        </w:numPr>
        <w:spacing w:line="600" w:lineRule="exact"/>
        <w:ind w:left="0" w:leftChars="0" w:firstLine="643" w:firstLineChars="200"/>
        <w:rPr>
          <w:rFonts w:ascii="仿宋" w:hAnsi="仿宋" w:eastAsia="仿宋"/>
          <w:b/>
          <w:sz w:val="32"/>
          <w:szCs w:val="32"/>
        </w:rPr>
      </w:pPr>
      <w:r>
        <w:rPr>
          <w:rStyle w:val="20"/>
          <w:rFonts w:hint="eastAsia" w:ascii="仿宋" w:hAnsi="仿宋" w:eastAsia="仿宋"/>
          <w:bCs/>
          <w:sz w:val="32"/>
          <w:szCs w:val="32"/>
        </w:rPr>
        <w:t>科学技术（类）科学技术普及（款）科普活动（项）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14.99</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w:t>
      </w:r>
      <w:r>
        <w:rPr>
          <w:rStyle w:val="20"/>
          <w:rFonts w:hint="eastAsia" w:ascii="仿宋" w:hAnsi="仿宋" w:eastAsia="仿宋"/>
          <w:b w:val="0"/>
          <w:bCs/>
          <w:sz w:val="32"/>
          <w:szCs w:val="32"/>
          <w:lang w:val="en-US" w:eastAsia="zh-CN"/>
        </w:rPr>
        <w:t>与</w:t>
      </w:r>
      <w:r>
        <w:rPr>
          <w:rStyle w:val="20"/>
          <w:rFonts w:hint="eastAsia" w:ascii="仿宋" w:hAnsi="仿宋" w:eastAsia="仿宋"/>
          <w:b w:val="0"/>
          <w:bCs/>
          <w:sz w:val="32"/>
          <w:szCs w:val="32"/>
        </w:rPr>
        <w:t>预算数</w:t>
      </w:r>
      <w:r>
        <w:rPr>
          <w:rStyle w:val="20"/>
          <w:rFonts w:hint="eastAsia" w:ascii="仿宋" w:hAnsi="仿宋" w:eastAsia="仿宋"/>
          <w:b w:val="0"/>
          <w:bCs/>
          <w:sz w:val="32"/>
          <w:szCs w:val="32"/>
          <w:lang w:val="en-US" w:eastAsia="zh-CN"/>
        </w:rPr>
        <w:t>持平</w:t>
      </w:r>
      <w:r>
        <w:rPr>
          <w:rStyle w:val="20"/>
          <w:rFonts w:hint="eastAsia" w:ascii="仿宋" w:hAnsi="仿宋" w:eastAsia="仿宋"/>
          <w:b w:val="0"/>
          <w:bCs/>
          <w:sz w:val="32"/>
          <w:szCs w:val="32"/>
        </w:rPr>
        <w:t>。</w:t>
      </w:r>
    </w:p>
    <w:p w14:paraId="4C382EF3">
      <w:pPr>
        <w:numPr>
          <w:ilvl w:val="0"/>
          <w:numId w:val="3"/>
        </w:numPr>
        <w:spacing w:line="600" w:lineRule="exact"/>
        <w:ind w:left="0" w:leftChars="0" w:firstLine="643" w:firstLineChars="200"/>
        <w:rPr>
          <w:rFonts w:ascii="仿宋" w:hAnsi="仿宋" w:eastAsia="仿宋"/>
          <w:b/>
          <w:sz w:val="32"/>
          <w:szCs w:val="32"/>
        </w:rPr>
      </w:pPr>
      <w:r>
        <w:rPr>
          <w:rStyle w:val="20"/>
          <w:rFonts w:hint="eastAsia" w:ascii="仿宋" w:hAnsi="仿宋" w:eastAsia="仿宋"/>
          <w:bCs/>
          <w:sz w:val="32"/>
          <w:szCs w:val="32"/>
        </w:rPr>
        <w:t>科学技术（类）科学技术普及（款）其他科学技术普及支出（项）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34.9</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w:t>
      </w:r>
      <w:r>
        <w:rPr>
          <w:rStyle w:val="20"/>
          <w:rFonts w:hint="eastAsia" w:ascii="仿宋" w:hAnsi="仿宋" w:eastAsia="仿宋"/>
          <w:b w:val="0"/>
          <w:bCs/>
          <w:sz w:val="32"/>
          <w:szCs w:val="32"/>
          <w:lang w:val="en-US" w:eastAsia="zh-CN"/>
        </w:rPr>
        <w:t>与</w:t>
      </w:r>
      <w:r>
        <w:rPr>
          <w:rStyle w:val="20"/>
          <w:rFonts w:hint="eastAsia" w:ascii="仿宋" w:hAnsi="仿宋" w:eastAsia="仿宋"/>
          <w:b w:val="0"/>
          <w:bCs/>
          <w:sz w:val="32"/>
          <w:szCs w:val="32"/>
        </w:rPr>
        <w:t>预算数</w:t>
      </w:r>
      <w:r>
        <w:rPr>
          <w:rStyle w:val="20"/>
          <w:rFonts w:hint="eastAsia" w:ascii="仿宋" w:hAnsi="仿宋" w:eastAsia="仿宋"/>
          <w:b w:val="0"/>
          <w:bCs/>
          <w:sz w:val="32"/>
          <w:szCs w:val="32"/>
          <w:lang w:val="en-US" w:eastAsia="zh-CN"/>
        </w:rPr>
        <w:t>持平</w:t>
      </w:r>
      <w:r>
        <w:rPr>
          <w:rStyle w:val="20"/>
          <w:rFonts w:hint="eastAsia" w:ascii="仿宋" w:hAnsi="仿宋" w:eastAsia="仿宋"/>
          <w:b w:val="0"/>
          <w:bCs/>
          <w:sz w:val="32"/>
          <w:szCs w:val="32"/>
        </w:rPr>
        <w:t>。</w:t>
      </w:r>
    </w:p>
    <w:p w14:paraId="7E823F7D">
      <w:pPr>
        <w:numPr>
          <w:ilvl w:val="0"/>
          <w:numId w:val="3"/>
        </w:numPr>
        <w:spacing w:line="600" w:lineRule="exact"/>
        <w:ind w:left="0" w:leftChars="0" w:firstLine="643" w:firstLineChars="200"/>
        <w:rPr>
          <w:rFonts w:ascii="仿宋" w:hAnsi="仿宋" w:eastAsia="仿宋"/>
          <w:b/>
          <w:sz w:val="32"/>
          <w:szCs w:val="32"/>
        </w:rPr>
      </w:pPr>
      <w:r>
        <w:rPr>
          <w:rStyle w:val="20"/>
          <w:rFonts w:hint="eastAsia" w:ascii="仿宋" w:hAnsi="仿宋" w:eastAsia="仿宋"/>
          <w:bCs/>
          <w:sz w:val="32"/>
          <w:szCs w:val="32"/>
        </w:rPr>
        <w:t>社会保障和就业（类）行政事业单位养老支出（款）机关事业单位基本养老保险缴费支出（项）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11.9</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w:t>
      </w:r>
      <w:r>
        <w:rPr>
          <w:rStyle w:val="20"/>
          <w:rFonts w:hint="eastAsia" w:ascii="仿宋" w:hAnsi="仿宋" w:eastAsia="仿宋"/>
          <w:b w:val="0"/>
          <w:bCs/>
          <w:sz w:val="32"/>
          <w:szCs w:val="32"/>
          <w:lang w:val="en-US" w:eastAsia="zh-CN"/>
        </w:rPr>
        <w:t>与</w:t>
      </w:r>
      <w:r>
        <w:rPr>
          <w:rStyle w:val="20"/>
          <w:rFonts w:hint="eastAsia" w:ascii="仿宋" w:hAnsi="仿宋" w:eastAsia="仿宋"/>
          <w:b w:val="0"/>
          <w:bCs/>
          <w:sz w:val="32"/>
          <w:szCs w:val="32"/>
        </w:rPr>
        <w:t>预算数</w:t>
      </w:r>
      <w:r>
        <w:rPr>
          <w:rStyle w:val="20"/>
          <w:rFonts w:hint="eastAsia" w:ascii="仿宋" w:hAnsi="仿宋" w:eastAsia="仿宋"/>
          <w:b w:val="0"/>
          <w:bCs/>
          <w:sz w:val="32"/>
          <w:szCs w:val="32"/>
          <w:lang w:val="en-US" w:eastAsia="zh-CN"/>
        </w:rPr>
        <w:t>持平</w:t>
      </w:r>
      <w:r>
        <w:rPr>
          <w:rStyle w:val="20"/>
          <w:rFonts w:hint="eastAsia" w:ascii="仿宋" w:hAnsi="仿宋" w:eastAsia="仿宋"/>
          <w:b w:val="0"/>
          <w:bCs/>
          <w:sz w:val="32"/>
          <w:szCs w:val="32"/>
        </w:rPr>
        <w:t>。</w:t>
      </w:r>
    </w:p>
    <w:p w14:paraId="1D326190">
      <w:pPr>
        <w:numPr>
          <w:ilvl w:val="0"/>
          <w:numId w:val="3"/>
        </w:numPr>
        <w:spacing w:line="600" w:lineRule="exact"/>
        <w:ind w:left="0" w:leftChars="0" w:firstLine="643" w:firstLineChars="200"/>
        <w:rPr>
          <w:rFonts w:ascii="仿宋" w:hAnsi="仿宋" w:eastAsia="仿宋"/>
          <w:b/>
          <w:sz w:val="32"/>
          <w:szCs w:val="32"/>
        </w:rPr>
      </w:pPr>
      <w:r>
        <w:rPr>
          <w:rStyle w:val="20"/>
          <w:rFonts w:hint="eastAsia" w:ascii="仿宋" w:hAnsi="仿宋" w:eastAsia="仿宋"/>
          <w:bCs/>
          <w:sz w:val="32"/>
          <w:szCs w:val="32"/>
        </w:rPr>
        <w:t>社会保障和就业（类）行政事业单位养老支出（款）机关事业单位职业年金缴费支出（项）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5.85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w:t>
      </w:r>
      <w:r>
        <w:rPr>
          <w:rStyle w:val="20"/>
          <w:rFonts w:hint="eastAsia" w:ascii="仿宋" w:hAnsi="仿宋" w:eastAsia="仿宋"/>
          <w:b w:val="0"/>
          <w:bCs/>
          <w:sz w:val="32"/>
          <w:szCs w:val="32"/>
          <w:lang w:val="en-US" w:eastAsia="zh-CN"/>
        </w:rPr>
        <w:t>与</w:t>
      </w:r>
      <w:r>
        <w:rPr>
          <w:rStyle w:val="20"/>
          <w:rFonts w:hint="eastAsia" w:ascii="仿宋" w:hAnsi="仿宋" w:eastAsia="仿宋"/>
          <w:b w:val="0"/>
          <w:bCs/>
          <w:sz w:val="32"/>
          <w:szCs w:val="32"/>
        </w:rPr>
        <w:t>预算数</w:t>
      </w:r>
      <w:r>
        <w:rPr>
          <w:rStyle w:val="20"/>
          <w:rFonts w:hint="eastAsia" w:ascii="仿宋" w:hAnsi="仿宋" w:eastAsia="仿宋"/>
          <w:b w:val="0"/>
          <w:bCs/>
          <w:sz w:val="32"/>
          <w:szCs w:val="32"/>
          <w:lang w:val="en-US" w:eastAsia="zh-CN"/>
        </w:rPr>
        <w:t>持平</w:t>
      </w:r>
      <w:r>
        <w:rPr>
          <w:rStyle w:val="20"/>
          <w:rFonts w:hint="eastAsia" w:ascii="仿宋" w:hAnsi="仿宋" w:eastAsia="仿宋"/>
          <w:b w:val="0"/>
          <w:bCs/>
          <w:sz w:val="32"/>
          <w:szCs w:val="32"/>
        </w:rPr>
        <w:t>。</w:t>
      </w:r>
    </w:p>
    <w:p w14:paraId="1F30F782">
      <w:pPr>
        <w:numPr>
          <w:ilvl w:val="0"/>
          <w:numId w:val="3"/>
        </w:numPr>
        <w:spacing w:line="600" w:lineRule="exact"/>
        <w:ind w:left="0" w:leftChars="0" w:firstLine="643" w:firstLineChars="200"/>
        <w:rPr>
          <w:rFonts w:ascii="仿宋" w:hAnsi="仿宋" w:eastAsia="仿宋"/>
          <w:b/>
          <w:sz w:val="32"/>
          <w:szCs w:val="32"/>
        </w:rPr>
      </w:pPr>
      <w:r>
        <w:rPr>
          <w:rStyle w:val="20"/>
          <w:rFonts w:hint="eastAsia" w:ascii="仿宋" w:hAnsi="仿宋" w:eastAsia="仿宋"/>
          <w:bCs/>
          <w:sz w:val="32"/>
          <w:szCs w:val="32"/>
        </w:rPr>
        <w:t>社会保障和就业（类）其他社会保障和就业支出（款）其他社会保障和就业支出（项）</w:t>
      </w:r>
      <w:r>
        <w:rPr>
          <w:rStyle w:val="20"/>
          <w:rFonts w:hint="eastAsia" w:ascii="仿宋" w:hAnsi="仿宋" w:eastAsia="仿宋"/>
          <w:bCs/>
          <w:sz w:val="32"/>
          <w:szCs w:val="32"/>
          <w:lang w:eastAsia="zh-CN"/>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1.15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w:t>
      </w:r>
      <w:r>
        <w:rPr>
          <w:rStyle w:val="20"/>
          <w:rFonts w:hint="eastAsia" w:ascii="仿宋" w:hAnsi="仿宋" w:eastAsia="仿宋"/>
          <w:b w:val="0"/>
          <w:bCs/>
          <w:sz w:val="32"/>
          <w:szCs w:val="32"/>
          <w:lang w:val="en-US" w:eastAsia="zh-CN"/>
        </w:rPr>
        <w:t>与</w:t>
      </w:r>
      <w:r>
        <w:rPr>
          <w:rStyle w:val="20"/>
          <w:rFonts w:hint="eastAsia" w:ascii="仿宋" w:hAnsi="仿宋" w:eastAsia="仿宋"/>
          <w:b w:val="0"/>
          <w:bCs/>
          <w:sz w:val="32"/>
          <w:szCs w:val="32"/>
        </w:rPr>
        <w:t>预算数</w:t>
      </w:r>
      <w:r>
        <w:rPr>
          <w:rStyle w:val="20"/>
          <w:rFonts w:hint="eastAsia" w:ascii="仿宋" w:hAnsi="仿宋" w:eastAsia="仿宋"/>
          <w:b w:val="0"/>
          <w:bCs/>
          <w:sz w:val="32"/>
          <w:szCs w:val="32"/>
          <w:lang w:val="en-US" w:eastAsia="zh-CN"/>
        </w:rPr>
        <w:t>持平</w:t>
      </w:r>
      <w:r>
        <w:rPr>
          <w:rStyle w:val="20"/>
          <w:rFonts w:hint="eastAsia" w:ascii="仿宋" w:hAnsi="仿宋" w:eastAsia="仿宋"/>
          <w:b w:val="0"/>
          <w:bCs/>
          <w:sz w:val="32"/>
          <w:szCs w:val="32"/>
        </w:rPr>
        <w:t>。</w:t>
      </w:r>
    </w:p>
    <w:p w14:paraId="67CD8998">
      <w:pPr>
        <w:numPr>
          <w:ilvl w:val="0"/>
          <w:numId w:val="3"/>
        </w:numPr>
        <w:spacing w:line="600" w:lineRule="exact"/>
        <w:ind w:left="0" w:leftChars="0" w:firstLine="643" w:firstLineChars="200"/>
        <w:rPr>
          <w:rFonts w:ascii="仿宋" w:hAnsi="仿宋" w:eastAsia="仿宋"/>
          <w:b/>
          <w:sz w:val="32"/>
          <w:szCs w:val="32"/>
        </w:rPr>
      </w:pPr>
      <w:r>
        <w:rPr>
          <w:rFonts w:hint="eastAsia" w:ascii="仿宋" w:hAnsi="仿宋" w:eastAsia="仿宋"/>
          <w:b/>
          <w:bCs/>
          <w:sz w:val="32"/>
          <w:szCs w:val="32"/>
        </w:rPr>
        <w:t>卫生健康</w:t>
      </w:r>
      <w:r>
        <w:rPr>
          <w:rStyle w:val="20"/>
          <w:rFonts w:hint="eastAsia" w:ascii="仿宋" w:hAnsi="仿宋" w:eastAsia="仿宋"/>
          <w:bCs/>
          <w:sz w:val="32"/>
          <w:szCs w:val="32"/>
        </w:rPr>
        <w:t>（类）行政事业单位医疗（款）行政单位医疗（项）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3.93</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w:t>
      </w:r>
      <w:r>
        <w:rPr>
          <w:rStyle w:val="20"/>
          <w:rFonts w:hint="eastAsia" w:ascii="仿宋" w:hAnsi="仿宋" w:eastAsia="仿宋"/>
          <w:b w:val="0"/>
          <w:bCs/>
          <w:sz w:val="32"/>
          <w:szCs w:val="32"/>
          <w:lang w:val="en-US" w:eastAsia="zh-CN"/>
        </w:rPr>
        <w:t>与</w:t>
      </w:r>
      <w:r>
        <w:rPr>
          <w:rStyle w:val="20"/>
          <w:rFonts w:hint="eastAsia" w:ascii="仿宋" w:hAnsi="仿宋" w:eastAsia="仿宋"/>
          <w:b w:val="0"/>
          <w:bCs/>
          <w:sz w:val="32"/>
          <w:szCs w:val="32"/>
        </w:rPr>
        <w:t>预算数</w:t>
      </w:r>
      <w:r>
        <w:rPr>
          <w:rStyle w:val="20"/>
          <w:rFonts w:hint="eastAsia" w:ascii="仿宋" w:hAnsi="仿宋" w:eastAsia="仿宋"/>
          <w:b w:val="0"/>
          <w:bCs/>
          <w:sz w:val="32"/>
          <w:szCs w:val="32"/>
          <w:lang w:val="en-US" w:eastAsia="zh-CN"/>
        </w:rPr>
        <w:t>持平</w:t>
      </w:r>
      <w:r>
        <w:rPr>
          <w:rStyle w:val="20"/>
          <w:rFonts w:hint="eastAsia" w:ascii="仿宋" w:hAnsi="仿宋" w:eastAsia="仿宋"/>
          <w:b w:val="0"/>
          <w:bCs/>
          <w:sz w:val="32"/>
          <w:szCs w:val="32"/>
        </w:rPr>
        <w:t>。</w:t>
      </w:r>
    </w:p>
    <w:p w14:paraId="3E428083">
      <w:pPr>
        <w:numPr>
          <w:ilvl w:val="0"/>
          <w:numId w:val="3"/>
        </w:numPr>
        <w:spacing w:line="600" w:lineRule="exact"/>
        <w:ind w:left="0" w:leftChars="0" w:firstLine="643" w:firstLineChars="200"/>
        <w:rPr>
          <w:rFonts w:ascii="仿宋" w:hAnsi="仿宋" w:eastAsia="仿宋"/>
          <w:b/>
          <w:sz w:val="32"/>
          <w:szCs w:val="32"/>
        </w:rPr>
      </w:pPr>
      <w:r>
        <w:rPr>
          <w:rFonts w:hint="eastAsia" w:ascii="仿宋" w:hAnsi="仿宋" w:eastAsia="仿宋"/>
          <w:b/>
          <w:bCs/>
          <w:sz w:val="32"/>
          <w:szCs w:val="32"/>
        </w:rPr>
        <w:t>卫生健康</w:t>
      </w:r>
      <w:r>
        <w:rPr>
          <w:rStyle w:val="20"/>
          <w:rFonts w:hint="eastAsia" w:ascii="仿宋" w:hAnsi="仿宋" w:eastAsia="仿宋"/>
          <w:bCs/>
          <w:sz w:val="32"/>
          <w:szCs w:val="32"/>
        </w:rPr>
        <w:t>（类）行政事业单位医疗（款）公务员医疗补助（项）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0.3</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w:t>
      </w:r>
      <w:r>
        <w:rPr>
          <w:rStyle w:val="20"/>
          <w:rFonts w:hint="eastAsia" w:ascii="仿宋" w:hAnsi="仿宋" w:eastAsia="仿宋"/>
          <w:b w:val="0"/>
          <w:bCs/>
          <w:sz w:val="32"/>
          <w:szCs w:val="32"/>
          <w:lang w:val="en-US" w:eastAsia="zh-CN"/>
        </w:rPr>
        <w:t>与</w:t>
      </w:r>
      <w:r>
        <w:rPr>
          <w:rStyle w:val="20"/>
          <w:rFonts w:hint="eastAsia" w:ascii="仿宋" w:hAnsi="仿宋" w:eastAsia="仿宋"/>
          <w:b w:val="0"/>
          <w:bCs/>
          <w:sz w:val="32"/>
          <w:szCs w:val="32"/>
        </w:rPr>
        <w:t>预算数</w:t>
      </w:r>
      <w:r>
        <w:rPr>
          <w:rStyle w:val="20"/>
          <w:rFonts w:hint="eastAsia" w:ascii="仿宋" w:hAnsi="仿宋" w:eastAsia="仿宋"/>
          <w:b w:val="0"/>
          <w:bCs/>
          <w:sz w:val="32"/>
          <w:szCs w:val="32"/>
          <w:lang w:val="en-US" w:eastAsia="zh-CN"/>
        </w:rPr>
        <w:t>持平</w:t>
      </w:r>
      <w:r>
        <w:rPr>
          <w:rStyle w:val="20"/>
          <w:rFonts w:hint="eastAsia" w:ascii="仿宋" w:hAnsi="仿宋" w:eastAsia="仿宋"/>
          <w:b w:val="0"/>
          <w:bCs/>
          <w:sz w:val="32"/>
          <w:szCs w:val="32"/>
        </w:rPr>
        <w:t>。</w:t>
      </w:r>
    </w:p>
    <w:p w14:paraId="2FA6ADEF">
      <w:pPr>
        <w:numPr>
          <w:ilvl w:val="0"/>
          <w:numId w:val="3"/>
        </w:numPr>
        <w:spacing w:line="600" w:lineRule="exact"/>
        <w:ind w:left="0" w:leftChars="0" w:firstLine="643" w:firstLineChars="200"/>
        <w:rPr>
          <w:rFonts w:ascii="仿宋" w:hAnsi="仿宋" w:eastAsia="仿宋"/>
          <w:b/>
          <w:sz w:val="32"/>
          <w:szCs w:val="32"/>
        </w:rPr>
      </w:pPr>
      <w:r>
        <w:rPr>
          <w:rFonts w:hint="eastAsia" w:ascii="仿宋" w:hAnsi="仿宋" w:eastAsia="仿宋"/>
          <w:b/>
          <w:bCs/>
          <w:sz w:val="32"/>
          <w:szCs w:val="32"/>
        </w:rPr>
        <w:t>住房保障</w:t>
      </w:r>
      <w:r>
        <w:rPr>
          <w:rStyle w:val="20"/>
          <w:rFonts w:hint="eastAsia" w:ascii="仿宋" w:hAnsi="仿宋" w:eastAsia="仿宋"/>
          <w:bCs/>
          <w:sz w:val="32"/>
          <w:szCs w:val="32"/>
        </w:rPr>
        <w:t>（类）住房改革支出（款）住房公积</w:t>
      </w:r>
      <w:r>
        <w:rPr>
          <w:rStyle w:val="20"/>
          <w:rFonts w:hint="eastAsia" w:ascii="仿宋" w:hAnsi="仿宋" w:eastAsia="仿宋"/>
          <w:bCs/>
          <w:sz w:val="32"/>
          <w:szCs w:val="32"/>
          <w:lang w:eastAsia="zh-CN"/>
        </w:rPr>
        <w:t>金补</w:t>
      </w:r>
      <w:r>
        <w:rPr>
          <w:rStyle w:val="20"/>
          <w:rFonts w:hint="eastAsia" w:ascii="仿宋" w:hAnsi="仿宋" w:eastAsia="仿宋"/>
          <w:bCs/>
          <w:sz w:val="32"/>
          <w:szCs w:val="32"/>
        </w:rPr>
        <w:t>助（项）</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8.81</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w:t>
      </w:r>
      <w:r>
        <w:rPr>
          <w:rStyle w:val="20"/>
          <w:rFonts w:hint="eastAsia" w:ascii="仿宋" w:hAnsi="仿宋" w:eastAsia="仿宋"/>
          <w:b w:val="0"/>
          <w:bCs/>
          <w:sz w:val="32"/>
          <w:szCs w:val="32"/>
          <w:lang w:val="en-US" w:eastAsia="zh-CN"/>
        </w:rPr>
        <w:t>与</w:t>
      </w:r>
      <w:r>
        <w:rPr>
          <w:rStyle w:val="20"/>
          <w:rFonts w:hint="eastAsia" w:ascii="仿宋" w:hAnsi="仿宋" w:eastAsia="仿宋"/>
          <w:b w:val="0"/>
          <w:bCs/>
          <w:sz w:val="32"/>
          <w:szCs w:val="32"/>
        </w:rPr>
        <w:t>预算数</w:t>
      </w:r>
      <w:r>
        <w:rPr>
          <w:rStyle w:val="20"/>
          <w:rFonts w:hint="eastAsia" w:ascii="仿宋" w:hAnsi="仿宋" w:eastAsia="仿宋"/>
          <w:b w:val="0"/>
          <w:bCs/>
          <w:sz w:val="32"/>
          <w:szCs w:val="32"/>
          <w:lang w:val="en-US" w:eastAsia="zh-CN"/>
        </w:rPr>
        <w:t>持平</w:t>
      </w:r>
      <w:r>
        <w:rPr>
          <w:rStyle w:val="20"/>
          <w:rFonts w:hint="eastAsia" w:ascii="仿宋" w:hAnsi="仿宋" w:eastAsia="仿宋"/>
          <w:b w:val="0"/>
          <w:bCs/>
          <w:sz w:val="32"/>
          <w:szCs w:val="32"/>
        </w:rPr>
        <w:t>。</w:t>
      </w:r>
    </w:p>
    <w:p w14:paraId="5B890800">
      <w:pPr>
        <w:spacing w:line="600" w:lineRule="exact"/>
        <w:ind w:firstLine="640"/>
        <w:rPr>
          <w:rFonts w:ascii="仿宋" w:hAnsi="仿宋" w:eastAsia="仿宋"/>
          <w:b/>
          <w:sz w:val="32"/>
          <w:szCs w:val="32"/>
        </w:rPr>
      </w:pPr>
    </w:p>
    <w:p w14:paraId="3E376B16">
      <w:pPr>
        <w:tabs>
          <w:tab w:val="right" w:pos="8306"/>
        </w:tabs>
        <w:spacing w:line="600" w:lineRule="exact"/>
        <w:ind w:firstLine="640"/>
        <w:outlineLvl w:val="1"/>
        <w:rPr>
          <w:rStyle w:val="32"/>
        </w:rPr>
      </w:pPr>
      <w:bookmarkStart w:id="62" w:name="_Toc15377214"/>
      <w:bookmarkStart w:id="63" w:name="_Toc15396608"/>
      <w:bookmarkStart w:id="64" w:name="_Toc35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62"/>
      <w:bookmarkEnd w:id="63"/>
      <w:bookmarkEnd w:id="64"/>
      <w:r>
        <w:rPr>
          <w:rStyle w:val="32"/>
          <w:rFonts w:ascii="黑体" w:hAnsi="黑体" w:eastAsia="黑体"/>
          <w:b w:val="0"/>
        </w:rPr>
        <w:tab/>
      </w:r>
    </w:p>
    <w:p w14:paraId="07C6717E">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131.6</w:t>
      </w:r>
      <w:r>
        <w:rPr>
          <w:rFonts w:hint="eastAsia" w:ascii="仿宋" w:hAnsi="仿宋" w:eastAsia="仿宋"/>
          <w:sz w:val="32"/>
          <w:szCs w:val="32"/>
        </w:rPr>
        <w:t>万元，其中：</w:t>
      </w:r>
    </w:p>
    <w:p w14:paraId="5AC1EFBB">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sz w:val="32"/>
          <w:szCs w:val="32"/>
        </w:rPr>
        <w:t>110.53</w:t>
      </w:r>
      <w:r>
        <w:rPr>
          <w:rFonts w:hint="eastAsia" w:ascii="仿宋" w:hAnsi="仿宋" w:eastAsia="仿宋"/>
          <w:sz w:val="32"/>
          <w:szCs w:val="32"/>
        </w:rPr>
        <w:t>万元，主要包括：基本工资、津贴补贴、奖金、伙食补助费、机关事业单位基本养老保险缴费、职业年金缴费、其他社会保障缴费、其他工资福利支出、住房公积金等。</w:t>
      </w:r>
    </w:p>
    <w:p w14:paraId="49366B14">
      <w:pPr>
        <w:spacing w:line="600" w:lineRule="exact"/>
        <w:ind w:firstLine="640" w:firstLineChars="200"/>
        <w:rPr>
          <w:rFonts w:ascii="仿宋" w:hAnsi="仿宋" w:eastAsia="仿宋"/>
          <w:sz w:val="32"/>
          <w:szCs w:val="32"/>
        </w:rPr>
      </w:pPr>
      <w:r>
        <w:rPr>
          <w:rFonts w:hint="eastAsia" w:ascii="仿宋" w:hAnsi="仿宋" w:eastAsia="仿宋"/>
          <w:sz w:val="32"/>
          <w:szCs w:val="32"/>
        </w:rPr>
        <w:t>公用经费</w:t>
      </w:r>
      <w:r>
        <w:rPr>
          <w:sz w:val="32"/>
          <w:szCs w:val="32"/>
        </w:rPr>
        <w:t>21.07</w:t>
      </w:r>
      <w:r>
        <w:rPr>
          <w:rFonts w:hint="eastAsia" w:ascii="仿宋" w:hAnsi="仿宋" w:eastAsia="仿宋"/>
          <w:sz w:val="32"/>
          <w:szCs w:val="32"/>
        </w:rPr>
        <w:t>万元，主要包括：办公费、电费、邮电费、差旅费、公务接待费、劳务费、委托业务费、工会经费、福利费、其他交通费等。</w:t>
      </w:r>
    </w:p>
    <w:p w14:paraId="498AEA57">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14:paraId="309A0649">
      <w:pPr>
        <w:spacing w:line="600" w:lineRule="exact"/>
        <w:ind w:firstLine="640"/>
        <w:outlineLvl w:val="1"/>
        <w:rPr>
          <w:rStyle w:val="32"/>
          <w:rFonts w:ascii="黑体" w:hAnsi="黑体" w:eastAsia="黑体"/>
          <w:b w:val="0"/>
        </w:rPr>
      </w:pPr>
      <w:bookmarkStart w:id="65" w:name="_Toc15377215"/>
      <w:bookmarkStart w:id="66" w:name="_Toc15396609"/>
      <w:bookmarkStart w:id="67" w:name="_Toc6407"/>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65"/>
      <w:bookmarkEnd w:id="66"/>
      <w:bookmarkEnd w:id="67"/>
    </w:p>
    <w:p w14:paraId="6422075C">
      <w:pPr>
        <w:spacing w:line="600" w:lineRule="exact"/>
        <w:ind w:firstLine="640"/>
        <w:outlineLvl w:val="2"/>
        <w:rPr>
          <w:rFonts w:ascii="仿宋" w:hAnsi="仿宋" w:eastAsia="仿宋"/>
          <w:b/>
          <w:sz w:val="32"/>
          <w:szCs w:val="32"/>
        </w:rPr>
      </w:pPr>
      <w:bookmarkStart w:id="68" w:name="_Toc15377216"/>
      <w:bookmarkStart w:id="69" w:name="_Toc15377218"/>
      <w:bookmarkStart w:id="70" w:name="_Toc15396610"/>
      <w:r>
        <w:rPr>
          <w:rFonts w:hint="eastAsia" w:ascii="仿宋" w:hAnsi="仿宋" w:eastAsia="仿宋"/>
          <w:b/>
          <w:sz w:val="32"/>
          <w:szCs w:val="32"/>
        </w:rPr>
        <w:t>（一）“三公”经费财政拨款支出决算总体情况说明</w:t>
      </w:r>
      <w:bookmarkEnd w:id="68"/>
    </w:p>
    <w:p w14:paraId="0EE5FC56">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0.32</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0.19</w:t>
      </w:r>
      <w:r>
        <w:rPr>
          <w:rFonts w:hint="eastAsia" w:ascii="仿宋" w:hAnsi="仿宋" w:eastAsia="仿宋"/>
          <w:sz w:val="32"/>
          <w:szCs w:val="32"/>
        </w:rPr>
        <w:t>万元，下降</w:t>
      </w:r>
      <w:r>
        <w:rPr>
          <w:rFonts w:hint="eastAsia" w:ascii="仿宋" w:hAnsi="仿宋" w:eastAsia="仿宋"/>
          <w:sz w:val="32"/>
          <w:szCs w:val="32"/>
          <w:lang w:val="en-US" w:eastAsia="zh-CN"/>
        </w:rPr>
        <w:t>36.78</w:t>
      </w:r>
      <w:r>
        <w:rPr>
          <w:rFonts w:hint="eastAsia" w:ascii="仿宋" w:hAnsi="仿宋" w:eastAsia="仿宋"/>
          <w:sz w:val="32"/>
          <w:szCs w:val="32"/>
        </w:rPr>
        <w:t>%。决算数与预算数持平。</w:t>
      </w:r>
    </w:p>
    <w:p w14:paraId="16EE1F1A">
      <w:pPr>
        <w:spacing w:line="600" w:lineRule="exact"/>
        <w:ind w:firstLine="640"/>
        <w:outlineLvl w:val="2"/>
        <w:rPr>
          <w:rFonts w:ascii="仿宋" w:hAnsi="仿宋" w:eastAsia="仿宋"/>
          <w:b/>
          <w:sz w:val="32"/>
          <w:szCs w:val="32"/>
        </w:rPr>
      </w:pPr>
      <w:bookmarkStart w:id="71" w:name="_Toc15377217"/>
      <w:r>
        <w:rPr>
          <w:rFonts w:hint="eastAsia" w:ascii="仿宋" w:hAnsi="仿宋" w:eastAsia="仿宋"/>
          <w:b/>
          <w:sz w:val="32"/>
          <w:szCs w:val="32"/>
        </w:rPr>
        <w:t>（二）“三公”经费财政拨款支出决算具体情况说明</w:t>
      </w:r>
      <w:bookmarkEnd w:id="71"/>
    </w:p>
    <w:p w14:paraId="55CE4786">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0.32</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37F2BA90">
      <w:pPr>
        <w:pStyle w:val="16"/>
        <w:outlineLvl w:val="9"/>
        <w:rPr>
          <w:rFonts w:hint="eastAsia" w:eastAsia="仿宋"/>
          <w:lang w:eastAsia="zh-CN"/>
        </w:rPr>
      </w:pPr>
      <w:bookmarkStart w:id="72" w:name="_Toc8194"/>
      <w:r>
        <w:rPr>
          <w:rFonts w:hint="eastAsia" w:eastAsia="仿宋"/>
          <w:lang w:eastAsia="zh-CN"/>
        </w:rPr>
        <w:drawing>
          <wp:inline distT="0" distB="0" distL="114300" distR="114300">
            <wp:extent cx="5256530" cy="2988310"/>
            <wp:effectExtent l="5080" t="4445" r="15240" b="1714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72"/>
    </w:p>
    <w:p w14:paraId="5934E5E9">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245DBC64">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ascii="仿宋" w:hAnsi="仿宋" w:eastAsia="仿宋"/>
          <w:bCs/>
          <w:sz w:val="32"/>
          <w:szCs w:val="32"/>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val="en-US" w:eastAsia="zh-CN"/>
        </w:rPr>
        <w:t>较</w:t>
      </w:r>
      <w:r>
        <w:rPr>
          <w:rFonts w:hint="eastAsia" w:ascii="仿宋_GB2312" w:eastAsia="仿宋_GB2312"/>
          <w:sz w:val="32"/>
          <w:szCs w:val="32"/>
        </w:rPr>
        <w:t>2022年</w:t>
      </w:r>
      <w:r>
        <w:rPr>
          <w:rFonts w:hint="eastAsia" w:ascii="仿宋_GB2312" w:eastAsia="仿宋_GB2312"/>
          <w:sz w:val="32"/>
          <w:szCs w:val="32"/>
          <w:lang w:val="en-US" w:eastAsia="zh-CN"/>
        </w:rPr>
        <w:t>持平</w:t>
      </w:r>
      <w:r>
        <w:rPr>
          <w:rFonts w:hint="eastAsia" w:ascii="仿宋_GB2312" w:eastAsia="仿宋_GB2312"/>
          <w:sz w:val="32"/>
          <w:szCs w:val="32"/>
        </w:rPr>
        <w:t>。</w:t>
      </w:r>
    </w:p>
    <w:p w14:paraId="3F66A39A">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20"/>
          <w:rFonts w:hint="eastAsia" w:ascii="仿宋" w:hAnsi="仿宋" w:eastAsia="仿宋"/>
          <w:b w:val="0"/>
          <w:bCs/>
          <w:sz w:val="32"/>
          <w:szCs w:val="32"/>
        </w:rPr>
        <w:t>完成预算</w:t>
      </w:r>
      <w:r>
        <w:rPr>
          <w:rStyle w:val="20"/>
          <w:rFonts w:ascii="仿宋" w:hAnsi="仿宋" w:eastAsia="仿宋"/>
          <w:bCs/>
          <w:sz w:val="32"/>
          <w:szCs w:val="32"/>
        </w:rPr>
        <w:t>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val="en-US" w:eastAsia="zh-CN"/>
        </w:rPr>
        <w:t>较</w:t>
      </w:r>
      <w:r>
        <w:rPr>
          <w:rFonts w:hint="eastAsia" w:ascii="仿宋_GB2312" w:eastAsia="仿宋_GB2312"/>
          <w:sz w:val="32"/>
          <w:szCs w:val="32"/>
        </w:rPr>
        <w:t>2022年度</w:t>
      </w:r>
      <w:r>
        <w:rPr>
          <w:rFonts w:hint="eastAsia" w:ascii="仿宋_GB2312" w:eastAsia="仿宋_GB2312"/>
          <w:sz w:val="32"/>
          <w:szCs w:val="32"/>
          <w:lang w:val="en-US" w:eastAsia="zh-CN"/>
        </w:rPr>
        <w:t>持平</w:t>
      </w:r>
      <w:r>
        <w:rPr>
          <w:rFonts w:hint="eastAsia" w:ascii="仿宋_GB2312" w:eastAsia="仿宋_GB2312"/>
          <w:sz w:val="32"/>
          <w:szCs w:val="32"/>
        </w:rPr>
        <w:t>。</w:t>
      </w:r>
    </w:p>
    <w:p w14:paraId="2E52681F">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660376C2">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7AA45CE2">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0.32</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ascii="仿宋" w:hAnsi="仿宋" w:eastAsia="仿宋"/>
          <w:b w:val="0"/>
          <w:bCs/>
          <w:sz w:val="32"/>
          <w:szCs w:val="32"/>
        </w:rPr>
        <w:t>100%</w:t>
      </w:r>
      <w:r>
        <w:rPr>
          <w:rStyle w:val="20"/>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0.19</w:t>
      </w:r>
      <w:r>
        <w:rPr>
          <w:rFonts w:hint="eastAsia" w:ascii="仿宋_GB2312" w:eastAsia="仿宋_GB2312"/>
          <w:sz w:val="32"/>
          <w:szCs w:val="32"/>
        </w:rPr>
        <w:t>万元，下降</w:t>
      </w:r>
      <w:r>
        <w:rPr>
          <w:rFonts w:hint="eastAsia" w:ascii="仿宋_GB2312" w:eastAsia="仿宋_GB2312"/>
          <w:sz w:val="32"/>
          <w:szCs w:val="32"/>
          <w:lang w:val="en-US" w:eastAsia="zh-CN"/>
        </w:rPr>
        <w:t>36.89</w:t>
      </w:r>
      <w:r>
        <w:rPr>
          <w:rFonts w:ascii="仿宋_GB2312" w:eastAsia="仿宋_GB2312"/>
          <w:sz w:val="32"/>
          <w:szCs w:val="32"/>
        </w:rPr>
        <w:t>%</w:t>
      </w:r>
      <w:r>
        <w:rPr>
          <w:rFonts w:hint="eastAsia" w:ascii="仿宋_GB2312" w:eastAsia="仿宋_GB2312"/>
          <w:sz w:val="32"/>
          <w:szCs w:val="32"/>
        </w:rPr>
        <w:t>。主要原因是厉行节约，公务接待从简。其中：</w:t>
      </w:r>
    </w:p>
    <w:p w14:paraId="0C0F8773">
      <w:pPr>
        <w:spacing w:line="600" w:lineRule="exact"/>
        <w:ind w:firstLine="640"/>
        <w:rPr>
          <w:rFonts w:ascii="仿宋_GB2312" w:eastAsia="仿宋_GB2312"/>
          <w:sz w:val="32"/>
          <w:szCs w:val="32"/>
          <w:highlight w:val="none"/>
        </w:rPr>
      </w:pPr>
      <w:r>
        <w:rPr>
          <w:rFonts w:hint="eastAsia" w:ascii="仿宋" w:hAnsi="仿宋" w:eastAsia="仿宋"/>
          <w:b/>
          <w:sz w:val="32"/>
          <w:szCs w:val="32"/>
        </w:rPr>
        <w:t>国内公务接待支出</w:t>
      </w:r>
      <w:r>
        <w:rPr>
          <w:rFonts w:ascii="仿宋" w:hAnsi="仿宋" w:eastAsia="仿宋"/>
          <w:b/>
          <w:sz w:val="32"/>
          <w:szCs w:val="32"/>
        </w:rPr>
        <w:t>0.32</w:t>
      </w:r>
      <w:r>
        <w:rPr>
          <w:rFonts w:hint="eastAsia" w:ascii="仿宋_GB2312" w:eastAsia="仿宋_GB2312"/>
          <w:sz w:val="32"/>
          <w:szCs w:val="32"/>
        </w:rPr>
        <w:t>万元</w:t>
      </w:r>
      <w:r>
        <w:rPr>
          <w:rFonts w:hint="eastAsia" w:ascii="仿宋_GB2312" w:eastAsia="仿宋_GB2312"/>
          <w:sz w:val="32"/>
          <w:szCs w:val="32"/>
          <w:highlight w:val="none"/>
        </w:rPr>
        <w:t>，主要用于开展业务活动开支的交通费、住宿费、用餐费等。国内公务接待</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批次，</w:t>
      </w:r>
      <w:r>
        <w:rPr>
          <w:rFonts w:hint="eastAsia" w:ascii="仿宋_GB2312" w:eastAsia="仿宋_GB2312"/>
          <w:sz w:val="32"/>
          <w:szCs w:val="32"/>
          <w:highlight w:val="none"/>
          <w:lang w:val="en-US" w:eastAsia="zh-CN"/>
        </w:rPr>
        <w:t>33</w:t>
      </w:r>
      <w:r>
        <w:rPr>
          <w:rFonts w:hint="eastAsia" w:ascii="仿宋_GB2312" w:eastAsia="仿宋_GB2312"/>
          <w:sz w:val="32"/>
          <w:szCs w:val="32"/>
          <w:highlight w:val="none"/>
        </w:rPr>
        <w:t>人次（不包括陪同人员），共计支出</w:t>
      </w:r>
      <w:r>
        <w:rPr>
          <w:rFonts w:hint="eastAsia" w:ascii="仿宋_GB2312" w:eastAsia="仿宋_GB2312"/>
          <w:sz w:val="32"/>
          <w:szCs w:val="32"/>
          <w:highlight w:val="none"/>
          <w:lang w:val="en-US" w:eastAsia="zh-CN"/>
        </w:rPr>
        <w:t>0.32</w:t>
      </w:r>
      <w:r>
        <w:rPr>
          <w:rFonts w:hint="eastAsia" w:ascii="仿宋_GB2312" w:eastAsia="仿宋_GB2312"/>
          <w:sz w:val="32"/>
          <w:szCs w:val="32"/>
          <w:highlight w:val="none"/>
        </w:rPr>
        <w:t>万元，具体内容包括：公务接待沙湾区科协一行10人（考察学习新林镇茗新村乡村振兴</w:t>
      </w:r>
      <w:r>
        <w:rPr>
          <w:rFonts w:hint="eastAsia" w:ascii="仿宋_GB2312" w:eastAsia="仿宋_GB2312"/>
          <w:sz w:val="32"/>
          <w:szCs w:val="32"/>
          <w:highlight w:val="none"/>
          <w:lang w:eastAsia="zh-CN"/>
        </w:rPr>
        <w:t>工作</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1225元；公务接待（市科协党组成员李瑛一行4人赴峨边开展调研科普工作）595元；公务接待（乐山市科协税杰一行5人赴峨边开展少数民族地区科普工作调研）735元；接待市科协开展协会党建天府科技调研5人680元</w:t>
      </w:r>
      <w:r>
        <w:rPr>
          <w:rFonts w:hint="eastAsia" w:ascii="仿宋_GB2312" w:eastAsia="仿宋_GB2312"/>
          <w:sz w:val="32"/>
          <w:szCs w:val="32"/>
          <w:highlight w:val="none"/>
        </w:rPr>
        <w:t>。</w:t>
      </w:r>
    </w:p>
    <w:p w14:paraId="61A76A1D">
      <w:pPr>
        <w:spacing w:line="600" w:lineRule="exact"/>
        <w:ind w:firstLine="643" w:firstLineChars="200"/>
        <w:rPr>
          <w:rFonts w:hint="eastAsia" w:ascii="仿宋_GB2312" w:eastAsia="仿宋_GB2312"/>
          <w:sz w:val="32"/>
          <w:szCs w:val="32"/>
          <w:highlight w:val="none"/>
          <w:lang w:eastAsia="zh-CN"/>
        </w:rPr>
      </w:pPr>
      <w:r>
        <w:rPr>
          <w:rFonts w:hint="eastAsia" w:ascii="仿宋" w:hAnsi="仿宋" w:eastAsia="仿宋"/>
          <w:b/>
          <w:sz w:val="32"/>
          <w:szCs w:val="32"/>
          <w:highlight w:val="none"/>
        </w:rPr>
        <w:t>外事接待支出</w:t>
      </w:r>
      <w:r>
        <w:rPr>
          <w:rFonts w:ascii="仿宋" w:hAnsi="仿宋" w:eastAsia="仿宋"/>
          <w:b/>
          <w:sz w:val="32"/>
          <w:szCs w:val="32"/>
          <w:highlight w:val="none"/>
        </w:rPr>
        <w:t>0</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p>
    <w:p w14:paraId="72E25162">
      <w:pPr>
        <w:spacing w:line="600" w:lineRule="exact"/>
        <w:ind w:firstLine="640"/>
        <w:outlineLvl w:val="1"/>
        <w:rPr>
          <w:rStyle w:val="32"/>
          <w:rFonts w:ascii="黑体" w:hAnsi="黑体" w:eastAsia="黑体"/>
        </w:rPr>
      </w:pPr>
      <w:bookmarkStart w:id="73" w:name="_Toc31915"/>
      <w:r>
        <w:rPr>
          <w:rFonts w:hint="eastAsia" w:ascii="黑体" w:eastAsia="黑体"/>
          <w:sz w:val="32"/>
          <w:szCs w:val="32"/>
        </w:rPr>
        <w:t>八、</w:t>
      </w:r>
      <w:r>
        <w:rPr>
          <w:rStyle w:val="32"/>
          <w:rFonts w:hint="eastAsia" w:ascii="黑体" w:hAnsi="黑体" w:eastAsia="黑体"/>
          <w:b w:val="0"/>
        </w:rPr>
        <w:t>政府性基金预算支出决算情况说明</w:t>
      </w:r>
      <w:bookmarkEnd w:id="69"/>
      <w:bookmarkEnd w:id="70"/>
      <w:bookmarkEnd w:id="73"/>
    </w:p>
    <w:p w14:paraId="39D07353">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0</w:t>
      </w:r>
      <w:r>
        <w:rPr>
          <w:rFonts w:hint="eastAsia" w:ascii="仿宋_GB2312" w:eastAsia="仿宋_GB2312"/>
          <w:sz w:val="32"/>
          <w:szCs w:val="32"/>
        </w:rPr>
        <w:t>万元。</w:t>
      </w:r>
    </w:p>
    <w:p w14:paraId="70C9AB97">
      <w:pPr>
        <w:numPr>
          <w:ilvl w:val="0"/>
          <w:numId w:val="4"/>
        </w:numPr>
        <w:spacing w:line="600" w:lineRule="exact"/>
        <w:ind w:firstLine="640"/>
        <w:outlineLvl w:val="1"/>
        <w:rPr>
          <w:rStyle w:val="32"/>
          <w:rFonts w:ascii="黑体" w:hAnsi="黑体" w:eastAsia="黑体"/>
          <w:b w:val="0"/>
        </w:rPr>
      </w:pPr>
      <w:bookmarkStart w:id="74" w:name="_Toc16468"/>
      <w:bookmarkStart w:id="75" w:name="_Toc15396611"/>
      <w:bookmarkStart w:id="76" w:name="_Toc15377219"/>
      <w:r>
        <w:rPr>
          <w:rStyle w:val="32"/>
          <w:rFonts w:hint="eastAsia" w:ascii="黑体" w:hAnsi="黑体" w:eastAsia="黑体"/>
          <w:b w:val="0"/>
        </w:rPr>
        <w:t>国有资本经营预算支出决算情况说明</w:t>
      </w:r>
      <w:bookmarkEnd w:id="74"/>
      <w:bookmarkEnd w:id="75"/>
      <w:bookmarkEnd w:id="76"/>
    </w:p>
    <w:p w14:paraId="0D8DCDE8">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5579A9C0">
      <w:pPr>
        <w:numPr>
          <w:ilvl w:val="0"/>
          <w:numId w:val="4"/>
        </w:numPr>
        <w:spacing w:line="600" w:lineRule="exact"/>
        <w:ind w:firstLine="640"/>
        <w:outlineLvl w:val="1"/>
        <w:rPr>
          <w:rStyle w:val="32"/>
          <w:rFonts w:ascii="黑体" w:hAnsi="黑体" w:eastAsia="黑体"/>
          <w:b w:val="0"/>
        </w:rPr>
      </w:pPr>
      <w:bookmarkStart w:id="77" w:name="_Toc15396612"/>
      <w:bookmarkStart w:id="78" w:name="_Toc15377221"/>
      <w:bookmarkStart w:id="79" w:name="_Toc7449"/>
      <w:r>
        <w:rPr>
          <w:rStyle w:val="32"/>
          <w:rFonts w:hint="eastAsia" w:ascii="黑体" w:hAnsi="黑体" w:eastAsia="黑体"/>
          <w:b w:val="0"/>
        </w:rPr>
        <w:t>其他重要事项的情况说明</w:t>
      </w:r>
      <w:bookmarkEnd w:id="77"/>
      <w:bookmarkEnd w:id="78"/>
      <w:bookmarkEnd w:id="79"/>
    </w:p>
    <w:p w14:paraId="7DC5D494">
      <w:pPr>
        <w:spacing w:line="600" w:lineRule="exact"/>
        <w:ind w:firstLine="643" w:firstLineChars="200"/>
        <w:outlineLvl w:val="2"/>
        <w:rPr>
          <w:rFonts w:ascii="仿宋" w:hAnsi="仿宋" w:eastAsia="仿宋"/>
          <w:sz w:val="32"/>
          <w:szCs w:val="32"/>
        </w:rPr>
      </w:pPr>
      <w:bookmarkStart w:id="80" w:name="_Toc15377222"/>
      <w:r>
        <w:rPr>
          <w:rFonts w:hint="eastAsia" w:ascii="仿宋" w:hAnsi="仿宋" w:eastAsia="仿宋"/>
          <w:b/>
          <w:sz w:val="32"/>
          <w:szCs w:val="32"/>
        </w:rPr>
        <w:t>（一）机关运行经费支出情况</w:t>
      </w:r>
      <w:bookmarkEnd w:id="80"/>
    </w:p>
    <w:p w14:paraId="67C7B175">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val="0"/>
          <w:bCs/>
          <w:sz w:val="32"/>
          <w:szCs w:val="32"/>
        </w:rPr>
        <w:t>峨边彝族自治县科学技术协会</w:t>
      </w:r>
      <w:r>
        <w:rPr>
          <w:rFonts w:hint="eastAsia" w:ascii="仿宋_GB2312" w:eastAsia="仿宋_GB2312"/>
          <w:b w:val="0"/>
          <w:bCs/>
          <w:sz w:val="32"/>
          <w:szCs w:val="32"/>
        </w:rPr>
        <w:t>机关运行经费支出</w:t>
      </w:r>
      <w:r>
        <w:rPr>
          <w:rFonts w:ascii="仿宋" w:hAnsi="仿宋" w:eastAsia="仿宋"/>
          <w:b w:val="0"/>
          <w:bCs/>
          <w:sz w:val="32"/>
          <w:szCs w:val="32"/>
        </w:rPr>
        <w:t>21.07</w:t>
      </w:r>
      <w:r>
        <w:rPr>
          <w:rFonts w:hint="eastAsia" w:ascii="仿宋_GB2312" w:eastAsia="仿宋_GB2312"/>
          <w:b w:val="0"/>
          <w:bCs/>
          <w:sz w:val="32"/>
          <w:szCs w:val="32"/>
        </w:rPr>
        <w:t>万元，比2022年度减少</w:t>
      </w:r>
      <w:r>
        <w:rPr>
          <w:rFonts w:hint="eastAsia" w:ascii="仿宋_GB2312" w:eastAsia="仿宋_GB2312"/>
          <w:b w:val="0"/>
          <w:bCs/>
          <w:sz w:val="32"/>
          <w:szCs w:val="32"/>
          <w:lang w:val="en-US" w:eastAsia="zh-CN"/>
        </w:rPr>
        <w:t>0.14</w:t>
      </w:r>
      <w:r>
        <w:rPr>
          <w:rFonts w:hint="eastAsia" w:ascii="仿宋_GB2312" w:eastAsia="仿宋_GB2312"/>
          <w:b w:val="0"/>
          <w:bCs/>
          <w:sz w:val="32"/>
          <w:szCs w:val="32"/>
        </w:rPr>
        <w:t>万元，下降</w:t>
      </w:r>
      <w:r>
        <w:rPr>
          <w:rFonts w:hint="eastAsia" w:ascii="仿宋_GB2312" w:eastAsia="仿宋_GB2312"/>
          <w:b w:val="0"/>
          <w:bCs/>
          <w:sz w:val="32"/>
          <w:szCs w:val="32"/>
          <w:lang w:val="en-US" w:eastAsia="zh-CN"/>
        </w:rPr>
        <w:t>0.65</w:t>
      </w:r>
      <w:r>
        <w:rPr>
          <w:rFonts w:ascii="仿宋_GB2312" w:eastAsia="仿宋_GB2312"/>
          <w:b w:val="0"/>
          <w:bCs/>
          <w:sz w:val="32"/>
          <w:szCs w:val="32"/>
        </w:rPr>
        <w:t>%</w:t>
      </w:r>
      <w:r>
        <w:rPr>
          <w:rFonts w:hint="eastAsia" w:ascii="仿宋_GB2312" w:eastAsia="仿宋_GB2312"/>
          <w:b w:val="0"/>
          <w:bCs/>
          <w:sz w:val="32"/>
          <w:szCs w:val="32"/>
        </w:rPr>
        <w:t>。</w:t>
      </w:r>
    </w:p>
    <w:p w14:paraId="3415360F">
      <w:pPr>
        <w:autoSpaceDE w:val="0"/>
        <w:autoSpaceDN w:val="0"/>
        <w:adjustRightInd w:val="0"/>
        <w:spacing w:line="600" w:lineRule="exact"/>
        <w:ind w:firstLine="643" w:firstLineChars="200"/>
        <w:jc w:val="left"/>
        <w:outlineLvl w:val="2"/>
        <w:rPr>
          <w:rFonts w:ascii="仿宋" w:hAnsi="仿宋" w:eastAsia="仿宋"/>
          <w:b/>
          <w:sz w:val="32"/>
          <w:szCs w:val="32"/>
        </w:rPr>
      </w:pPr>
      <w:bookmarkStart w:id="81" w:name="_Toc15377223"/>
      <w:r>
        <w:rPr>
          <w:rFonts w:hint="eastAsia" w:ascii="仿宋" w:hAnsi="仿宋" w:eastAsia="仿宋"/>
          <w:b/>
          <w:sz w:val="32"/>
          <w:szCs w:val="32"/>
        </w:rPr>
        <w:t>（二）政府采购支出情况</w:t>
      </w:r>
      <w:bookmarkEnd w:id="81"/>
    </w:p>
    <w:p w14:paraId="778548C9">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2023年度，峨边彝族自治县科学技术协会政府采购支出总额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1EE4BF83">
      <w:pPr>
        <w:autoSpaceDE w:val="0"/>
        <w:autoSpaceDN w:val="0"/>
        <w:adjustRightInd w:val="0"/>
        <w:spacing w:line="600" w:lineRule="exact"/>
        <w:ind w:firstLine="643" w:firstLineChars="200"/>
        <w:jc w:val="left"/>
        <w:outlineLvl w:val="2"/>
        <w:rPr>
          <w:rFonts w:ascii="仿宋" w:hAnsi="仿宋" w:eastAsia="仿宋"/>
          <w:b/>
          <w:sz w:val="32"/>
          <w:szCs w:val="32"/>
        </w:rPr>
      </w:pPr>
      <w:bookmarkStart w:id="82" w:name="_Toc15377224"/>
      <w:r>
        <w:rPr>
          <w:rFonts w:hint="eastAsia" w:ascii="仿宋" w:hAnsi="仿宋" w:eastAsia="仿宋"/>
          <w:b/>
          <w:sz w:val="32"/>
          <w:szCs w:val="32"/>
        </w:rPr>
        <w:t>（三）国有资产占有使用情况</w:t>
      </w:r>
      <w:bookmarkEnd w:id="82"/>
    </w:p>
    <w:p w14:paraId="18D92752">
      <w:pPr>
        <w:autoSpaceDE w:val="0"/>
        <w:autoSpaceDN w:val="0"/>
        <w:adjustRightInd w:val="0"/>
        <w:spacing w:line="600" w:lineRule="exact"/>
        <w:ind w:firstLine="640" w:firstLineChars="200"/>
        <w:jc w:val="left"/>
        <w:rPr>
          <w:rFonts w:ascii="仿宋_GB2312" w:eastAsia="仿宋_GB2312"/>
          <w:b w:val="0"/>
          <w:bCs w:val="0"/>
          <w:sz w:val="32"/>
          <w:szCs w:val="32"/>
        </w:rPr>
      </w:pPr>
      <w:r>
        <w:rPr>
          <w:rFonts w:hint="eastAsia" w:ascii="仿宋_GB2312" w:eastAsia="仿宋_GB2312"/>
          <w:b w:val="0"/>
          <w:bCs w:val="0"/>
          <w:sz w:val="32"/>
          <w:szCs w:val="32"/>
        </w:rPr>
        <w:t>截至2023年</w:t>
      </w:r>
      <w:r>
        <w:rPr>
          <w:rFonts w:ascii="仿宋_GB2312" w:eastAsia="仿宋_GB2312"/>
          <w:b w:val="0"/>
          <w:bCs w:val="0"/>
          <w:sz w:val="32"/>
          <w:szCs w:val="32"/>
        </w:rPr>
        <w:t>12</w:t>
      </w:r>
      <w:r>
        <w:rPr>
          <w:rFonts w:hint="eastAsia" w:ascii="仿宋_GB2312" w:eastAsia="仿宋_GB2312"/>
          <w:b w:val="0"/>
          <w:bCs w:val="0"/>
          <w:sz w:val="32"/>
          <w:szCs w:val="32"/>
        </w:rPr>
        <w:t>月</w:t>
      </w:r>
      <w:r>
        <w:rPr>
          <w:rFonts w:ascii="仿宋_GB2312" w:eastAsia="仿宋_GB2312"/>
          <w:b w:val="0"/>
          <w:bCs w:val="0"/>
          <w:sz w:val="32"/>
          <w:szCs w:val="32"/>
        </w:rPr>
        <w:t>31</w:t>
      </w:r>
      <w:r>
        <w:rPr>
          <w:rFonts w:hint="eastAsia" w:ascii="仿宋_GB2312" w:eastAsia="仿宋_GB2312"/>
          <w:b w:val="0"/>
          <w:bCs w:val="0"/>
          <w:sz w:val="32"/>
          <w:szCs w:val="32"/>
        </w:rPr>
        <w:t>日，</w:t>
      </w:r>
      <w:r>
        <w:rPr>
          <w:rFonts w:ascii="仿宋_GB2312" w:eastAsia="仿宋_GB2312"/>
          <w:b w:val="0"/>
          <w:bCs w:val="0"/>
          <w:sz w:val="32"/>
          <w:szCs w:val="32"/>
        </w:rPr>
        <w:t>峨边彝族自治县科学技术协会</w:t>
      </w:r>
      <w:r>
        <w:rPr>
          <w:rFonts w:hint="eastAsia" w:ascii="仿宋_GB2312" w:eastAsia="仿宋_GB2312"/>
          <w:b w:val="0"/>
          <w:bCs w:val="0"/>
          <w:sz w:val="32"/>
          <w:szCs w:val="32"/>
        </w:rPr>
        <w:t>共有车辆0辆，其中：主要领导干部用车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辆、机要通信用车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辆、应急保障用车</w:t>
      </w:r>
      <w:r>
        <w:rPr>
          <w:rFonts w:hint="eastAsia" w:ascii="仿宋_GB2312" w:eastAsia="仿宋_GB2312"/>
          <w:b w:val="0"/>
          <w:bCs w:val="0"/>
          <w:sz w:val="32"/>
          <w:szCs w:val="32"/>
          <w:lang w:val="en-US" w:eastAsia="zh-CN"/>
        </w:rPr>
        <w:t>0</w:t>
      </w:r>
      <w:r>
        <w:rPr>
          <w:rFonts w:hint="eastAsia" w:ascii="仿宋_GB2312" w:eastAsia="仿宋_GB2312"/>
          <w:b w:val="0"/>
          <w:bCs w:val="0"/>
          <w:sz w:val="32"/>
          <w:szCs w:val="32"/>
        </w:rPr>
        <w:t>辆、其他用</w:t>
      </w:r>
      <w:r>
        <w:rPr>
          <w:rFonts w:hint="eastAsia" w:ascii="仿宋_GB2312" w:eastAsia="仿宋_GB2312"/>
          <w:b w:val="0"/>
          <w:bCs w:val="0"/>
          <w:sz w:val="32"/>
          <w:szCs w:val="32"/>
          <w:lang w:val="en-US" w:eastAsia="zh-CN"/>
        </w:rPr>
        <w:t>车0</w:t>
      </w:r>
      <w:r>
        <w:rPr>
          <w:rFonts w:hint="eastAsia" w:ascii="仿宋_GB2312" w:eastAsia="仿宋_GB2312"/>
          <w:b w:val="0"/>
          <w:bCs w:val="0"/>
          <w:sz w:val="32"/>
          <w:szCs w:val="32"/>
        </w:rPr>
        <w:t>辆</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单价</w:t>
      </w:r>
      <w:r>
        <w:rPr>
          <w:rFonts w:ascii="仿宋_GB2312" w:eastAsia="仿宋_GB2312"/>
          <w:b w:val="0"/>
          <w:bCs w:val="0"/>
          <w:sz w:val="32"/>
          <w:szCs w:val="32"/>
        </w:rPr>
        <w:t>100</w:t>
      </w:r>
      <w:r>
        <w:rPr>
          <w:rFonts w:hint="eastAsia" w:ascii="仿宋_GB2312" w:eastAsia="仿宋_GB2312"/>
          <w:b w:val="0"/>
          <w:bCs w:val="0"/>
          <w:sz w:val="32"/>
          <w:szCs w:val="32"/>
        </w:rPr>
        <w:t>万元以上设备（不含车辆）</w:t>
      </w:r>
      <w:r>
        <w:rPr>
          <w:rFonts w:ascii="仿宋_GB2312" w:eastAsia="仿宋_GB2312"/>
          <w:b w:val="0"/>
          <w:bCs w:val="0"/>
          <w:sz w:val="32"/>
          <w:szCs w:val="32"/>
        </w:rPr>
        <w:t>0</w:t>
      </w:r>
      <w:r>
        <w:rPr>
          <w:rFonts w:hint="eastAsia" w:ascii="仿宋_GB2312" w:eastAsia="仿宋_GB2312"/>
          <w:b w:val="0"/>
          <w:bCs w:val="0"/>
          <w:sz w:val="32"/>
          <w:szCs w:val="32"/>
        </w:rPr>
        <w:t>台（套）。</w:t>
      </w:r>
    </w:p>
    <w:p w14:paraId="177F660A">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8C59BC4">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4DE7ED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根据预算绩效管理要求，本部门在2023年度预算编制阶段，组织对</w:t>
      </w:r>
      <w:r>
        <w:rPr>
          <w:rFonts w:hint="eastAsia" w:ascii="仿宋_GB2312" w:eastAsia="仿宋_GB2312"/>
          <w:sz w:val="32"/>
          <w:szCs w:val="32"/>
        </w:rPr>
        <w:t>科普宣传经费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个项目开展绩效监控。绩效自评</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详见附件。</w:t>
      </w:r>
    </w:p>
    <w:p w14:paraId="7CD80ADB">
      <w:pPr>
        <w:pStyle w:val="2"/>
        <w:jc w:val="center"/>
        <w:rPr>
          <w:rFonts w:hint="eastAsia"/>
        </w:rPr>
        <w:sectPr>
          <w:pgSz w:w="11906" w:h="16838"/>
          <w:pgMar w:top="1440" w:right="1800" w:bottom="1440" w:left="1800" w:header="851" w:footer="992" w:gutter="0"/>
          <w:cols w:space="425" w:num="1"/>
          <w:titlePg/>
          <w:docGrid w:type="lines" w:linePitch="312" w:charSpace="0"/>
        </w:sectPr>
      </w:pPr>
      <w:bookmarkStart w:id="83" w:name="_Toc12668"/>
    </w:p>
    <w:p w14:paraId="215277F6">
      <w:pPr>
        <w:pStyle w:val="2"/>
        <w:jc w:val="center"/>
      </w:pPr>
      <w:r>
        <w:rPr>
          <w:rFonts w:hint="eastAsia"/>
        </w:rPr>
        <w:t>第三部分 名词解释</w:t>
      </w:r>
      <w:bookmarkEnd w:id="83"/>
    </w:p>
    <w:p w14:paraId="7B0996E1"/>
    <w:p w14:paraId="2DB551D6">
      <w:pPr>
        <w:pStyle w:val="29"/>
        <w:numPr>
          <w:ilvl w:val="0"/>
          <w:numId w:val="5"/>
        </w:numPr>
        <w:spacing w:line="560" w:lineRule="exact"/>
        <w:ind w:left="0" w:leftChars="0" w:firstLine="640" w:firstLineChars="200"/>
        <w:outlineLvl w:val="1"/>
        <w:rPr>
          <w:rFonts w:ascii="仿宋_GB2312" w:eastAsia="仿宋_GB2312"/>
          <w:color w:val="auto"/>
          <w:sz w:val="32"/>
          <w:szCs w:val="32"/>
        </w:rPr>
      </w:pPr>
      <w:bookmarkStart w:id="84" w:name="_Toc16594"/>
      <w:bookmarkStart w:id="85" w:name="_Toc20080"/>
      <w:bookmarkStart w:id="86" w:name="_Toc19602"/>
      <w:r>
        <w:rPr>
          <w:rFonts w:hint="eastAsia" w:ascii="仿宋_GB2312" w:eastAsia="仿宋_GB2312"/>
          <w:color w:val="auto"/>
          <w:sz w:val="32"/>
          <w:szCs w:val="32"/>
        </w:rPr>
        <w:t>财政拨款收入：指单位从同级财政部门取得的财政预算资金。</w:t>
      </w:r>
      <w:bookmarkEnd w:id="84"/>
      <w:bookmarkEnd w:id="85"/>
      <w:bookmarkEnd w:id="86"/>
    </w:p>
    <w:p w14:paraId="6D0F8BF5">
      <w:pPr>
        <w:pStyle w:val="29"/>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事业收入：指事业单位开展专业业务活动及辅助活动取得的收入。</w:t>
      </w:r>
    </w:p>
    <w:p w14:paraId="6CAD14DB">
      <w:pPr>
        <w:pStyle w:val="29"/>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经营收入：指事业单位在专业业务活动及其辅助活动之外开展非独立核算经营活动取得的收入。</w:t>
      </w:r>
    </w:p>
    <w:p w14:paraId="4DD75324">
      <w:pPr>
        <w:pStyle w:val="29"/>
        <w:numPr>
          <w:ilvl w:val="0"/>
          <w:numId w:val="5"/>
        </w:numPr>
        <w:spacing w:line="560" w:lineRule="exact"/>
        <w:ind w:left="0" w:leftChars="0" w:firstLine="640" w:firstLineChars="200"/>
        <w:outlineLvl w:val="1"/>
        <w:rPr>
          <w:rFonts w:ascii="仿宋_GB2312" w:eastAsia="仿宋_GB2312"/>
          <w:color w:val="auto"/>
          <w:sz w:val="32"/>
          <w:szCs w:val="32"/>
        </w:rPr>
      </w:pPr>
      <w:bookmarkStart w:id="87" w:name="_Toc6964"/>
      <w:bookmarkStart w:id="88" w:name="_Toc6828"/>
      <w:bookmarkStart w:id="89" w:name="_Toc1050"/>
      <w:r>
        <w:rPr>
          <w:rFonts w:hint="eastAsia" w:ascii="仿宋_GB2312" w:eastAsia="仿宋_GB2312"/>
          <w:color w:val="auto"/>
          <w:sz w:val="32"/>
          <w:szCs w:val="32"/>
        </w:rPr>
        <w:t>其他收入：指单位取得的除上述收入以外的各项收入。</w:t>
      </w:r>
      <w:bookmarkEnd w:id="87"/>
      <w:bookmarkEnd w:id="88"/>
      <w:bookmarkEnd w:id="89"/>
      <w:r>
        <w:rPr>
          <w:rFonts w:ascii="仿宋_GB2312" w:eastAsia="仿宋_GB2312"/>
          <w:color w:val="auto"/>
          <w:sz w:val="32"/>
          <w:szCs w:val="32"/>
        </w:rPr>
        <w:t xml:space="preserve"> </w:t>
      </w:r>
    </w:p>
    <w:p w14:paraId="7BA77614">
      <w:pPr>
        <w:pStyle w:val="29"/>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6CC75343">
      <w:pPr>
        <w:pStyle w:val="29"/>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5B6D59A6">
      <w:pPr>
        <w:pStyle w:val="29"/>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结余分配：指事业单位按照会计制度规定缴纳的所得税、提取的专用结余以及转入非财政拨款结余的金额等。</w:t>
      </w:r>
    </w:p>
    <w:p w14:paraId="364E68C5">
      <w:pPr>
        <w:pStyle w:val="29"/>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年末结转和结余：指单位按有关规定结转到下年或以后年度继续使用的资金。</w:t>
      </w:r>
    </w:p>
    <w:p w14:paraId="6E0A74C0">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科学技术（类）科学技术普及（款）机构运行（项）：指反映科普事业单位的基本支出。</w:t>
      </w:r>
    </w:p>
    <w:p w14:paraId="5737C225">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科学技术（类）科学技术普及（款）科普活动（项）：指反映用于开展科普活动的支出。</w:t>
      </w:r>
    </w:p>
    <w:p w14:paraId="2327A790">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科学技术（类）科学技术普及（款）其他科学技术普及支出（项）：指反映除上述项目以外其他用于科学技术普及方面的支出。</w:t>
      </w:r>
    </w:p>
    <w:p w14:paraId="5F7C40D7">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社会保障和就业（类）行政事业单位养老支出（款）机关事业单位基本养老保险缴费支出（项）：指反映机关事业单位实施养老保险制度由单位缴纳的基本养老保险费支出。</w:t>
      </w:r>
    </w:p>
    <w:p w14:paraId="6478E6FB">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社会保障和就业（类）行政事业单位养老支出（款）机关事业单位职业年金缴费支出（项）：指反映机关事业单位实施养老保险制度由单位实际缴纳的职业年金支出。</w:t>
      </w:r>
    </w:p>
    <w:p w14:paraId="44C423DD">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社会保障和就业（类）其他社会保障和就业支出（款）其他社会保障和就业支出（项）：指反映除上述项目以外其他用于社会保障和就业方面的支出。</w:t>
      </w:r>
    </w:p>
    <w:p w14:paraId="69A98853">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卫生健康（类）行政事业单位医疗（款）行政单位医疗（项）：指反映财政部门安排的行政单位</w:t>
      </w:r>
      <w:r>
        <w:rPr>
          <w:rFonts w:hint="eastAsia" w:ascii="仿宋_GB2312" w:eastAsia="仿宋_GB2312"/>
          <w:sz w:val="32"/>
          <w:szCs w:val="32"/>
          <w:lang w:eastAsia="zh-CN"/>
        </w:rPr>
        <w:t>（</w:t>
      </w:r>
      <w:r>
        <w:rPr>
          <w:rFonts w:hint="eastAsia" w:ascii="仿宋_GB2312" w:eastAsia="仿宋_GB2312"/>
          <w:sz w:val="32"/>
          <w:szCs w:val="32"/>
        </w:rPr>
        <w:t>包括实行公务员管理的事业单位，下同</w:t>
      </w:r>
      <w:r>
        <w:rPr>
          <w:rFonts w:hint="eastAsia" w:ascii="仿宋_GB2312" w:eastAsia="仿宋_GB2312"/>
          <w:sz w:val="32"/>
          <w:szCs w:val="32"/>
          <w:lang w:eastAsia="zh-CN"/>
        </w:rPr>
        <w:t>）</w:t>
      </w:r>
      <w:r>
        <w:rPr>
          <w:rFonts w:hint="eastAsia" w:ascii="仿宋_GB2312" w:eastAsia="仿宋_GB2312"/>
          <w:sz w:val="32"/>
          <w:szCs w:val="32"/>
        </w:rPr>
        <w:t>基本医疗保险缴费经费，未参加医疗保险的行政单位的公费医疗经费，按国家规定享受离休人员、红军老战士待遇人员的医疗经费。</w:t>
      </w:r>
    </w:p>
    <w:p w14:paraId="08762D8A">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卫生健康（类）行政事业单位医疗（款）公务员医疗补助（项）：指</w:t>
      </w:r>
      <w:r>
        <w:rPr>
          <w:rFonts w:hint="eastAsia" w:ascii="仿宋_GB2312" w:hAnsi="Times New Roman" w:eastAsia="仿宋_GB2312" w:cs="Times New Roman"/>
          <w:sz w:val="32"/>
          <w:szCs w:val="32"/>
        </w:rPr>
        <w:t>反映财政部门安排的公务员医疗补助经费。</w:t>
      </w:r>
    </w:p>
    <w:p w14:paraId="0A1B599D">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住房保障（类）住房改革支出（款）</w:t>
      </w:r>
      <w:r>
        <w:rPr>
          <w:rFonts w:hint="eastAsia" w:ascii="仿宋_GB2312" w:eastAsia="仿宋_GB2312"/>
          <w:sz w:val="32"/>
          <w:szCs w:val="32"/>
          <w:lang w:val="en-US" w:eastAsia="zh-CN"/>
        </w:rPr>
        <w:t>住房公积金</w:t>
      </w:r>
      <w:r>
        <w:rPr>
          <w:rFonts w:hint="eastAsia" w:ascii="仿宋_GB2312" w:eastAsia="仿宋_GB2312"/>
          <w:sz w:val="32"/>
          <w:szCs w:val="32"/>
        </w:rPr>
        <w:t>（项）：指反映行政事业单位按人力资源和社会保障部、财政部规定的 基本工资和津贴补贴以及规定比例为职工缴纳的住房公积金。</w:t>
      </w:r>
    </w:p>
    <w:p w14:paraId="54C268B1">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14:paraId="7D23CA79">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429A8B37">
      <w:pPr>
        <w:numPr>
          <w:ilvl w:val="0"/>
          <w:numId w:val="5"/>
        </w:numPr>
        <w:ind w:left="0" w:leftChars="0" w:firstLine="640" w:firstLineChars="200"/>
        <w:rPr>
          <w:rFonts w:ascii="仿宋_GB2312" w:eastAsia="仿宋_GB2312"/>
          <w:sz w:val="32"/>
          <w:szCs w:val="32"/>
        </w:rPr>
      </w:pPr>
      <w:r>
        <w:rPr>
          <w:rFonts w:hint="eastAsia" w:ascii="仿宋_GB2312" w:eastAsia="仿宋_GB2312"/>
          <w:sz w:val="32"/>
          <w:szCs w:val="32"/>
        </w:rPr>
        <w:t>经营支出：指事业单位在专业业务活动及其辅助活动之外开展非独立核算经营活动发生的支出。</w:t>
      </w:r>
    </w:p>
    <w:p w14:paraId="12BE8919">
      <w:pPr>
        <w:pStyle w:val="29"/>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74B6C99">
      <w:pPr>
        <w:pStyle w:val="29"/>
        <w:numPr>
          <w:ilvl w:val="0"/>
          <w:numId w:val="5"/>
        </w:numPr>
        <w:spacing w:line="560" w:lineRule="exact"/>
        <w:ind w:left="0" w:leftChars="0" w:firstLine="640" w:firstLineChars="200"/>
        <w:rPr>
          <w:rFonts w:ascii="仿宋_GB2312" w:eastAsia="仿宋_GB2312"/>
          <w:color w:val="auto"/>
          <w:sz w:val="32"/>
          <w:szCs w:val="32"/>
        </w:rPr>
      </w:pP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C603410">
      <w:pPr>
        <w:ind w:firstLine="643" w:firstLineChars="200"/>
        <w:rPr>
          <w:rFonts w:ascii="仿宋" w:hAnsi="仿宋" w:eastAsia="仿宋"/>
          <w:b/>
          <w:sz w:val="32"/>
          <w:szCs w:val="32"/>
        </w:rPr>
      </w:pPr>
      <w:r>
        <w:rPr>
          <w:rFonts w:ascii="仿宋" w:hAnsi="仿宋" w:eastAsia="仿宋"/>
          <w:b/>
          <w:sz w:val="32"/>
          <w:szCs w:val="32"/>
        </w:rPr>
        <w:br w:type="page"/>
      </w:r>
    </w:p>
    <w:p w14:paraId="4410F0F0">
      <w:pPr>
        <w:pStyle w:val="2"/>
        <w:jc w:val="center"/>
        <w:rPr>
          <w:rFonts w:hint="eastAsia" w:ascii="仿宋_GB2312" w:hAnsi="仿宋_GB2312" w:eastAsia="仿宋_GB2312" w:cs="仿宋_GB2312"/>
          <w:kern w:val="0"/>
          <w:sz w:val="32"/>
          <w:szCs w:val="32"/>
          <w:lang w:val="en-US" w:eastAsia="zh-CN"/>
        </w:rPr>
      </w:pPr>
      <w:bookmarkStart w:id="90" w:name="_Toc30818"/>
      <w:r>
        <w:rPr>
          <w:rFonts w:hint="eastAsia" w:ascii="黑体" w:hAnsi="黑体" w:eastAsia="黑体"/>
          <w:b w:val="0"/>
        </w:rPr>
        <w:t>第四部分 附件</w:t>
      </w:r>
      <w:bookmarkEnd w:id="90"/>
    </w:p>
    <w:p w14:paraId="1FF2B24B">
      <w:pPr>
        <w:ind w:firstLine="640" w:firstLineChars="200"/>
        <w:rPr>
          <w:rFonts w:hint="eastAsia"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2"/>
        <w:gridCol w:w="752"/>
        <w:gridCol w:w="752"/>
        <w:gridCol w:w="1873"/>
        <w:gridCol w:w="1136"/>
        <w:gridCol w:w="1620"/>
        <w:gridCol w:w="1007"/>
      </w:tblGrid>
      <w:tr w14:paraId="3F283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7"/>
            <w:tcBorders>
              <w:top w:val="nil"/>
              <w:left w:val="nil"/>
              <w:bottom w:val="nil"/>
              <w:right w:val="nil"/>
            </w:tcBorders>
            <w:shd w:val="clear" w:color="auto" w:fill="auto"/>
            <w:noWrap/>
            <w:vAlign w:val="center"/>
          </w:tcPr>
          <w:p w14:paraId="0556BC7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2FB0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19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FD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科普宣传</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ED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E5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w:t>
            </w:r>
          </w:p>
        </w:tc>
      </w:tr>
      <w:tr w14:paraId="3CCB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89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BC32">
            <w:pPr>
              <w:jc w:val="left"/>
              <w:rPr>
                <w:rFonts w:hint="eastAsia" w:ascii="宋体" w:hAnsi="宋体" w:eastAsia="宋体" w:cs="宋体"/>
                <w:i w:val="0"/>
                <w:iCs w:val="0"/>
                <w:color w:val="000000"/>
                <w:sz w:val="20"/>
                <w:szCs w:val="20"/>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02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59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峨边彝族自治县科学技术协会</w:t>
            </w:r>
          </w:p>
        </w:tc>
      </w:tr>
      <w:tr w14:paraId="6B27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0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39ED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pct"/>
            <w:gridSpan w:val="2"/>
            <w:tcBorders>
              <w:top w:val="single" w:color="000000" w:sz="4" w:space="0"/>
              <w:left w:val="single" w:color="000000" w:sz="4" w:space="0"/>
              <w:bottom w:val="single" w:color="000000" w:sz="4" w:space="0"/>
              <w:right w:val="nil"/>
            </w:tcBorders>
            <w:shd w:val="clear" w:color="auto" w:fill="auto"/>
            <w:noWrap/>
            <w:vAlign w:val="center"/>
          </w:tcPr>
          <w:p w14:paraId="132163F5">
            <w:pPr>
              <w:jc w:val="center"/>
              <w:rPr>
                <w:rFonts w:hint="eastAsia" w:ascii="宋体" w:hAnsi="宋体" w:eastAsia="宋体" w:cs="宋体"/>
                <w:i w:val="0"/>
                <w:iCs w:val="0"/>
                <w:color w:val="000000"/>
                <w:sz w:val="20"/>
                <w:szCs w:val="20"/>
                <w:u w:val="none"/>
              </w:rPr>
            </w:pPr>
          </w:p>
        </w:tc>
        <w:tc>
          <w:tcPr>
            <w:tcW w:w="1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E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E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A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0AC26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C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B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15万元</w:t>
            </w:r>
          </w:p>
        </w:tc>
        <w:tc>
          <w:tcPr>
            <w:tcW w:w="1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97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14.99万元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0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w:t>
            </w:r>
          </w:p>
        </w:tc>
      </w:tr>
      <w:tr w14:paraId="172C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A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904B">
            <w:pPr>
              <w:jc w:val="center"/>
              <w:rPr>
                <w:rFonts w:hint="eastAsia" w:ascii="宋体" w:hAnsi="宋体" w:eastAsia="宋体" w:cs="宋体"/>
                <w:i w:val="0"/>
                <w:iCs w:val="0"/>
                <w:color w:val="000000"/>
                <w:sz w:val="20"/>
                <w:szCs w:val="20"/>
                <w:u w:val="none"/>
              </w:rPr>
            </w:pPr>
          </w:p>
        </w:tc>
        <w:tc>
          <w:tcPr>
            <w:tcW w:w="1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8672">
            <w:pPr>
              <w:jc w:val="center"/>
              <w:rPr>
                <w:rFonts w:hint="eastAsia" w:ascii="宋体" w:hAnsi="宋体" w:eastAsia="宋体" w:cs="宋体"/>
                <w:i w:val="0"/>
                <w:iCs w:val="0"/>
                <w:color w:val="000000"/>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78AF">
            <w:pPr>
              <w:jc w:val="center"/>
              <w:rPr>
                <w:rFonts w:hint="eastAsia" w:ascii="宋体" w:hAnsi="宋体" w:eastAsia="宋体" w:cs="宋体"/>
                <w:i w:val="0"/>
                <w:iCs w:val="0"/>
                <w:color w:val="000000"/>
                <w:sz w:val="20"/>
                <w:szCs w:val="20"/>
                <w:u w:val="none"/>
              </w:rPr>
            </w:pPr>
          </w:p>
        </w:tc>
      </w:tr>
      <w:tr w14:paraId="42B3C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0A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E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15万元</w:t>
            </w:r>
          </w:p>
        </w:tc>
        <w:tc>
          <w:tcPr>
            <w:tcW w:w="1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9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14.99万元</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D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99.99%</w:t>
            </w:r>
          </w:p>
        </w:tc>
      </w:tr>
      <w:tr w14:paraId="319D1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7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35A9">
            <w:pPr>
              <w:jc w:val="center"/>
              <w:rPr>
                <w:rFonts w:hint="eastAsia" w:ascii="宋体" w:hAnsi="宋体" w:eastAsia="宋体" w:cs="宋体"/>
                <w:i w:val="0"/>
                <w:iCs w:val="0"/>
                <w:color w:val="000000"/>
                <w:sz w:val="20"/>
                <w:szCs w:val="20"/>
                <w:u w:val="none"/>
              </w:rPr>
            </w:pPr>
          </w:p>
        </w:tc>
        <w:tc>
          <w:tcPr>
            <w:tcW w:w="16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8097">
            <w:pPr>
              <w:jc w:val="center"/>
              <w:rPr>
                <w:rFonts w:hint="eastAsia" w:ascii="宋体" w:hAnsi="宋体" w:eastAsia="宋体" w:cs="宋体"/>
                <w:i w:val="0"/>
                <w:iCs w:val="0"/>
                <w:color w:val="000000"/>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A2CE">
            <w:pPr>
              <w:jc w:val="center"/>
              <w:rPr>
                <w:rFonts w:hint="eastAsia" w:ascii="宋体" w:hAnsi="宋体" w:eastAsia="宋体" w:cs="宋体"/>
                <w:i w:val="0"/>
                <w:iCs w:val="0"/>
                <w:color w:val="000000"/>
                <w:sz w:val="20"/>
                <w:szCs w:val="20"/>
                <w:u w:val="none"/>
              </w:rPr>
            </w:pPr>
          </w:p>
        </w:tc>
      </w:tr>
      <w:tr w14:paraId="40B7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2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D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4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506D3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D781">
            <w:pPr>
              <w:jc w:val="left"/>
              <w:rPr>
                <w:rFonts w:hint="eastAsia" w:ascii="宋体" w:hAnsi="宋体" w:eastAsia="宋体" w:cs="宋体"/>
                <w:i w:val="0"/>
                <w:iCs w:val="0"/>
                <w:color w:val="000000"/>
                <w:sz w:val="20"/>
                <w:szCs w:val="20"/>
                <w:u w:val="none"/>
              </w:rPr>
            </w:pPr>
          </w:p>
        </w:tc>
        <w:tc>
          <w:tcPr>
            <w:tcW w:w="2818" w:type="pct"/>
            <w:gridSpan w:val="4"/>
            <w:tcBorders>
              <w:top w:val="single" w:color="000000" w:sz="4" w:space="0"/>
              <w:left w:val="single" w:color="000000" w:sz="4" w:space="0"/>
              <w:bottom w:val="nil"/>
              <w:right w:val="single" w:color="000000" w:sz="4" w:space="0"/>
            </w:tcBorders>
            <w:shd w:val="clear" w:color="auto" w:fill="auto"/>
            <w:noWrap/>
            <w:vAlign w:val="center"/>
          </w:tcPr>
          <w:p w14:paraId="30921570">
            <w:pPr>
              <w:jc w:val="left"/>
              <w:rPr>
                <w:rFonts w:hint="eastAsia" w:ascii="宋体" w:hAnsi="宋体" w:eastAsia="宋体" w:cs="宋体"/>
                <w:i w:val="0"/>
                <w:iCs w:val="0"/>
                <w:color w:val="000000"/>
                <w:sz w:val="20"/>
                <w:szCs w:val="20"/>
                <w:u w:val="none"/>
              </w:rPr>
            </w:pP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CFF6">
            <w:pPr>
              <w:jc w:val="left"/>
              <w:rPr>
                <w:rFonts w:hint="eastAsia" w:ascii="宋体" w:hAnsi="宋体" w:eastAsia="宋体" w:cs="宋体"/>
                <w:i w:val="0"/>
                <w:iCs w:val="0"/>
                <w:color w:val="000000"/>
                <w:sz w:val="20"/>
                <w:szCs w:val="20"/>
                <w:u w:val="none"/>
              </w:rPr>
            </w:pPr>
          </w:p>
        </w:tc>
      </w:tr>
      <w:tr w14:paraId="57FD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2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3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3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5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19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8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B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4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7EED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ACF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62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77AEBC9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64D5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862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52D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D52B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127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8BBF2">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5F3E158">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D093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AE10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6452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7E3C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41C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F974D">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6C9D45A">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C3D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CDC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B84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6B7E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700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666A8">
            <w:pPr>
              <w:jc w:val="center"/>
              <w:rPr>
                <w:rFonts w:hint="eastAsia" w:ascii="宋体" w:hAnsi="宋体" w:eastAsia="宋体" w:cs="宋体"/>
                <w:i w:val="0"/>
                <w:iCs w:val="0"/>
                <w:color w:val="333333"/>
                <w:sz w:val="20"/>
                <w:szCs w:val="20"/>
                <w:u w:val="none"/>
              </w:rPr>
            </w:pPr>
          </w:p>
        </w:tc>
        <w:tc>
          <w:tcPr>
            <w:tcW w:w="62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3B87805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1CC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A439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1FF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970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080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FF186">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1AF6C5F">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ACB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A859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3A1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7CF7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5EA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9750F">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643B47E">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57A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D69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F53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2E1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1304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F9CE0">
            <w:pPr>
              <w:jc w:val="center"/>
              <w:rPr>
                <w:rFonts w:hint="eastAsia" w:ascii="宋体" w:hAnsi="宋体" w:eastAsia="宋体" w:cs="宋体"/>
                <w:i w:val="0"/>
                <w:iCs w:val="0"/>
                <w:color w:val="333333"/>
                <w:sz w:val="20"/>
                <w:szCs w:val="20"/>
                <w:u w:val="none"/>
              </w:rPr>
            </w:pPr>
          </w:p>
        </w:tc>
        <w:tc>
          <w:tcPr>
            <w:tcW w:w="62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45D18D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99B6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A0F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48C1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4DAEA">
            <w:pPr>
              <w:jc w:val="center"/>
              <w:rPr>
                <w:rFonts w:hint="eastAsia" w:ascii="宋体" w:hAnsi="宋体" w:eastAsia="宋体" w:cs="宋体"/>
                <w:i w:val="0"/>
                <w:iCs w:val="0"/>
                <w:color w:val="333333"/>
                <w:sz w:val="20"/>
                <w:szCs w:val="20"/>
                <w:u w:val="none"/>
              </w:rPr>
            </w:pPr>
          </w:p>
        </w:tc>
      </w:tr>
      <w:tr w14:paraId="7CA7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77075">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2037BEB">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6F95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6B35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B53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B0C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4BBFF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8DB3F">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79C3385">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2DE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26E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686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2F641">
            <w:pPr>
              <w:jc w:val="center"/>
              <w:rPr>
                <w:rFonts w:hint="eastAsia" w:ascii="宋体" w:hAnsi="宋体" w:eastAsia="宋体" w:cs="宋体"/>
                <w:i w:val="0"/>
                <w:iCs w:val="0"/>
                <w:color w:val="333333"/>
                <w:sz w:val="20"/>
                <w:szCs w:val="20"/>
                <w:u w:val="none"/>
              </w:rPr>
            </w:pPr>
          </w:p>
        </w:tc>
      </w:tr>
      <w:tr w14:paraId="00AA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61D57">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E62019E">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FDF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429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60CC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B832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8D7F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855D2">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7C5CEA6">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924F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7EB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C135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0FCA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6551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2CD48">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47CE97A0">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E4A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1D9B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9B91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FFF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D1E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D23F3">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85B9E9D">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1C99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9BF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69E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A3D23">
            <w:pPr>
              <w:jc w:val="center"/>
              <w:rPr>
                <w:rFonts w:hint="eastAsia" w:ascii="宋体" w:hAnsi="宋体" w:eastAsia="宋体" w:cs="宋体"/>
                <w:i w:val="0"/>
                <w:iCs w:val="0"/>
                <w:color w:val="333333"/>
                <w:sz w:val="20"/>
                <w:szCs w:val="20"/>
                <w:u w:val="none"/>
              </w:rPr>
            </w:pPr>
          </w:p>
        </w:tc>
      </w:tr>
      <w:tr w14:paraId="2BE52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FA9DB">
            <w:pPr>
              <w:jc w:val="center"/>
              <w:rPr>
                <w:rFonts w:hint="eastAsia" w:ascii="宋体" w:hAnsi="宋体" w:eastAsia="宋体" w:cs="宋体"/>
                <w:i w:val="0"/>
                <w:iCs w:val="0"/>
                <w:color w:val="333333"/>
                <w:sz w:val="20"/>
                <w:szCs w:val="20"/>
                <w:u w:val="none"/>
              </w:rPr>
            </w:pP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394704D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9AF65">
            <w:pPr>
              <w:jc w:val="center"/>
              <w:rPr>
                <w:rFonts w:hint="eastAsia" w:ascii="宋体" w:hAnsi="宋体" w:eastAsia="宋体" w:cs="宋体"/>
                <w:i w:val="0"/>
                <w:iCs w:val="0"/>
                <w:color w:val="333333"/>
                <w:sz w:val="20"/>
                <w:szCs w:val="20"/>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4DF35">
            <w:pPr>
              <w:jc w:val="center"/>
              <w:rPr>
                <w:rFonts w:hint="eastAsia" w:ascii="宋体" w:hAnsi="宋体" w:eastAsia="宋体" w:cs="宋体"/>
                <w:i w:val="0"/>
                <w:iCs w:val="0"/>
                <w:color w:val="333333"/>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C5E00">
            <w:pPr>
              <w:jc w:val="center"/>
              <w:rPr>
                <w:rFonts w:hint="eastAsia" w:ascii="宋体" w:hAnsi="宋体" w:eastAsia="宋体" w:cs="宋体"/>
                <w:i w:val="0"/>
                <w:iCs w:val="0"/>
                <w:color w:val="333333"/>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B759E">
            <w:pPr>
              <w:jc w:val="center"/>
              <w:rPr>
                <w:rFonts w:hint="eastAsia" w:ascii="宋体" w:hAnsi="宋体" w:eastAsia="宋体" w:cs="宋体"/>
                <w:i w:val="0"/>
                <w:iCs w:val="0"/>
                <w:color w:val="333333"/>
                <w:sz w:val="20"/>
                <w:szCs w:val="20"/>
                <w:u w:val="none"/>
              </w:rPr>
            </w:pPr>
          </w:p>
        </w:tc>
      </w:tr>
      <w:tr w14:paraId="4238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A45E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62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096774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5D8F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开展科普宣传活动</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9E72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6场次</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D98F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6场次</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ED4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AB5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06F50">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6A0B99D">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1D9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推广种植业新品种</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F88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6种</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E08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6种</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73CC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B20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CDA6E">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F98C558">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DDA9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维护科普设备</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07D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2种</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68D8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2种</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8FE6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D70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5FB96">
            <w:pPr>
              <w:jc w:val="center"/>
              <w:rPr>
                <w:rFonts w:hint="eastAsia" w:ascii="宋体" w:hAnsi="宋体" w:eastAsia="宋体" w:cs="宋体"/>
                <w:i w:val="0"/>
                <w:iCs w:val="0"/>
                <w:color w:val="333333"/>
                <w:sz w:val="20"/>
                <w:szCs w:val="20"/>
                <w:u w:val="none"/>
              </w:rPr>
            </w:pPr>
          </w:p>
        </w:tc>
        <w:tc>
          <w:tcPr>
            <w:tcW w:w="62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4BAB08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3CC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开展科普宣传活动</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1C6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高质量完成</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35E7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高质量完成</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0C7D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1F4E4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EFB66">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0CC7DC5">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4ED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推广种植业新品种</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907B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高质量完成</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26D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高质量完成</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FA4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F15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995DF">
            <w:pPr>
              <w:jc w:val="center"/>
              <w:rPr>
                <w:rFonts w:hint="eastAsia" w:ascii="宋体" w:hAnsi="宋体" w:eastAsia="宋体" w:cs="宋体"/>
                <w:i w:val="0"/>
                <w:iCs w:val="0"/>
                <w:color w:val="333333"/>
                <w:sz w:val="20"/>
                <w:szCs w:val="20"/>
                <w:u w:val="none"/>
              </w:rPr>
            </w:pPr>
          </w:p>
        </w:tc>
        <w:tc>
          <w:tcPr>
            <w:tcW w:w="62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8614749">
            <w:pPr>
              <w:jc w:val="center"/>
              <w:rPr>
                <w:rFonts w:hint="eastAsia" w:ascii="宋体" w:hAnsi="宋体" w:eastAsia="宋体" w:cs="宋体"/>
                <w:i w:val="0"/>
                <w:iCs w:val="0"/>
                <w:color w:val="333333"/>
                <w:sz w:val="20"/>
                <w:szCs w:val="20"/>
                <w:u w:val="none"/>
              </w:rPr>
            </w:pP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2A8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维护科普设备</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7C9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高质量完成</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7F46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高质量完成</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6B2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2791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41B0C">
            <w:pPr>
              <w:jc w:val="center"/>
              <w:rPr>
                <w:rFonts w:hint="eastAsia" w:ascii="宋体" w:hAnsi="宋体" w:eastAsia="宋体" w:cs="宋体"/>
                <w:i w:val="0"/>
                <w:iCs w:val="0"/>
                <w:color w:val="333333"/>
                <w:sz w:val="20"/>
                <w:szCs w:val="20"/>
                <w:u w:val="none"/>
              </w:rPr>
            </w:pP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40E84EB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8DD23">
            <w:pPr>
              <w:jc w:val="center"/>
              <w:rPr>
                <w:rFonts w:hint="eastAsia" w:ascii="宋体" w:hAnsi="宋体" w:eastAsia="宋体" w:cs="宋体"/>
                <w:i w:val="0"/>
                <w:iCs w:val="0"/>
                <w:color w:val="333333"/>
                <w:sz w:val="20"/>
                <w:szCs w:val="20"/>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99DDF">
            <w:pPr>
              <w:jc w:val="center"/>
              <w:rPr>
                <w:rFonts w:hint="eastAsia" w:ascii="宋体" w:hAnsi="宋体" w:eastAsia="宋体" w:cs="宋体"/>
                <w:i w:val="0"/>
                <w:iCs w:val="0"/>
                <w:color w:val="333333"/>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9D022">
            <w:pPr>
              <w:jc w:val="center"/>
              <w:rPr>
                <w:rFonts w:hint="eastAsia" w:ascii="宋体" w:hAnsi="宋体" w:eastAsia="宋体" w:cs="宋体"/>
                <w:i w:val="0"/>
                <w:iCs w:val="0"/>
                <w:color w:val="333333"/>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EA6B7">
            <w:pPr>
              <w:jc w:val="center"/>
              <w:rPr>
                <w:rFonts w:hint="eastAsia" w:ascii="宋体" w:hAnsi="宋体" w:eastAsia="宋体" w:cs="宋体"/>
                <w:i w:val="0"/>
                <w:iCs w:val="0"/>
                <w:color w:val="333333"/>
                <w:sz w:val="20"/>
                <w:szCs w:val="20"/>
                <w:u w:val="none"/>
              </w:rPr>
            </w:pPr>
          </w:p>
        </w:tc>
      </w:tr>
      <w:tr w14:paraId="7DE7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75607">
            <w:pPr>
              <w:jc w:val="center"/>
              <w:rPr>
                <w:rFonts w:hint="eastAsia" w:ascii="宋体" w:hAnsi="宋体" w:eastAsia="宋体" w:cs="宋体"/>
                <w:i w:val="0"/>
                <w:iCs w:val="0"/>
                <w:color w:val="333333"/>
                <w:sz w:val="20"/>
                <w:szCs w:val="20"/>
                <w:u w:val="none"/>
              </w:rPr>
            </w:pP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2F6B08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59A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开展科普宣传活动、新品种推广、科普设备维护</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0CF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15万元</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BEA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14.99万元</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FBF5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99.99%</w:t>
            </w:r>
          </w:p>
        </w:tc>
      </w:tr>
      <w:tr w14:paraId="4F01F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506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334DF1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经济效益指标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2B822">
            <w:pPr>
              <w:jc w:val="center"/>
              <w:rPr>
                <w:rFonts w:hint="eastAsia" w:ascii="宋体" w:hAnsi="宋体" w:eastAsia="宋体" w:cs="宋体"/>
                <w:i w:val="0"/>
                <w:iCs w:val="0"/>
                <w:color w:val="333333"/>
                <w:sz w:val="20"/>
                <w:szCs w:val="20"/>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17BBC">
            <w:pPr>
              <w:jc w:val="center"/>
              <w:rPr>
                <w:rFonts w:hint="eastAsia" w:ascii="宋体" w:hAnsi="宋体" w:eastAsia="宋体" w:cs="宋体"/>
                <w:i w:val="0"/>
                <w:iCs w:val="0"/>
                <w:color w:val="333333"/>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08DB4">
            <w:pPr>
              <w:jc w:val="center"/>
              <w:rPr>
                <w:rFonts w:hint="eastAsia" w:ascii="宋体" w:hAnsi="宋体" w:eastAsia="宋体" w:cs="宋体"/>
                <w:i w:val="0"/>
                <w:iCs w:val="0"/>
                <w:color w:val="333333"/>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6FAE4">
            <w:pPr>
              <w:jc w:val="center"/>
              <w:rPr>
                <w:rFonts w:hint="eastAsia" w:ascii="宋体" w:hAnsi="宋体" w:eastAsia="宋体" w:cs="宋体"/>
                <w:i w:val="0"/>
                <w:iCs w:val="0"/>
                <w:color w:val="333333"/>
                <w:sz w:val="20"/>
                <w:szCs w:val="20"/>
                <w:u w:val="none"/>
              </w:rPr>
            </w:pPr>
          </w:p>
        </w:tc>
      </w:tr>
      <w:tr w14:paraId="09ED3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C3D0F">
            <w:pPr>
              <w:jc w:val="center"/>
              <w:rPr>
                <w:rFonts w:hint="eastAsia" w:ascii="宋体" w:hAnsi="宋体" w:eastAsia="宋体" w:cs="宋体"/>
                <w:i w:val="0"/>
                <w:iCs w:val="0"/>
                <w:color w:val="333333"/>
                <w:sz w:val="20"/>
                <w:szCs w:val="20"/>
                <w:u w:val="none"/>
              </w:rPr>
            </w:pP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56440AD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社会效益指标</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0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提高群众科普常识水平</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911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长期影响</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4D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长期影响</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69C6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60B1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271AB">
            <w:pPr>
              <w:jc w:val="center"/>
              <w:rPr>
                <w:rFonts w:hint="eastAsia" w:ascii="宋体" w:hAnsi="宋体" w:eastAsia="宋体" w:cs="宋体"/>
                <w:i w:val="0"/>
                <w:iCs w:val="0"/>
                <w:color w:val="333333"/>
                <w:sz w:val="20"/>
                <w:szCs w:val="20"/>
                <w:u w:val="none"/>
              </w:rPr>
            </w:pP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2E0525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生态效益指标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F81F1">
            <w:pPr>
              <w:jc w:val="center"/>
              <w:rPr>
                <w:rFonts w:hint="eastAsia" w:ascii="宋体" w:hAnsi="宋体" w:eastAsia="宋体" w:cs="宋体"/>
                <w:i w:val="0"/>
                <w:iCs w:val="0"/>
                <w:color w:val="333333"/>
                <w:sz w:val="20"/>
                <w:szCs w:val="20"/>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41425">
            <w:pPr>
              <w:jc w:val="center"/>
              <w:rPr>
                <w:rFonts w:hint="eastAsia" w:ascii="宋体" w:hAnsi="宋体" w:eastAsia="宋体" w:cs="宋体"/>
                <w:i w:val="0"/>
                <w:iCs w:val="0"/>
                <w:color w:val="333333"/>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DB779">
            <w:pPr>
              <w:jc w:val="center"/>
              <w:rPr>
                <w:rFonts w:hint="eastAsia" w:ascii="宋体" w:hAnsi="宋体" w:eastAsia="宋体" w:cs="宋体"/>
                <w:i w:val="0"/>
                <w:iCs w:val="0"/>
                <w:color w:val="333333"/>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2FA99">
            <w:pPr>
              <w:jc w:val="center"/>
              <w:rPr>
                <w:rFonts w:hint="eastAsia" w:ascii="宋体" w:hAnsi="宋体" w:eastAsia="宋体" w:cs="宋体"/>
                <w:i w:val="0"/>
                <w:iCs w:val="0"/>
                <w:color w:val="333333"/>
                <w:sz w:val="20"/>
                <w:szCs w:val="20"/>
                <w:u w:val="none"/>
              </w:rPr>
            </w:pPr>
          </w:p>
        </w:tc>
      </w:tr>
      <w:tr w14:paraId="6518E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814C1">
            <w:pPr>
              <w:jc w:val="center"/>
              <w:rPr>
                <w:rFonts w:hint="eastAsia" w:ascii="宋体" w:hAnsi="宋体" w:eastAsia="宋体" w:cs="宋体"/>
                <w:i w:val="0"/>
                <w:iCs w:val="0"/>
                <w:color w:val="333333"/>
                <w:sz w:val="20"/>
                <w:szCs w:val="20"/>
                <w:u w:val="none"/>
              </w:rPr>
            </w:pP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5E3ABBE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8A557">
            <w:pPr>
              <w:jc w:val="center"/>
              <w:rPr>
                <w:rFonts w:hint="eastAsia" w:ascii="宋体" w:hAnsi="宋体" w:eastAsia="宋体" w:cs="宋体"/>
                <w:i w:val="0"/>
                <w:iCs w:val="0"/>
                <w:color w:val="333333"/>
                <w:sz w:val="20"/>
                <w:szCs w:val="20"/>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3866B">
            <w:pPr>
              <w:jc w:val="center"/>
              <w:rPr>
                <w:rFonts w:hint="eastAsia" w:ascii="宋体" w:hAnsi="宋体" w:eastAsia="宋体" w:cs="宋体"/>
                <w:i w:val="0"/>
                <w:iCs w:val="0"/>
                <w:color w:val="333333"/>
                <w:sz w:val="20"/>
                <w:szCs w:val="20"/>
                <w:u w:val="none"/>
              </w:rPr>
            </w:pP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8B558">
            <w:pPr>
              <w:jc w:val="center"/>
              <w:rPr>
                <w:rFonts w:hint="eastAsia" w:ascii="宋体" w:hAnsi="宋体" w:eastAsia="宋体" w:cs="宋体"/>
                <w:i w:val="0"/>
                <w:iCs w:val="0"/>
                <w:color w:val="333333"/>
                <w:sz w:val="20"/>
                <w:szCs w:val="20"/>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9E709">
            <w:pPr>
              <w:jc w:val="center"/>
              <w:rPr>
                <w:rFonts w:hint="eastAsia" w:ascii="宋体" w:hAnsi="宋体" w:eastAsia="宋体" w:cs="宋体"/>
                <w:i w:val="0"/>
                <w:iCs w:val="0"/>
                <w:color w:val="333333"/>
                <w:sz w:val="20"/>
                <w:szCs w:val="20"/>
                <w:u w:val="none"/>
              </w:rPr>
            </w:pPr>
          </w:p>
        </w:tc>
      </w:tr>
      <w:tr w14:paraId="5771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6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E47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624" w:type="pct"/>
            <w:gridSpan w:val="2"/>
            <w:tcBorders>
              <w:top w:val="single" w:color="000000" w:sz="4" w:space="0"/>
              <w:left w:val="single" w:color="000000" w:sz="4" w:space="0"/>
              <w:bottom w:val="single" w:color="000000" w:sz="4" w:space="0"/>
              <w:right w:val="nil"/>
            </w:tcBorders>
            <w:shd w:val="clear" w:color="auto" w:fill="FFFFFF"/>
            <w:noWrap/>
            <w:vAlign w:val="center"/>
          </w:tcPr>
          <w:p w14:paraId="02D8F74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31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FF86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服务对象满意度</w:t>
            </w:r>
          </w:p>
        </w:tc>
        <w:tc>
          <w:tcPr>
            <w:tcW w:w="8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EEC0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81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19A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95%</w:t>
            </w:r>
          </w:p>
        </w:tc>
        <w:tc>
          <w:tcPr>
            <w:tcW w:w="50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3E14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bl>
    <w:p w14:paraId="5DF3D80D">
      <w:pPr>
        <w:ind w:firstLine="640" w:firstLineChars="200"/>
        <w:rPr>
          <w:rFonts w:hint="eastAsia" w:asciiTheme="minorEastAsia" w:hAnsiTheme="minorEastAsia" w:eastAsiaTheme="minorEastAsia"/>
          <w:sz w:val="32"/>
          <w:szCs w:val="32"/>
          <w:lang w:val="zh-CN"/>
        </w:rPr>
        <w:sectPr>
          <w:pgSz w:w="11906" w:h="16838"/>
          <w:pgMar w:top="1440" w:right="1800" w:bottom="1440" w:left="1800" w:header="851" w:footer="992" w:gutter="0"/>
          <w:cols w:space="425" w:num="1"/>
          <w:titlePg/>
          <w:docGrid w:type="lines" w:linePitch="312" w:charSpace="0"/>
        </w:sectPr>
      </w:pPr>
    </w:p>
    <w:p w14:paraId="428D4913">
      <w:pPr>
        <w:pStyle w:val="2"/>
        <w:jc w:val="center"/>
        <w:rPr>
          <w:rFonts w:ascii="黑体" w:hAnsi="黑体" w:eastAsia="黑体"/>
        </w:rPr>
      </w:pPr>
      <w:bookmarkStart w:id="91" w:name="_Toc21745"/>
      <w:r>
        <w:rPr>
          <w:rFonts w:hint="eastAsia" w:ascii="黑体" w:hAnsi="黑体" w:eastAsia="黑体"/>
        </w:rPr>
        <w:t>第五部分 附表</w:t>
      </w:r>
      <w:bookmarkEnd w:id="91"/>
    </w:p>
    <w:p w14:paraId="0DC22B4E">
      <w:pPr>
        <w:pStyle w:val="3"/>
        <w:bidi w:val="0"/>
        <w:rPr>
          <w:rFonts w:hint="eastAsia" w:ascii="仿宋" w:hAnsi="仿宋" w:eastAsia="仿宋" w:cs="仿宋"/>
          <w:sz w:val="32"/>
          <w:szCs w:val="32"/>
        </w:rPr>
      </w:pPr>
      <w:bookmarkStart w:id="92" w:name="_Toc26465"/>
      <w:r>
        <w:rPr>
          <w:rFonts w:hint="eastAsia" w:ascii="仿宋" w:hAnsi="仿宋" w:eastAsia="仿宋" w:cs="仿宋"/>
          <w:sz w:val="32"/>
          <w:szCs w:val="32"/>
        </w:rPr>
        <w:t>一、收入支出决算总表</w:t>
      </w:r>
      <w:bookmarkEnd w:id="92"/>
    </w:p>
    <w:p w14:paraId="19C1C8AD">
      <w:pPr>
        <w:pStyle w:val="3"/>
        <w:bidi w:val="0"/>
        <w:rPr>
          <w:rFonts w:hint="eastAsia" w:ascii="仿宋" w:hAnsi="仿宋" w:eastAsia="仿宋" w:cs="仿宋"/>
          <w:sz w:val="32"/>
          <w:szCs w:val="32"/>
        </w:rPr>
      </w:pPr>
      <w:bookmarkStart w:id="93" w:name="_Toc23589"/>
      <w:r>
        <w:rPr>
          <w:rFonts w:hint="eastAsia" w:ascii="仿宋" w:hAnsi="仿宋" w:eastAsia="仿宋" w:cs="仿宋"/>
          <w:sz w:val="32"/>
          <w:szCs w:val="32"/>
        </w:rPr>
        <w:t>二、收入决算表</w:t>
      </w:r>
      <w:bookmarkEnd w:id="93"/>
    </w:p>
    <w:p w14:paraId="5AB4D10C">
      <w:pPr>
        <w:pStyle w:val="3"/>
        <w:bidi w:val="0"/>
        <w:rPr>
          <w:rFonts w:hint="eastAsia" w:ascii="仿宋" w:hAnsi="仿宋" w:eastAsia="仿宋" w:cs="仿宋"/>
          <w:sz w:val="32"/>
          <w:szCs w:val="32"/>
        </w:rPr>
      </w:pPr>
      <w:bookmarkStart w:id="94" w:name="_Toc19530"/>
      <w:r>
        <w:rPr>
          <w:rFonts w:hint="eastAsia" w:ascii="仿宋" w:hAnsi="仿宋" w:eastAsia="仿宋" w:cs="仿宋"/>
          <w:sz w:val="32"/>
          <w:szCs w:val="32"/>
        </w:rPr>
        <w:t>三、支出决算表</w:t>
      </w:r>
      <w:bookmarkEnd w:id="94"/>
    </w:p>
    <w:p w14:paraId="7FE6EE10">
      <w:pPr>
        <w:pStyle w:val="3"/>
        <w:bidi w:val="0"/>
        <w:rPr>
          <w:rFonts w:hint="eastAsia" w:ascii="仿宋" w:hAnsi="仿宋" w:eastAsia="仿宋" w:cs="仿宋"/>
          <w:sz w:val="32"/>
          <w:szCs w:val="32"/>
        </w:rPr>
      </w:pPr>
      <w:bookmarkStart w:id="95" w:name="_Toc22648"/>
      <w:r>
        <w:rPr>
          <w:rFonts w:hint="eastAsia" w:ascii="仿宋" w:hAnsi="仿宋" w:eastAsia="仿宋" w:cs="仿宋"/>
          <w:sz w:val="32"/>
          <w:szCs w:val="32"/>
        </w:rPr>
        <w:t>四、财政拨款收入支出决算总表</w:t>
      </w:r>
      <w:bookmarkEnd w:id="95"/>
    </w:p>
    <w:p w14:paraId="07DDAC50">
      <w:pPr>
        <w:pStyle w:val="3"/>
        <w:bidi w:val="0"/>
        <w:rPr>
          <w:rFonts w:hint="eastAsia" w:ascii="仿宋" w:hAnsi="仿宋" w:eastAsia="仿宋" w:cs="仿宋"/>
          <w:sz w:val="32"/>
          <w:szCs w:val="32"/>
        </w:rPr>
      </w:pPr>
      <w:bookmarkStart w:id="96" w:name="_Toc1611"/>
      <w:r>
        <w:rPr>
          <w:rFonts w:hint="eastAsia" w:ascii="仿宋" w:hAnsi="仿宋" w:eastAsia="仿宋" w:cs="仿宋"/>
          <w:sz w:val="32"/>
          <w:szCs w:val="32"/>
        </w:rPr>
        <w:t>五、财政拨款支出决算明细表</w:t>
      </w:r>
      <w:bookmarkEnd w:id="96"/>
    </w:p>
    <w:p w14:paraId="5F97E931">
      <w:pPr>
        <w:pStyle w:val="3"/>
        <w:bidi w:val="0"/>
        <w:rPr>
          <w:rFonts w:hint="eastAsia" w:ascii="仿宋" w:hAnsi="仿宋" w:eastAsia="仿宋" w:cs="仿宋"/>
          <w:sz w:val="32"/>
          <w:szCs w:val="32"/>
        </w:rPr>
      </w:pPr>
      <w:bookmarkStart w:id="97" w:name="_Toc3376"/>
      <w:r>
        <w:rPr>
          <w:rFonts w:hint="eastAsia" w:ascii="仿宋" w:hAnsi="仿宋" w:eastAsia="仿宋" w:cs="仿宋"/>
          <w:sz w:val="32"/>
          <w:szCs w:val="32"/>
        </w:rPr>
        <w:t>六、一般公共预算财政拨款支出决算表</w:t>
      </w:r>
      <w:bookmarkEnd w:id="97"/>
    </w:p>
    <w:p w14:paraId="2328045C">
      <w:pPr>
        <w:pStyle w:val="3"/>
        <w:bidi w:val="0"/>
        <w:rPr>
          <w:rFonts w:hint="eastAsia" w:ascii="仿宋" w:hAnsi="仿宋" w:eastAsia="仿宋" w:cs="仿宋"/>
          <w:sz w:val="32"/>
          <w:szCs w:val="32"/>
        </w:rPr>
      </w:pPr>
      <w:bookmarkStart w:id="98" w:name="_Toc28950"/>
      <w:r>
        <w:rPr>
          <w:rFonts w:hint="eastAsia" w:ascii="仿宋" w:hAnsi="仿宋" w:eastAsia="仿宋" w:cs="仿宋"/>
          <w:sz w:val="32"/>
          <w:szCs w:val="32"/>
        </w:rPr>
        <w:t>七、一般公共预算财政拨款支出决算明细表</w:t>
      </w:r>
      <w:bookmarkEnd w:id="98"/>
    </w:p>
    <w:p w14:paraId="1D52DFD3">
      <w:pPr>
        <w:pStyle w:val="3"/>
        <w:bidi w:val="0"/>
        <w:rPr>
          <w:rFonts w:hint="eastAsia" w:ascii="仿宋" w:hAnsi="仿宋" w:eastAsia="仿宋" w:cs="仿宋"/>
          <w:sz w:val="32"/>
          <w:szCs w:val="32"/>
        </w:rPr>
      </w:pPr>
      <w:bookmarkStart w:id="99" w:name="_Toc7832"/>
      <w:r>
        <w:rPr>
          <w:rFonts w:hint="eastAsia" w:ascii="仿宋" w:hAnsi="仿宋" w:eastAsia="仿宋" w:cs="仿宋"/>
          <w:sz w:val="32"/>
          <w:szCs w:val="32"/>
        </w:rPr>
        <w:t>八、一般公共预算财政拨款基本支出决算表</w:t>
      </w:r>
      <w:bookmarkEnd w:id="99"/>
    </w:p>
    <w:p w14:paraId="5D147713">
      <w:pPr>
        <w:pStyle w:val="3"/>
        <w:bidi w:val="0"/>
        <w:rPr>
          <w:rFonts w:hint="eastAsia" w:ascii="仿宋" w:hAnsi="仿宋" w:eastAsia="仿宋" w:cs="仿宋"/>
          <w:sz w:val="32"/>
          <w:szCs w:val="32"/>
        </w:rPr>
      </w:pPr>
      <w:bookmarkStart w:id="100" w:name="_Toc420"/>
      <w:r>
        <w:rPr>
          <w:rFonts w:hint="eastAsia" w:ascii="仿宋" w:hAnsi="仿宋" w:eastAsia="仿宋" w:cs="仿宋"/>
          <w:sz w:val="32"/>
          <w:szCs w:val="32"/>
        </w:rPr>
        <w:t>九、一般公共预算财政拨款项目支出决算表</w:t>
      </w:r>
      <w:bookmarkEnd w:id="100"/>
    </w:p>
    <w:p w14:paraId="496A78E8">
      <w:pPr>
        <w:pStyle w:val="3"/>
        <w:bidi w:val="0"/>
        <w:rPr>
          <w:rFonts w:hint="eastAsia" w:ascii="仿宋" w:hAnsi="仿宋" w:eastAsia="仿宋" w:cs="仿宋"/>
          <w:sz w:val="32"/>
          <w:szCs w:val="32"/>
        </w:rPr>
      </w:pPr>
      <w:bookmarkStart w:id="101" w:name="_Toc28725"/>
      <w:r>
        <w:rPr>
          <w:rFonts w:hint="eastAsia" w:ascii="仿宋" w:hAnsi="仿宋" w:eastAsia="仿宋" w:cs="仿宋"/>
          <w:sz w:val="32"/>
          <w:szCs w:val="32"/>
        </w:rPr>
        <w:t>十、政府性基金预算财政拨款收入支出决算表</w:t>
      </w:r>
      <w:bookmarkEnd w:id="101"/>
    </w:p>
    <w:p w14:paraId="4A92FBAF">
      <w:pPr>
        <w:pStyle w:val="3"/>
        <w:bidi w:val="0"/>
        <w:rPr>
          <w:rFonts w:hint="eastAsia" w:ascii="仿宋" w:hAnsi="仿宋" w:eastAsia="仿宋" w:cs="仿宋"/>
          <w:sz w:val="32"/>
          <w:szCs w:val="32"/>
        </w:rPr>
      </w:pPr>
      <w:bookmarkStart w:id="102" w:name="_Toc3604"/>
      <w:r>
        <w:rPr>
          <w:rFonts w:hint="eastAsia" w:ascii="仿宋" w:hAnsi="仿宋" w:eastAsia="仿宋" w:cs="仿宋"/>
          <w:sz w:val="32"/>
          <w:szCs w:val="32"/>
        </w:rPr>
        <w:t>十一、国有资本经营预算财政拨款收入支出决算表</w:t>
      </w:r>
      <w:bookmarkEnd w:id="102"/>
    </w:p>
    <w:p w14:paraId="5B01F6C0">
      <w:pPr>
        <w:pStyle w:val="3"/>
        <w:bidi w:val="0"/>
        <w:rPr>
          <w:rFonts w:hint="eastAsia" w:ascii="仿宋" w:hAnsi="仿宋" w:eastAsia="仿宋" w:cs="仿宋"/>
          <w:sz w:val="32"/>
          <w:szCs w:val="32"/>
        </w:rPr>
      </w:pPr>
      <w:bookmarkStart w:id="103" w:name="_Toc9648"/>
      <w:r>
        <w:rPr>
          <w:rFonts w:hint="eastAsia" w:ascii="仿宋" w:hAnsi="仿宋" w:eastAsia="仿宋" w:cs="仿宋"/>
          <w:sz w:val="32"/>
          <w:szCs w:val="32"/>
        </w:rPr>
        <w:t>十二、国有资本经营预算财政拨款支出决算表</w:t>
      </w:r>
      <w:bookmarkEnd w:id="103"/>
    </w:p>
    <w:p w14:paraId="60AAFE5B">
      <w:pPr>
        <w:pStyle w:val="3"/>
        <w:bidi w:val="0"/>
        <w:rPr>
          <w:rFonts w:ascii="仿宋" w:hAnsi="仿宋" w:eastAsia="仿宋"/>
          <w:szCs w:val="32"/>
        </w:rPr>
      </w:pPr>
      <w:bookmarkStart w:id="104" w:name="_Toc16740"/>
      <w:r>
        <w:rPr>
          <w:rFonts w:hint="eastAsia" w:ascii="仿宋" w:hAnsi="仿宋" w:eastAsia="仿宋" w:cs="仿宋"/>
          <w:sz w:val="32"/>
          <w:szCs w:val="32"/>
        </w:rPr>
        <w:t>十三、财政拨款“三公”经费支出决算表</w:t>
      </w:r>
      <w:bookmarkEnd w:id="104"/>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FD0BBA-6599-4AA5-9630-85628B257C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8295994B-D1F1-4E67-B930-4E0A6B7718CE}"/>
  </w:font>
  <w:font w:name="Cambria">
    <w:panose1 w:val="02040503050406030204"/>
    <w:charset w:val="00"/>
    <w:family w:val="roman"/>
    <w:pitch w:val="default"/>
    <w:sig w:usb0="E00002FF" w:usb1="400004FF" w:usb2="00000000" w:usb3="00000000" w:csb0="2000019F" w:csb1="00000000"/>
    <w:embedRegular r:id="rId3" w:fontKey="{D0371B0A-337E-400F-8CA7-6B02E4C68951}"/>
  </w:font>
  <w:font w:name="仿宋_GB2312">
    <w:panose1 w:val="02010609030101010101"/>
    <w:charset w:val="86"/>
    <w:family w:val="modern"/>
    <w:pitch w:val="default"/>
    <w:sig w:usb0="00000001" w:usb1="080E0000" w:usb2="00000000" w:usb3="00000000" w:csb0="00040000" w:csb1="00000000"/>
    <w:embedRegular r:id="rId4" w:fontKey="{DD32A0CA-06B4-42D4-916A-2CCBB3F542AD}"/>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E0000" w:usb2="00000000" w:usb3="00000000" w:csb0="00040000" w:csb1="00000000"/>
    <w:embedRegular r:id="rId5" w:fontKey="{2A562D38-B311-4B7B-86D9-20BAD51B3A1D}"/>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6" w:fontKey="{61E4913F-E2F6-409C-9CC5-DCA695C247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65DB">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309"/>
                          </w:sdtPr>
                          <w:sdtContent>
                            <w:p w14:paraId="6B646C81">
                              <w:pPr>
                                <w:pStyle w:val="12"/>
                                <w:jc w:val="center"/>
                              </w:pPr>
                              <w:r>
                                <w:fldChar w:fldCharType="begin"/>
                              </w:r>
                              <w:r>
                                <w:instrText xml:space="preserve">PAGE   \* MERGEFORMAT</w:instrText>
                              </w:r>
                              <w:r>
                                <w:fldChar w:fldCharType="separate"/>
                              </w:r>
                              <w:r>
                                <w:rPr>
                                  <w:lang w:val="zh-CN"/>
                                </w:rPr>
                                <w:t>23</w:t>
                              </w:r>
                              <w:r>
                                <w:fldChar w:fldCharType="end"/>
                              </w:r>
                            </w:p>
                          </w:sdtContent>
                        </w:sdt>
                        <w:p w14:paraId="2A40118D">
                          <w:pPr>
                            <w:pStyle w:val="1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77309"/>
                    </w:sdtPr>
                    <w:sdtContent>
                      <w:p w14:paraId="6B646C81">
                        <w:pPr>
                          <w:pStyle w:val="12"/>
                          <w:jc w:val="center"/>
                        </w:pPr>
                        <w:r>
                          <w:fldChar w:fldCharType="begin"/>
                        </w:r>
                        <w:r>
                          <w:instrText xml:space="preserve">PAGE   \* MERGEFORMAT</w:instrText>
                        </w:r>
                        <w:r>
                          <w:fldChar w:fldCharType="separate"/>
                        </w:r>
                        <w:r>
                          <w:rPr>
                            <w:lang w:val="zh-CN"/>
                          </w:rPr>
                          <w:t>23</w:t>
                        </w:r>
                        <w:r>
                          <w:fldChar w:fldCharType="end"/>
                        </w:r>
                      </w:p>
                    </w:sdtContent>
                  </w:sdt>
                  <w:p w14:paraId="2A40118D">
                    <w:pPr>
                      <w:pStyle w:val="16"/>
                    </w:pPr>
                  </w:p>
                </w:txbxContent>
              </v:textbox>
            </v:shape>
          </w:pict>
        </mc:Fallback>
      </mc:AlternateContent>
    </w:r>
  </w:p>
  <w:p w14:paraId="244E487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E9600">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E5954">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32E5954">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ED14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3E792"/>
    <w:multiLevelType w:val="singleLevel"/>
    <w:tmpl w:val="B633E792"/>
    <w:lvl w:ilvl="0" w:tentative="0">
      <w:start w:val="1"/>
      <w:numFmt w:val="decimal"/>
      <w:suff w:val="nothing"/>
      <w:lvlText w:val="%1．"/>
      <w:lvlJc w:val="left"/>
      <w:pPr>
        <w:ind w:left="0" w:firstLine="400"/>
      </w:pPr>
      <w:rPr>
        <w:rFonts w:hint="default"/>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5B568FC"/>
    <w:multiLevelType w:val="singleLevel"/>
    <w:tmpl w:val="D5B568FC"/>
    <w:lvl w:ilvl="0" w:tentative="0">
      <w:start w:val="1"/>
      <w:numFmt w:val="decimal"/>
      <w:suff w:val="nothing"/>
      <w:lvlText w:val="%1．"/>
      <w:lvlJc w:val="left"/>
      <w:pPr>
        <w:ind w:left="0" w:firstLine="400"/>
      </w:pPr>
      <w:rPr>
        <w:rFonts w:hint="default"/>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jFjMDUwODIwZDg4NDczZTI5ZmU1NTQ5YzljMTk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6E0107"/>
    <w:rsid w:val="07996F6E"/>
    <w:rsid w:val="07DFD8BA"/>
    <w:rsid w:val="092D3FF6"/>
    <w:rsid w:val="0A2032A3"/>
    <w:rsid w:val="0AFF2E9F"/>
    <w:rsid w:val="0D35B1ED"/>
    <w:rsid w:val="0E7ED1F5"/>
    <w:rsid w:val="0F98263C"/>
    <w:rsid w:val="101860EC"/>
    <w:rsid w:val="10C055FF"/>
    <w:rsid w:val="118107EC"/>
    <w:rsid w:val="13D50BC4"/>
    <w:rsid w:val="13F5616D"/>
    <w:rsid w:val="16AF39B2"/>
    <w:rsid w:val="16BB723D"/>
    <w:rsid w:val="17F9714D"/>
    <w:rsid w:val="1918F934"/>
    <w:rsid w:val="1BE8440E"/>
    <w:rsid w:val="1D155CEE"/>
    <w:rsid w:val="1DFBC4B3"/>
    <w:rsid w:val="1E740ACF"/>
    <w:rsid w:val="1F19C781"/>
    <w:rsid w:val="1F33FCE5"/>
    <w:rsid w:val="1F7F7398"/>
    <w:rsid w:val="1FD2DB6F"/>
    <w:rsid w:val="1FF35744"/>
    <w:rsid w:val="1FF6BC77"/>
    <w:rsid w:val="1FF9236D"/>
    <w:rsid w:val="2333840E"/>
    <w:rsid w:val="23683345"/>
    <w:rsid w:val="23860B96"/>
    <w:rsid w:val="240371BF"/>
    <w:rsid w:val="257C638F"/>
    <w:rsid w:val="298A3E0B"/>
    <w:rsid w:val="29FD04D3"/>
    <w:rsid w:val="2BFF7BC6"/>
    <w:rsid w:val="2C4A68D3"/>
    <w:rsid w:val="2C8A61B5"/>
    <w:rsid w:val="2CD59C95"/>
    <w:rsid w:val="2DF04E50"/>
    <w:rsid w:val="2EFD05E5"/>
    <w:rsid w:val="2F040D46"/>
    <w:rsid w:val="2F4F95CE"/>
    <w:rsid w:val="2FACAFDD"/>
    <w:rsid w:val="2FAE5751"/>
    <w:rsid w:val="2FB1A395"/>
    <w:rsid w:val="2FCF0B76"/>
    <w:rsid w:val="2FD9A7D8"/>
    <w:rsid w:val="309C68FD"/>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4A7DAB"/>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EF638A5"/>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8241E44"/>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9"/>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autoRedefine/>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link w:val="28"/>
    <w:autoRedefine/>
    <w:qFormat/>
    <w:uiPriority w:val="99"/>
    <w:pPr>
      <w:spacing w:beforeLines="30"/>
    </w:pPr>
    <w:rPr>
      <w:rFonts w:ascii="仿宋_GB2312" w:eastAsia="仿宋_GB2312"/>
      <w:kern w:val="0"/>
      <w:sz w:val="30"/>
    </w:rPr>
  </w:style>
  <w:style w:type="paragraph" w:styleId="9">
    <w:name w:val="Body Text Indent"/>
    <w:basedOn w:val="1"/>
    <w:autoRedefine/>
    <w:qFormat/>
    <w:uiPriority w:val="0"/>
    <w:pPr>
      <w:spacing w:after="120"/>
      <w:ind w:left="200" w:leftChars="200"/>
    </w:pPr>
    <w:rPr>
      <w:rFonts w:ascii="仿宋_GB2312"/>
      <w:szCs w:val="32"/>
    </w:rPr>
  </w:style>
  <w:style w:type="paragraph" w:styleId="10">
    <w:name w:val="toc 3"/>
    <w:basedOn w:val="1"/>
    <w:next w:val="1"/>
    <w:autoRedefine/>
    <w:unhideWhenUsed/>
    <w:qFormat/>
    <w:uiPriority w:val="39"/>
    <w:pPr>
      <w:tabs>
        <w:tab w:val="right" w:leader="dot" w:pos="8296"/>
      </w:tabs>
      <w:ind w:left="840" w:leftChars="400"/>
    </w:pPr>
  </w:style>
  <w:style w:type="paragraph" w:styleId="11">
    <w:name w:val="Balloon Text"/>
    <w:basedOn w:val="1"/>
    <w:link w:val="34"/>
    <w:autoRedefine/>
    <w:semiHidden/>
    <w:unhideWhenUsed/>
    <w:qFormat/>
    <w:uiPriority w:val="99"/>
    <w:rPr>
      <w:sz w:val="18"/>
      <w:szCs w:val="18"/>
    </w:rPr>
  </w:style>
  <w:style w:type="paragraph" w:styleId="12">
    <w:name w:val="footer"/>
    <w:basedOn w:val="1"/>
    <w:link w:val="26"/>
    <w:autoRedefine/>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autoRedefine/>
    <w:unhideWhenUsed/>
    <w:qFormat/>
    <w:uiPriority w:val="39"/>
    <w:pPr>
      <w:tabs>
        <w:tab w:val="right" w:leader="dot" w:pos="8296"/>
      </w:tabs>
      <w:ind w:left="420" w:leftChars="200"/>
    </w:pPr>
  </w:style>
  <w:style w:type="paragraph" w:styleId="16">
    <w:name w:val="Title"/>
    <w:basedOn w:val="1"/>
    <w:next w:val="1"/>
    <w:autoRedefine/>
    <w:qFormat/>
    <w:uiPriority w:val="0"/>
    <w:pPr>
      <w:spacing w:before="240" w:after="60" w:line="320" w:lineRule="atLeast"/>
      <w:ind w:firstLine="200" w:firstLineChars="200"/>
      <w:outlineLvl w:val="0"/>
    </w:pPr>
    <w:rPr>
      <w:rFonts w:ascii="Cambria" w:hAnsi="Cambria" w:eastAsia="黑体"/>
      <w:bCs/>
      <w:sz w:val="32"/>
      <w:szCs w:val="32"/>
    </w:rPr>
  </w:style>
  <w:style w:type="paragraph" w:styleId="17">
    <w:name w:val="Body Text First Indent 2"/>
    <w:basedOn w:val="9"/>
    <w:autoRedefine/>
    <w:unhideWhenUsed/>
    <w:qFormat/>
    <w:uiPriority w:val="99"/>
    <w:pPr>
      <w:ind w:firstLine="420" w:firstLineChars="200"/>
    </w:pPr>
  </w:style>
  <w:style w:type="character" w:styleId="20">
    <w:name w:val="Strong"/>
    <w:basedOn w:val="19"/>
    <w:autoRedefine/>
    <w:qFormat/>
    <w:uiPriority w:val="99"/>
    <w:rPr>
      <w:b/>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autoRedefine/>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autoRedefine/>
    <w:semiHidden/>
    <w:qFormat/>
    <w:uiPriority w:val="99"/>
    <w:rPr>
      <w:rFonts w:ascii="Times New Roman" w:hAnsi="Times New Roman"/>
      <w:sz w:val="18"/>
      <w:szCs w:val="18"/>
    </w:rPr>
  </w:style>
  <w:style w:type="character" w:customStyle="1" w:styleId="24">
    <w:name w:val="页眉 字符"/>
    <w:link w:val="13"/>
    <w:autoRedefine/>
    <w:semiHidden/>
    <w:qFormat/>
    <w:locked/>
    <w:uiPriority w:val="99"/>
    <w:rPr>
      <w:sz w:val="18"/>
    </w:rPr>
  </w:style>
  <w:style w:type="character" w:customStyle="1" w:styleId="25">
    <w:name w:val="Footer Char"/>
    <w:basedOn w:val="19"/>
    <w:autoRedefine/>
    <w:semiHidden/>
    <w:qFormat/>
    <w:uiPriority w:val="99"/>
    <w:rPr>
      <w:rFonts w:ascii="Times New Roman" w:hAnsi="Times New Roman"/>
      <w:sz w:val="18"/>
      <w:szCs w:val="18"/>
    </w:rPr>
  </w:style>
  <w:style w:type="character" w:customStyle="1" w:styleId="26">
    <w:name w:val="页脚 字符"/>
    <w:link w:val="12"/>
    <w:autoRedefine/>
    <w:qFormat/>
    <w:locked/>
    <w:uiPriority w:val="99"/>
    <w:rPr>
      <w:sz w:val="18"/>
    </w:rPr>
  </w:style>
  <w:style w:type="character" w:customStyle="1" w:styleId="27">
    <w:name w:val="Body Text Char"/>
    <w:basedOn w:val="19"/>
    <w:autoRedefine/>
    <w:semiHidden/>
    <w:qFormat/>
    <w:uiPriority w:val="99"/>
    <w:rPr>
      <w:rFonts w:ascii="Times New Roman" w:hAnsi="Times New Roman"/>
      <w:szCs w:val="24"/>
    </w:rPr>
  </w:style>
  <w:style w:type="character" w:customStyle="1" w:styleId="28">
    <w:name w:val="正文文本 字符"/>
    <w:link w:val="8"/>
    <w:autoRedefine/>
    <w:qFormat/>
    <w:locked/>
    <w:uiPriority w:val="99"/>
    <w:rPr>
      <w:rFonts w:ascii="仿宋_GB2312" w:hAnsi="Times New Roman" w:eastAsia="仿宋_GB2312"/>
      <w:sz w:val="24"/>
    </w:rPr>
  </w:style>
  <w:style w:type="paragraph" w:customStyle="1" w:styleId="29">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autoRedefine/>
    <w:qFormat/>
    <w:uiPriority w:val="34"/>
    <w:pPr>
      <w:ind w:firstLine="420" w:firstLineChars="200"/>
    </w:pPr>
  </w:style>
  <w:style w:type="character" w:customStyle="1" w:styleId="31">
    <w:name w:val="标题 1 字符"/>
    <w:basedOn w:val="19"/>
    <w:link w:val="2"/>
    <w:autoRedefine/>
    <w:qFormat/>
    <w:uiPriority w:val="9"/>
    <w:rPr>
      <w:rFonts w:ascii="Times New Roman" w:hAnsi="Times New Roman"/>
      <w:b/>
      <w:bCs/>
      <w:kern w:val="44"/>
      <w:sz w:val="44"/>
      <w:szCs w:val="44"/>
    </w:rPr>
  </w:style>
  <w:style w:type="character" w:customStyle="1" w:styleId="32">
    <w:name w:val="标题 2 字符"/>
    <w:basedOn w:val="19"/>
    <w:link w:val="3"/>
    <w:autoRedefine/>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1"/>
    <w:autoRedefine/>
    <w:semiHidden/>
    <w:qFormat/>
    <w:uiPriority w:val="99"/>
    <w:rPr>
      <w:rFonts w:ascii="Times New Roman" w:hAnsi="Times New Roman"/>
      <w:kern w:val="2"/>
      <w:sz w:val="18"/>
      <w:szCs w:val="18"/>
    </w:rPr>
  </w:style>
  <w:style w:type="character" w:customStyle="1" w:styleId="35">
    <w:name w:val="标题 3 字符"/>
    <w:basedOn w:val="19"/>
    <w:link w:val="4"/>
    <w:autoRedefine/>
    <w:qFormat/>
    <w:uiPriority w:val="9"/>
    <w:rPr>
      <w:rFonts w:ascii="Times New Roman" w:hAnsi="Times New Roman"/>
      <w:b/>
      <w:bCs/>
      <w:kern w:val="2"/>
      <w:sz w:val="32"/>
      <w:szCs w:val="32"/>
    </w:rPr>
  </w:style>
  <w:style w:type="paragraph" w:customStyle="1" w:styleId="36">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autoRedefine/>
    <w:qFormat/>
    <w:uiPriority w:val="0"/>
    <w:pPr>
      <w:spacing w:line="360" w:lineRule="auto"/>
    </w:pPr>
    <w:rPr>
      <w:rFonts w:ascii="??" w:hAnsi="??"/>
      <w:color w:val="000000"/>
      <w:kern w:val="0"/>
      <w:sz w:val="28"/>
      <w:szCs w:val="21"/>
      <w:lang w:val="zh-CN"/>
    </w:rPr>
  </w:style>
  <w:style w:type="paragraph" w:customStyle="1" w:styleId="38">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9">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3.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2.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76950954336796"/>
          <c:y val="0.158733531661708"/>
          <c:w val="0.913916404928727"/>
          <c:h val="0.638631534211645"/>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收、支总计（万元）</c:v>
                </c:pt>
              </c:strCache>
            </c:strRef>
          </c:cat>
          <c:val>
            <c:numRef>
              <c:f>Sheet1!$B$2</c:f>
              <c:numCache>
                <c:formatCode>General</c:formatCode>
                <c:ptCount val="1"/>
                <c:pt idx="0">
                  <c:v>181.49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c:f>
              <c:strCache>
                <c:ptCount val="1"/>
                <c:pt idx="0">
                  <c:v>收、支总计（万元）</c:v>
                </c:pt>
              </c:strCache>
            </c:strRef>
          </c:cat>
          <c:val>
            <c:numRef>
              <c:f>Sheet1!$C$2</c:f>
              <c:numCache>
                <c:formatCode>General</c:formatCode>
                <c:ptCount val="1"/>
                <c:pt idx="0">
                  <c:v>166.43</c:v>
                </c:pt>
              </c:numCache>
            </c:numRef>
          </c:val>
        </c:ser>
        <c:dLbls>
          <c:showLegendKey val="0"/>
          <c:showVal val="0"/>
          <c:showCatName val="0"/>
          <c:showSerName val="0"/>
          <c:showPercent val="0"/>
          <c:showBubbleSize val="0"/>
        </c:dLbls>
        <c:gapWidth val="246"/>
        <c:overlap val="-28"/>
        <c:axId val="614571465"/>
        <c:axId val="44524096"/>
      </c:barChart>
      <c:catAx>
        <c:axId val="6145714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524096"/>
        <c:crosses val="autoZero"/>
        <c:auto val="1"/>
        <c:lblAlgn val="ctr"/>
        <c:lblOffset val="100"/>
        <c:noMultiLvlLbl val="0"/>
      </c:catAx>
      <c:valAx>
        <c:axId val="4452409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5714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gradFill>
                <a:gsLst>
                  <a:gs pos="70000">
                    <a:schemeClr val="accent1"/>
                  </a:gs>
                  <a:gs pos="0">
                    <a:schemeClr val="accent1">
                      <a:lumMod val="60000"/>
                      <a:lumOff val="40000"/>
                    </a:schemeClr>
                  </a:gs>
                </a:gsLst>
                <a:lin ang="5400000"/>
              </a:gradFill>
              <a:ln w="19050">
                <a:solidFill>
                  <a:schemeClr val="lt1"/>
                </a:solidFill>
              </a:ln>
              <a:effectLst>
                <a:outerShdw blurRad="63500" sx="102000" sy="102000" algn="ctr" rotWithShape="0">
                  <a:prstClr val="black">
                    <a:alpha val="25000"/>
                  </a:prst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100" b="0" i="0" u="none" strike="noStrike" kern="1200" baseline="0">
                    <a:solidFill>
                      <a:schemeClr val="bg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1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5279429250892"/>
          <c:y val="0.212332942555686"/>
          <c:w val="0.341117717003567"/>
          <c:h val="0.67263774912075"/>
        </c:manualLayout>
      </c:layout>
      <c:pieChart>
        <c:varyColors val="1"/>
        <c:ser>
          <c:idx val="0"/>
          <c:order val="0"/>
          <c:tx>
            <c:strRef>
              <c:f>Sheet1!$B$1</c:f>
              <c:strCache>
                <c:ptCount val="1"/>
                <c:pt idx="0">
                  <c:v>列1</c:v>
                </c:pt>
              </c:strCache>
            </c:strRef>
          </c:tx>
          <c:spPr>
            <a:ln w="22225">
              <a:solidFill>
                <a:schemeClr val="bg1"/>
              </a:solidFill>
            </a:ln>
            <a:effectLst>
              <a:innerShdw blurRad="114300">
                <a:prstClr val="black"/>
              </a:innerShdw>
            </a:effectLst>
            <a:sp3d contourW="22225"/>
          </c:spPr>
          <c:explosion val="0"/>
          <c:dPt>
            <c:idx val="0"/>
            <c:bubble3D val="0"/>
            <c:spPr>
              <a:solidFill>
                <a:schemeClr val="accent5"/>
              </a:solidFill>
              <a:ln w="22225">
                <a:solidFill>
                  <a:schemeClr val="bg1"/>
                </a:solidFill>
              </a:ln>
              <a:effectLst>
                <a:innerShdw blurRad="114300">
                  <a:schemeClr val="accent1">
                    <a:lumMod val="75000"/>
                  </a:schemeClr>
                </a:innerShdw>
              </a:effectLst>
              <a:sp3d contourW="22225"/>
            </c:spPr>
          </c:dPt>
          <c:dPt>
            <c:idx val="1"/>
            <c:bubble3D val="0"/>
            <c:spPr>
              <a:solidFill>
                <a:schemeClr val="accent3"/>
              </a:solidFill>
              <a:ln w="22225">
                <a:solidFill>
                  <a:schemeClr val="bg1"/>
                </a:solidFill>
              </a:ln>
              <a:effectLst>
                <a:innerShdw blurRad="114300">
                  <a:schemeClr val="accent2">
                    <a:lumMod val="75000"/>
                  </a:schemeClr>
                </a:innerShdw>
              </a:effectLst>
              <a:sp3d contourW="22225"/>
            </c:spPr>
          </c:dPt>
          <c:dLbls>
            <c:dLbl>
              <c:idx val="0"/>
              <c:layout/>
              <c:dLblPos val="outEnd"/>
              <c:showLegendKey val="1"/>
              <c:showVal val="0"/>
              <c:showCatName val="0"/>
              <c:showSerName val="0"/>
              <c:showPercent val="1"/>
              <c:showBubbleSize val="0"/>
              <c:separator>
</c:separator>
              <c:extLst>
                <c:ext xmlns:c15="http://schemas.microsoft.com/office/drawing/2012/chart" uri="{CE6537A1-D6FC-4f65-9D91-7224C49458BB}"/>
              </c:extLst>
            </c:dLbl>
            <c:dLbl>
              <c:idx val="1"/>
              <c:layout/>
              <c:dLblPos val="outEnd"/>
              <c:showLegendKey val="1"/>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1"/>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131.6</c:v>
                </c:pt>
                <c:pt idx="1">
                  <c:v>49.89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76950954336796"/>
          <c:y val="0.158733531661708"/>
          <c:w val="0.913916404928727"/>
          <c:h val="0.638631534211645"/>
        </c:manualLayout>
      </c:layout>
      <c:barChart>
        <c:barDir val="col"/>
        <c:grouping val="clustered"/>
        <c:varyColors val="0"/>
        <c:ser>
          <c:idx val="0"/>
          <c:order val="0"/>
          <c:tx>
            <c:strRef>
              <c:f>Sheet1!$B$1</c:f>
              <c:strCache>
                <c:ptCount val="1"/>
                <c:pt idx="0">
                  <c:v>2023年</c:v>
                </c:pt>
              </c:strCache>
            </c:strRef>
          </c:tx>
          <c:spPr>
            <a:solidFill>
              <a:srgbClr val="4BACC6"/>
            </a:solidFill>
            <a:ln>
              <a:noFill/>
            </a:ln>
            <a:effectLst/>
          </c:spPr>
          <c:invertIfNegative val="0"/>
          <c:dLbls>
            <c:delete val="1"/>
          </c:dLbls>
          <c:cat>
            <c:strRef>
              <c:f>Sheet1!$A$2</c:f>
              <c:strCache>
                <c:ptCount val="1"/>
                <c:pt idx="0">
                  <c:v>财政拨款收、支总计（万元）</c:v>
                </c:pt>
              </c:strCache>
            </c:strRef>
          </c:cat>
          <c:val>
            <c:numRef>
              <c:f>Sheet1!$B$2</c:f>
              <c:numCache>
                <c:formatCode>General</c:formatCode>
                <c:ptCount val="1"/>
                <c:pt idx="0">
                  <c:v>181.49</c:v>
                </c:pt>
              </c:numCache>
            </c:numRef>
          </c:val>
        </c:ser>
        <c:ser>
          <c:idx val="1"/>
          <c:order val="1"/>
          <c:tx>
            <c:strRef>
              <c:f>Sheet1!$C$1</c:f>
              <c:strCache>
                <c:ptCount val="1"/>
                <c:pt idx="0">
                  <c:v>2022年</c:v>
                </c:pt>
              </c:strCache>
            </c:strRef>
          </c:tx>
          <c:spPr>
            <a:solidFill>
              <a:srgbClr val="F79646"/>
            </a:solidFill>
            <a:ln>
              <a:noFill/>
            </a:ln>
            <a:effectLst/>
          </c:spPr>
          <c:invertIfNegative val="0"/>
          <c:dLbls>
            <c:delete val="1"/>
          </c:dLbls>
          <c:cat>
            <c:strRef>
              <c:f>Sheet1!$A$2</c:f>
              <c:strCache>
                <c:ptCount val="1"/>
                <c:pt idx="0">
                  <c:v>财政拨款收、支总计（万元）</c:v>
                </c:pt>
              </c:strCache>
            </c:strRef>
          </c:cat>
          <c:val>
            <c:numRef>
              <c:f>Sheet1!$C$2</c:f>
              <c:numCache>
                <c:formatCode>General</c:formatCode>
                <c:ptCount val="1"/>
                <c:pt idx="0">
                  <c:v>166.43</c:v>
                </c:pt>
              </c:numCache>
            </c:numRef>
          </c:val>
        </c:ser>
        <c:dLbls>
          <c:showLegendKey val="0"/>
          <c:showVal val="0"/>
          <c:showCatName val="0"/>
          <c:showSerName val="0"/>
          <c:showPercent val="0"/>
          <c:showBubbleSize val="0"/>
        </c:dLbls>
        <c:gapWidth val="246"/>
        <c:overlap val="-28"/>
        <c:axId val="614571465"/>
        <c:axId val="44524096"/>
      </c:barChart>
      <c:catAx>
        <c:axId val="6145714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524096"/>
        <c:crosses val="autoZero"/>
        <c:auto val="1"/>
        <c:lblAlgn val="ctr"/>
        <c:lblOffset val="100"/>
        <c:noMultiLvlLbl val="0"/>
      </c:catAx>
      <c:valAx>
        <c:axId val="4452409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5714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76950954336796"/>
          <c:y val="0.158733531661708"/>
          <c:w val="0.913916404928727"/>
          <c:h val="0.638631534211645"/>
        </c:manualLayout>
      </c:layout>
      <c:barChart>
        <c:barDir val="col"/>
        <c:grouping val="clustered"/>
        <c:varyColors val="0"/>
        <c:ser>
          <c:idx val="0"/>
          <c:order val="0"/>
          <c:tx>
            <c:strRef>
              <c:f>Sheet1!$B$1</c:f>
              <c:strCache>
                <c:ptCount val="1"/>
                <c:pt idx="0">
                  <c:v>2023年</c:v>
                </c:pt>
              </c:strCache>
            </c:strRef>
          </c:tx>
          <c:spPr>
            <a:solidFill>
              <a:srgbClr val="9BBB59"/>
            </a:solidFill>
            <a:ln>
              <a:noFill/>
            </a:ln>
            <a:effectLst/>
          </c:spPr>
          <c:invertIfNegative val="0"/>
          <c:dLbls>
            <c:delete val="1"/>
          </c:dLbls>
          <c:cat>
            <c:strRef>
              <c:f>Sheet1!$A$2</c:f>
              <c:strCache>
                <c:ptCount val="1"/>
                <c:pt idx="0">
                  <c:v>一般公共预算财政拨款支出（万元）</c:v>
                </c:pt>
              </c:strCache>
            </c:strRef>
          </c:cat>
          <c:val>
            <c:numRef>
              <c:f>Sheet1!$B$2</c:f>
              <c:numCache>
                <c:formatCode>General</c:formatCode>
                <c:ptCount val="1"/>
                <c:pt idx="0">
                  <c:v>181.49</c:v>
                </c:pt>
              </c:numCache>
            </c:numRef>
          </c:val>
        </c:ser>
        <c:ser>
          <c:idx val="1"/>
          <c:order val="1"/>
          <c:tx>
            <c:strRef>
              <c:f>Sheet1!$C$1</c:f>
              <c:strCache>
                <c:ptCount val="1"/>
                <c:pt idx="0">
                  <c:v>2022年</c:v>
                </c:pt>
              </c:strCache>
            </c:strRef>
          </c:tx>
          <c:spPr>
            <a:solidFill>
              <a:srgbClr val="F79646"/>
            </a:solidFill>
            <a:ln>
              <a:noFill/>
            </a:ln>
            <a:effectLst/>
          </c:spPr>
          <c:invertIfNegative val="0"/>
          <c:dLbls>
            <c:delete val="1"/>
          </c:dLbls>
          <c:cat>
            <c:strRef>
              <c:f>Sheet1!$A$2</c:f>
              <c:strCache>
                <c:ptCount val="1"/>
                <c:pt idx="0">
                  <c:v>一般公共预算财政拨款支出（万元）</c:v>
                </c:pt>
              </c:strCache>
            </c:strRef>
          </c:cat>
          <c:val>
            <c:numRef>
              <c:f>Sheet1!$C$2</c:f>
              <c:numCache>
                <c:formatCode>General</c:formatCode>
                <c:ptCount val="1"/>
                <c:pt idx="0">
                  <c:v>166.43</c:v>
                </c:pt>
              </c:numCache>
            </c:numRef>
          </c:val>
        </c:ser>
        <c:dLbls>
          <c:showLegendKey val="0"/>
          <c:showVal val="0"/>
          <c:showCatName val="0"/>
          <c:showSerName val="0"/>
          <c:showPercent val="0"/>
          <c:showBubbleSize val="0"/>
        </c:dLbls>
        <c:gapWidth val="246"/>
        <c:overlap val="-28"/>
        <c:axId val="614571465"/>
        <c:axId val="44524096"/>
      </c:barChart>
      <c:catAx>
        <c:axId val="61457146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524096"/>
        <c:crosses val="autoZero"/>
        <c:auto val="1"/>
        <c:lblAlgn val="ctr"/>
        <c:lblOffset val="100"/>
        <c:noMultiLvlLbl val="0"/>
      </c:catAx>
      <c:valAx>
        <c:axId val="44524096"/>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57146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spPr/>
          <c:explosion val="0"/>
          <c:dPt>
            <c:idx val="0"/>
            <c:bubble3D val="0"/>
            <c:spPr>
              <a:solidFill>
                <a:schemeClr val="accent5"/>
              </a:solidFill>
              <a:ln>
                <a:solidFill>
                  <a:schemeClr val="bg1"/>
                </a:solidFill>
              </a:ln>
              <a:effectLst/>
            </c:spPr>
          </c:dPt>
          <c:dPt>
            <c:idx val="1"/>
            <c:bubble3D val="0"/>
            <c:spPr>
              <a:solidFill>
                <a:schemeClr val="accent6"/>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3"/>
              <c:layout>
                <c:manualLayout>
                  <c:x val="0.0471128291857937"/>
                  <c:y val="-0.00637484062898428"/>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1"/>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科学技术支出</c:v>
                </c:pt>
                <c:pt idx="1">
                  <c:v>社会保障和就业支出</c:v>
                </c:pt>
                <c:pt idx="2">
                  <c:v>卫生健康支出</c:v>
                </c:pt>
                <c:pt idx="3">
                  <c:v>住房保障支出</c:v>
                </c:pt>
              </c:strCache>
            </c:strRef>
          </c:cat>
          <c:val>
            <c:numRef>
              <c:f>Sheet1!$B$2:$B$5</c:f>
              <c:numCache>
                <c:formatCode>General</c:formatCode>
                <c:ptCount val="4"/>
                <c:pt idx="0">
                  <c:v>149.56</c:v>
                </c:pt>
                <c:pt idx="1">
                  <c:v>18.89</c:v>
                </c:pt>
                <c:pt idx="2">
                  <c:v>4.23</c:v>
                </c:pt>
                <c:pt idx="3">
                  <c:v>8.81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2">
                  <c:v>1.4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3">
    <a:dk1>
      <a:srgbClr val="000000"/>
    </a:dk1>
    <a:lt1>
      <a:srgbClr val="FFFFFF"/>
    </a:lt1>
    <a:dk2>
      <a:srgbClr val="434342"/>
    </a:dk2>
    <a:lt2>
      <a:srgbClr val="CDD7D9"/>
    </a:lt2>
    <a:accent1>
      <a:srgbClr val="F7DC7B"/>
    </a:accent1>
    <a:accent2>
      <a:srgbClr val="18A2F1"/>
    </a:accent2>
    <a:accent3>
      <a:srgbClr val="9758DC"/>
    </a:accent3>
    <a:accent4>
      <a:srgbClr val="98CA6C"/>
    </a:accent4>
    <a:accent5>
      <a:srgbClr val="67C2B6"/>
    </a:accent5>
    <a:accent6>
      <a:srgbClr val="506E94"/>
    </a:accent6>
    <a:hlink>
      <a:srgbClr val="5F5F5F"/>
    </a:hlink>
    <a:folHlink>
      <a:srgbClr val="969696"/>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3">
    <a:dk1>
      <a:srgbClr val="000000"/>
    </a:dk1>
    <a:lt1>
      <a:srgbClr val="FFFFFF"/>
    </a:lt1>
    <a:dk2>
      <a:srgbClr val="434342"/>
    </a:dk2>
    <a:lt2>
      <a:srgbClr val="CDD7D9"/>
    </a:lt2>
    <a:accent1>
      <a:srgbClr val="F7DC7B"/>
    </a:accent1>
    <a:accent2>
      <a:srgbClr val="18A2F1"/>
    </a:accent2>
    <a:accent3>
      <a:srgbClr val="9758DC"/>
    </a:accent3>
    <a:accent4>
      <a:srgbClr val="98CA6C"/>
    </a:accent4>
    <a:accent5>
      <a:srgbClr val="67C2B6"/>
    </a:accent5>
    <a:accent6>
      <a:srgbClr val="506E94"/>
    </a:accent6>
    <a:hlink>
      <a:srgbClr val="5F5F5F"/>
    </a:hlink>
    <a:folHlink>
      <a:srgbClr val="969696"/>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自定义 3">
    <a:dk1>
      <a:srgbClr val="000000"/>
    </a:dk1>
    <a:lt1>
      <a:srgbClr val="FFFFFF"/>
    </a:lt1>
    <a:dk2>
      <a:srgbClr val="434342"/>
    </a:dk2>
    <a:lt2>
      <a:srgbClr val="CDD7D9"/>
    </a:lt2>
    <a:accent1>
      <a:srgbClr val="F7DC7B"/>
    </a:accent1>
    <a:accent2>
      <a:srgbClr val="18A2F1"/>
    </a:accent2>
    <a:accent3>
      <a:srgbClr val="9758DC"/>
    </a:accent3>
    <a:accent4>
      <a:srgbClr val="98CA6C"/>
    </a:accent4>
    <a:accent5>
      <a:srgbClr val="67C2B6"/>
    </a:accent5>
    <a:accent6>
      <a:srgbClr val="506E94"/>
    </a:accent6>
    <a:hlink>
      <a:srgbClr val="5F5F5F"/>
    </a:hlink>
    <a:folHlink>
      <a:srgbClr val="969696"/>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5747</Words>
  <Characters>6274</Characters>
  <Lines>72</Lines>
  <Paragraphs>20</Paragraphs>
  <TotalTime>8</TotalTime>
  <ScaleCrop>false</ScaleCrop>
  <LinksUpToDate>false</LinksUpToDate>
  <CharactersWithSpaces>6399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2023-08-03T10:35:00Z</cp:lastPrinted>
  <dcterms:modified xsi:type="dcterms:W3CDTF">2024-10-21T08:13:52Z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9BAFFE00FF364B1D8AF2DDB1DC8766D4_12</vt:lpwstr>
  </property>
</Properties>
</file>